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C09AC">
      <w:pPr>
        <w:pStyle w:val="2"/>
        <w:spacing w:line="360" w:lineRule="auto"/>
        <w:jc w:val="center"/>
      </w:pPr>
      <w:r>
        <w:rPr>
          <w:rFonts w:hint="eastAsia" w:ascii="Times New Roman" w:hAnsi="Times New Roman" w:eastAsia="宋体"/>
        </w:rPr>
        <w:t>Reinforcement learning methods in compositional reasoning of multimodal large language models: the evolution of reward signals</w:t>
      </w:r>
    </w:p>
    <w:p w14:paraId="084A7EF2">
      <w:pPr>
        <w:pStyle w:val="3"/>
        <w:jc w:val="center"/>
        <w:rPr>
          <w:rFonts w:hint="default" w:ascii="Times New Roman" w:hAnsi="Times New Roman" w:cs="Times New Roman"/>
        </w:rPr>
      </w:pPr>
      <w:bookmarkStart w:id="0" w:name="摘要"/>
      <w:r>
        <w:rPr>
          <w:rFonts w:hint="default" w:ascii="Times New Roman" w:hAnsi="Times New Roman" w:cs="Times New Roman"/>
        </w:rPr>
        <w:t>Xi Zhiyuan</w:t>
      </w:r>
    </w:p>
    <w:p w14:paraId="3D29DDB2">
      <w:pPr>
        <w:pStyle w:val="3"/>
        <w:jc w:val="center"/>
        <w:rPr>
          <w:rFonts w:cs="Times New Roman"/>
        </w:rPr>
      </w:pPr>
      <w:r>
        <w:rPr>
          <w:rFonts w:cs="Times New Roman"/>
        </w:rPr>
        <w:t>School of Engineering, SUSTech, Shenzhen, Guangdong 518000, 12412015@sustech.edu.cn</w:t>
      </w:r>
    </w:p>
    <w:p w14:paraId="144EE929">
      <w:pPr>
        <w:pStyle w:val="33"/>
        <w:spacing w:line="360" w:lineRule="auto"/>
        <w:ind w:firstLine="482" w:firstLineChars="200"/>
        <w:jc w:val="both"/>
        <w:rPr>
          <w:b/>
          <w:bCs/>
        </w:rPr>
      </w:pPr>
    </w:p>
    <w:p w14:paraId="752C757E">
      <w:pPr>
        <w:pStyle w:val="33"/>
        <w:spacing w:line="360" w:lineRule="auto"/>
        <w:ind w:firstLine="482" w:firstLineChars="200"/>
        <w:jc w:val="both"/>
      </w:pPr>
      <w:r>
        <w:rPr>
          <w:rFonts w:hint="eastAsia"/>
          <w:b/>
          <w:bCs/>
          <w:color w:val="000000"/>
        </w:rPr>
        <w:t>Abstract:</w:t>
      </w:r>
      <w:r>
        <w:rPr>
          <w:rFonts w:hint="eastAsia"/>
          <w:color w:val="000000"/>
        </w:rPr>
        <w:t xml:space="preserve"> Multimodal Large Language Models (MLLMs) perform well in general visual-language tasks, but have systemic flaws in compositional reasoning, that is, it is difficult to accurately bind objects, attributes and spatial/logical relationships. Reinforcement learning post-training is an effective means to fill this gap, and the design of the reward signal directly determines whether the compositional ability can be truly stimulated. This article reviews the representative work on using reinforcement learning to enhance MLLM compositional reasoning from 2024 to 2026, proposes an analysis framework with "reward signal evolution" as the core, divides existing methods into three categories: verifier reward, visual alignment reward and inference process optimization, and analyzes method by method along unified dimensions such as reward source, reward granularity, supervision requirements, and compositional reach. The analysis shows that the reward signal is gradually evolving from the verification of the final answer to the alignment of the visual semantic structure and the alignment of the reasoning process; the constraint that "correctness must be definable" in compositional reasoning is the deep driving force of this evolution, and explicit visual semantic rewards for compositional binding are currently the most promising research gaps.</w:t>
      </w:r>
    </w:p>
    <w:p w14:paraId="255F92DC">
      <w:pPr>
        <w:pStyle w:val="3"/>
        <w:spacing w:line="360" w:lineRule="auto"/>
        <w:ind w:firstLine="482" w:firstLineChars="200"/>
        <w:jc w:val="both"/>
      </w:pPr>
      <w:r>
        <w:rPr>
          <w:rFonts w:hint="eastAsia"/>
          <w:b/>
        </w:rPr>
        <w:t>Keywords</w:t>
      </w:r>
      <w:r>
        <w:rPr>
          <w:rFonts w:hint="eastAsia"/>
          <w:b/>
          <w:bCs/>
        </w:rPr>
        <w:t>:</w:t>
      </w:r>
      <w:r>
        <w:rPr>
          <w:rFonts w:hint="eastAsia"/>
        </w:rPr>
        <w:t xml:space="preserve"> multimodal large language model; compositional reasoning; reinforcement learning; reward signal</w:t>
      </w:r>
    </w:p>
    <w:bookmarkEnd w:id="0"/>
    <w:p w14:paraId="005164F6">
      <w:pPr>
        <w:pStyle w:val="4"/>
        <w:spacing w:line="360" w:lineRule="auto"/>
        <w:jc w:val="both"/>
        <w:rPr>
          <w:rFonts w:eastAsia="宋体"/>
        </w:rPr>
      </w:pPr>
      <w:bookmarkStart w:id="1" w:name="introduction"/>
      <w:r>
        <w:rPr>
          <w:rFonts w:ascii="Times New Roman" w:hAnsi="Times New Roman" w:eastAsia="宋体"/>
        </w:rPr>
        <w:t>1. Introduction</w:t>
      </w:r>
    </w:p>
    <w:p w14:paraId="68CB24D7">
      <w:pPr>
        <w:pStyle w:val="33"/>
        <w:spacing w:line="360" w:lineRule="auto"/>
        <w:ind w:firstLine="480" w:firstLineChars="200"/>
        <w:jc w:val="both"/>
      </w:pPr>
      <w:r>
        <w:rPr>
          <w:rFonts w:hint="eastAsia"/>
          <w:color w:val="000000"/>
        </w:rPr>
        <w:t>Multimodal Large Language Models (MLLMs) are close to human level in general tasks such as visual question answering and image description. However, there are still systematic flaws in compositional reasoning, that is, it is difficult to accurately bind objects, attributes and spatial/logical relationships. Large-scale evaluations have revealed the prevalence of this flaw: CREPE found that compositional understanding degrades significantly as compositional complexity increases [1]; ARO pointed out that visual language models are essentially like "bag-of-words models" and are insensitive to word order and compositional structure [2]; SugarCrepe showed that pure binding testing (Swap) is a common weak link in the pre-trained CLIP models it evaluated [3]. These results suggest that compositional reasoning flaws are a systematic shortcoming of current MLLMs.</w:t>
      </w:r>
    </w:p>
    <w:p w14:paraId="61EA158A">
      <w:pPr>
        <w:pStyle w:val="3"/>
        <w:spacing w:line="360" w:lineRule="auto"/>
        <w:ind w:firstLine="480" w:firstLineChars="200"/>
        <w:jc w:val="both"/>
        <w:rPr>
          <w:rFonts w:hint="eastAsia" w:eastAsia="宋体"/>
          <w:lang w:eastAsia="zh-CN"/>
        </w:rPr>
      </w:pPr>
      <w:r>
        <w:rPr>
          <w:rFonts w:hint="eastAsia"/>
          <w:color w:val="000000"/>
        </w:rPr>
        <w:t>The origin of the combinational flaws can be traced back to the training signals themselves. ARO's shortcut analysis shows that the current goal of contrastive pre-training does not require the model to understand the compositional structure, and the model can achieve high scores based only on word frequency and overall semantics [2]; CREPE's evidence shows that compositional defects have nothing to do with model size, and simply expanding data and parameters cannot automatically acquire compositional capabilities [1]. In this context, reinforcement learning (RL) post-training has become a mainstream method, and the way rewards are defined directly determines the direction of training: Unlike supervised fine-tuning (SFT), which directly instills standard answers, RL uses reward signals to allow the model to learn reasoning behaviors through trial and error. For example, CR³ redesigns compositional reasoning into a task where answers can be automatically scored, and drives RL with deterministic rewards for rule determination. The paper reports that it improves the compositional benchmark by an average of about 10 percentage points compared with the original baseline [4]. The key question emerges from this: What kind of reward signal can truly drive compositional reasoning ability?</w:t>
      </w:r>
    </w:p>
    <w:p w14:paraId="4AE19D03">
      <w:pPr>
        <w:pStyle w:val="3"/>
        <w:spacing w:line="360" w:lineRule="auto"/>
        <w:ind w:firstLine="480" w:firstLineChars="200"/>
        <w:jc w:val="both"/>
      </w:pPr>
      <w:r>
        <w:rPr>
          <w:rFonts w:hint="eastAsia"/>
          <w:color w:val="000000"/>
        </w:rPr>
        <w:t xml:space="preserve">A review of the representative work from 2024 to 2026 that uses RL to enhance MLLM compositional reasoning shows that its development is essentially a gradual expansion of reward signals from 'result verification' to 'visual semantic structure alignment' and 'reasoning process alignment', that is, an expansion of what the reward acts upon (answer </w:t>
      </w:r>
      <w:r>
        <w:rPr>
          <w:rFonts w:hint="eastAsia"/>
          <w:color w:val="000000"/>
          <w:lang w:val="en-US" w:eastAsia="zh-CN"/>
        </w:rPr>
        <w:t>→</w:t>
      </w:r>
      <w:r>
        <w:rPr>
          <w:rFonts w:hint="eastAsia"/>
          <w:color w:val="000000"/>
        </w:rPr>
        <w:t xml:space="preserve"> visual structure </w:t>
      </w:r>
      <w:bookmarkStart w:id="17" w:name="_GoBack"/>
      <w:bookmarkEnd w:id="17"/>
      <w:r>
        <w:rPr>
          <w:rFonts w:hint="eastAsia"/>
          <w:color w:val="000000"/>
          <w:lang w:val="en-US" w:eastAsia="zh-CN"/>
        </w:rPr>
        <w:t>→</w:t>
      </w:r>
      <w:r>
        <w:rPr>
          <w:rFonts w:hint="eastAsia"/>
          <w:color w:val="000000"/>
        </w:rPr>
        <w:t xml:space="preserve"> reasoning process). Three directions have developed in parallel: one takes structured result verification of the final answer as the reward source (CR3, SpatialThinker, SVQA-R1); one takes the degree of alignment between the answer and the visual semantic structure as the reward source (Ground-R1, GRIT, POLIA); and one applies the optimization signal to the reasoning process itself (Self-Questioning VLM, H-GRPO). The deep driving force behind this evolution is the constraint that 'correctness must be definable' in compositional reasoning.</w:t>
      </w:r>
    </w:p>
    <w:p w14:paraId="4F98721C">
      <w:pPr>
        <w:pStyle w:val="3"/>
        <w:spacing w:line="360" w:lineRule="auto"/>
        <w:ind w:firstLine="480" w:firstLineChars="200"/>
        <w:jc w:val="both"/>
      </w:pPr>
      <w:r>
        <w:rPr>
          <w:rFonts w:hint="eastAsia"/>
          <w:color w:val="000000"/>
        </w:rPr>
        <w:t>This article conducts a systematic review with the evolution of reward signals as the main line. The specific contributions are as follows: First, for the first time, the "evolution of reward signals" is used as the analysis axis to organize related methods into a continuous lineage rather than a stack of isolated methods; secondly, a three-part classification framework is proposed, that is, verifier rewards, visual alignment reward and reasoning process optimization, and analyze method by method along the same dimension (reward source, supervision requirements, compositional reach, evaluation and limitations); finally, analyze the constraints of verifiability constraints on reward design, discuss open issues such as benchmark fragmentation and text bias, and look forward to future directions.</w:t>
      </w:r>
    </w:p>
    <w:p w14:paraId="0523060C">
      <w:pPr>
        <w:pStyle w:val="3"/>
        <w:spacing w:line="360" w:lineRule="auto"/>
        <w:ind w:firstLine="480" w:firstLineChars="200"/>
        <w:jc w:val="both"/>
      </w:pPr>
      <w:r>
        <w:rPr>
          <w:rStyle w:val="24"/>
          <w:rFonts w:hint="eastAsia"/>
          <w:color w:val="000000"/>
          <w:sz w:val="24"/>
          <w:szCs w:val="24"/>
        </w:rPr>
        <w:t>The selection of this article follows four criteria: first, the time range is 2024–2026, and the source is arXiv preprints and officially published papers; second, the method must be oriented to multi-modal large language models and use reinforcement learning (GRPO, PPO, DPO, etc.) as post-training means, pure evaluation benchmarks (VALSE, ARO, SugarCrepe etc.) are only cited as evaluation tools; third, reward signal design must be the core contribution of the method; fourth, representation is given priority, and 1–3 representative works are selected from each sub-direction. The three categories of methods are delineated based on the source of reward information: the verification of the final answer by external criteria is classified as the verifier reward, the alignment of the relationship between the answer and the visual evidence is classified as the visual alignment reward, and the credit allocation of the reasoning process itself is classified as the optimization of the reasoning process.</w:t>
      </w:r>
    </w:p>
    <w:bookmarkEnd w:id="1"/>
    <w:p w14:paraId="75183D45">
      <w:pPr>
        <w:pStyle w:val="4"/>
        <w:spacing w:line="360" w:lineRule="auto"/>
        <w:jc w:val="both"/>
        <w:rPr>
          <w:rFonts w:eastAsia="宋体"/>
        </w:rPr>
      </w:pPr>
      <w:bookmarkStart w:id="2" w:name="background"/>
      <w:r>
        <w:rPr>
          <w:rFonts w:ascii="Times New Roman" w:hAnsi="Times New Roman" w:eastAsia="宋体"/>
        </w:rPr>
        <w:t>2. Background</w:t>
      </w:r>
    </w:p>
    <w:p w14:paraId="48B6B47B">
      <w:pPr>
        <w:pStyle w:val="5"/>
        <w:spacing w:line="360" w:lineRule="auto"/>
        <w:jc w:val="both"/>
      </w:pPr>
      <w:bookmarkStart w:id="3" w:name="组合推理的定义与评测基准"/>
      <w:r>
        <w:rPr>
          <w:rFonts w:hint="eastAsia" w:eastAsia="宋体"/>
        </w:rPr>
        <w:t>2.1 Definition and evaluation benchmark of compositional reasoning</w:t>
      </w:r>
    </w:p>
    <w:p w14:paraId="78DB3B42">
      <w:pPr>
        <w:pStyle w:val="33"/>
        <w:spacing w:line="360" w:lineRule="auto"/>
        <w:ind w:firstLine="480" w:firstLineChars="200"/>
        <w:jc w:val="both"/>
      </w:pPr>
      <w:r>
        <w:rPr>
          <w:rFonts w:hint="eastAsia"/>
          <w:color w:val="000000"/>
        </w:rPr>
        <w:t>The term compositional reasoning in this article refers to the model's ability to accurately bind objects, attributes and spatial/logical relationships in a visual scene to complete understanding and reasoning. It is different from the reasoning paradigm of "decomposing the problem into sub-problems": the core of compositional reasoning lies in binding, which requires the model to identify objects, attributes and spatial locations at the same time. Any binding error will lead to overall understanding deviation. This distinction is aimed at the reasoning goal rather than the means, and decomposition can become a means to achieve binding (the method in Section 3.3 is approaching the binding goal with explicit decomposition). From this, compositional reasoning can be operationalized into three sub-problems: attribute binding, spatial/logical relationship and word order/structure sensitivity.</w:t>
      </w:r>
    </w:p>
    <w:p w14:paraId="0F8894A1">
      <w:pPr>
        <w:pStyle w:val="3"/>
        <w:spacing w:line="360" w:lineRule="auto"/>
        <w:ind w:firstLine="480" w:firstLineChars="200"/>
        <w:jc w:val="both"/>
      </w:pPr>
      <w:r>
        <w:rPr>
          <w:rFonts w:hint="eastAsia"/>
          <w:color w:val="000000"/>
        </w:rPr>
        <w:t>Focusing on the above abilities, the academic community has constructed a series of evaluation benchmarks. VALSE tests the model's judgment on language phenomena such as existence, counting, and spatial relations by constructing foiled examples [5]; CREPE expands the evaluation scale to 370,000 image-text pairs and systematically examines compositionality along the two dimensions of systematicity and productivity [1]; ARO covers three types of compositional structures, attributes, relations, and word order, with 50,000 cases, and reveals that existing retrieval benchmarks do not require compositional understanding, allowing models to score via shortcuts [2]; SugarCrepe addresses the problem that programmatic benchmarks are easily hacked by using an LLM to generate semantically reasonable hard negative samples, converging the evaluation into three atomic operations: Replace, Swap, and Add [3].</w:t>
      </w:r>
    </w:p>
    <w:p w14:paraId="22A06201">
      <w:pPr>
        <w:pStyle w:val="3"/>
        <w:spacing w:line="360" w:lineRule="auto"/>
        <w:ind w:firstLine="480" w:firstLineChars="200"/>
        <w:jc w:val="both"/>
      </w:pPr>
      <w:r>
        <w:rPr>
          <w:rFonts w:hint="eastAsia"/>
          <w:color w:val="000000"/>
        </w:rPr>
        <w:t>Although the evaluation protocols of each benchmark are different, the failure modes are highly consistent: object recognition is stronger than attribute binding, attributes are stronger than relationship understanding, and pure binding (Swap) is the most difficult (comprehensive multi-benchmark conclusion). This provides clear optimization targets for subsequent RL methods. However, each method has its own way of selecting evaluation sets, and the protocols are incompatible with each other, making it difficult to compare results horizontally. This "benchmark fragmentation" problem will be discussed in Section 4. Table 1 summarizes the core information of the above benchmarks.</w:t>
      </w:r>
    </w:p>
    <w:p w14:paraId="3F568F66">
      <w:pPr>
        <w:pStyle w:val="12"/>
        <w:spacing w:line="360" w:lineRule="auto"/>
        <w:jc w:val="center"/>
        <w:rPr>
          <w:i w:val="0"/>
          <w:iCs/>
          <w:sz w:val="21"/>
          <w:szCs w:val="21"/>
        </w:rPr>
      </w:pPr>
      <w:r>
        <w:rPr>
          <w:rFonts w:hint="eastAsia"/>
          <w:b/>
          <w:bCs/>
          <w:i w:val="0"/>
          <w:iCs/>
          <w:sz w:val="21"/>
          <w:szCs w:val="21"/>
        </w:rPr>
        <w:t>Table 1: Comparison of compositional reasoning evaluation benchmarks</w:t>
      </w:r>
    </w:p>
    <w:tbl>
      <w:tblPr>
        <w:tblStyle w:val="82"/>
        <w:tblW w:w="5000" w:type="pct"/>
        <w:jc w:val="center"/>
        <w:tblLayout w:type="fixed"/>
        <w:tblCellMar>
          <w:top w:w="0" w:type="dxa"/>
          <w:left w:w="108" w:type="dxa"/>
          <w:bottom w:w="0" w:type="dxa"/>
          <w:right w:w="108" w:type="dxa"/>
        </w:tblCellMar>
      </w:tblPr>
      <w:tblGrid>
        <w:gridCol w:w="1378"/>
        <w:gridCol w:w="2203"/>
        <w:gridCol w:w="2108"/>
        <w:gridCol w:w="1052"/>
        <w:gridCol w:w="1899"/>
      </w:tblGrid>
      <w:tr w14:paraId="11370E92">
        <w:tblPrEx>
          <w:tblCellMar>
            <w:top w:w="0" w:type="dxa"/>
            <w:left w:w="108" w:type="dxa"/>
            <w:bottom w:w="0" w:type="dxa"/>
            <w:right w:w="108" w:type="dxa"/>
          </w:tblCellMar>
        </w:tblPrEx>
        <w:trPr>
          <w:tblHeader/>
          <w:jc w:val="center"/>
        </w:trPr>
        <w:tc>
          <w:tcPr>
            <w:tcW w:w="797" w:type="pct"/>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2730F61A">
            <w:pPr>
              <w:pStyle w:val="52"/>
              <w:spacing w:line="360" w:lineRule="auto"/>
              <w:jc w:val="center"/>
              <w:rPr>
                <w:sz w:val="21"/>
                <w:szCs w:val="21"/>
              </w:rPr>
            </w:pPr>
            <w:r>
              <w:rPr>
                <w:rFonts w:hint="eastAsia"/>
                <w:b/>
                <w:sz w:val="21"/>
                <w:szCs w:val="21"/>
              </w:rPr>
              <w:t>Benchmark</w:t>
            </w:r>
          </w:p>
        </w:tc>
        <w:tc>
          <w:tcPr>
            <w:tcW w:w="1275" w:type="pct"/>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65DF3299">
            <w:pPr>
              <w:pStyle w:val="52"/>
              <w:spacing w:line="360" w:lineRule="auto"/>
              <w:jc w:val="center"/>
              <w:rPr>
                <w:sz w:val="21"/>
                <w:szCs w:val="21"/>
              </w:rPr>
            </w:pPr>
            <w:r>
              <w:rPr>
                <w:rFonts w:hint="eastAsia"/>
                <w:b/>
                <w:sz w:val="21"/>
                <w:szCs w:val="21"/>
              </w:rPr>
              <w:t>subtask dimensions</w:t>
            </w:r>
          </w:p>
        </w:tc>
        <w:tc>
          <w:tcPr>
            <w:tcW w:w="1220" w:type="pct"/>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71091FEA">
            <w:pPr>
              <w:pStyle w:val="52"/>
              <w:spacing w:line="360" w:lineRule="auto"/>
              <w:jc w:val="center"/>
              <w:rPr>
                <w:sz w:val="21"/>
                <w:szCs w:val="21"/>
              </w:rPr>
            </w:pPr>
            <w:r>
              <w:rPr>
                <w:rFonts w:hint="eastAsia"/>
                <w:b/>
                <w:sz w:val="21"/>
                <w:szCs w:val="21"/>
              </w:rPr>
              <w:t>Evaluation method</w:t>
            </w:r>
          </w:p>
        </w:tc>
        <w:tc>
          <w:tcPr>
            <w:tcW w:w="609" w:type="pct"/>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7186212E">
            <w:pPr>
              <w:pStyle w:val="52"/>
              <w:spacing w:line="360" w:lineRule="auto"/>
              <w:jc w:val="center"/>
              <w:rPr>
                <w:sz w:val="21"/>
                <w:szCs w:val="21"/>
              </w:rPr>
            </w:pPr>
            <w:r>
              <w:rPr>
                <w:rFonts w:hint="eastAsia"/>
                <w:b/>
                <w:sz w:val="21"/>
                <w:szCs w:val="21"/>
              </w:rPr>
              <w:t>Scale</w:t>
            </w:r>
          </w:p>
        </w:tc>
        <w:tc>
          <w:tcPr>
            <w:tcW w:w="1944" w:type="dxa"/>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70B76F28">
            <w:pPr>
              <w:pStyle w:val="52"/>
              <w:spacing w:line="360" w:lineRule="auto"/>
              <w:jc w:val="center"/>
              <w:rPr>
                <w:sz w:val="21"/>
                <w:szCs w:val="21"/>
              </w:rPr>
            </w:pPr>
            <w:r>
              <w:rPr>
                <w:rFonts w:hint="eastAsia"/>
                <w:b/>
                <w:sz w:val="21"/>
                <w:szCs w:val="21"/>
              </w:rPr>
              <w:t>Key findings</w:t>
            </w:r>
          </w:p>
        </w:tc>
      </w:tr>
      <w:tr w14:paraId="54340151">
        <w:tblPrEx>
          <w:tblCellMar>
            <w:top w:w="0" w:type="dxa"/>
            <w:left w:w="108" w:type="dxa"/>
            <w:bottom w:w="0" w:type="dxa"/>
            <w:right w:w="108" w:type="dxa"/>
          </w:tblCellMar>
        </w:tblPrEx>
        <w:trPr>
          <w:jc w:val="center"/>
        </w:trPr>
        <w:tc>
          <w:tcPr>
            <w:tcW w:w="797" w:type="pct"/>
            <w:tcBorders>
              <w:top w:val="single" w:color="808080" w:sz="4" w:space="0"/>
              <w:left w:val="single" w:color="808080" w:sz="4" w:space="0"/>
              <w:bottom w:val="single" w:color="808080" w:sz="4" w:space="0"/>
              <w:right w:val="single" w:color="808080" w:sz="4" w:space="0"/>
            </w:tcBorders>
            <w:vAlign w:val="center"/>
          </w:tcPr>
          <w:p w14:paraId="5D687CFC">
            <w:pPr>
              <w:pStyle w:val="52"/>
              <w:spacing w:line="360" w:lineRule="auto"/>
              <w:jc w:val="left"/>
              <w:rPr>
                <w:sz w:val="21"/>
                <w:szCs w:val="21"/>
              </w:rPr>
            </w:pPr>
            <w:r>
              <w:rPr>
                <w:b/>
                <w:sz w:val="21"/>
                <w:szCs w:val="21"/>
              </w:rPr>
              <w:t>VALSE</w:t>
            </w:r>
          </w:p>
        </w:tc>
        <w:tc>
          <w:tcPr>
            <w:tcW w:w="1275" w:type="pct"/>
            <w:tcBorders>
              <w:top w:val="single" w:color="808080" w:sz="4" w:space="0"/>
              <w:left w:val="single" w:color="808080" w:sz="4" w:space="0"/>
              <w:bottom w:val="single" w:color="808080" w:sz="4" w:space="0"/>
              <w:right w:val="single" w:color="808080" w:sz="4" w:space="0"/>
            </w:tcBorders>
            <w:vAlign w:val="center"/>
          </w:tcPr>
          <w:p w14:paraId="5AFB2639">
            <w:pPr>
              <w:pStyle w:val="52"/>
              <w:spacing w:line="360" w:lineRule="auto"/>
              <w:jc w:val="left"/>
              <w:rPr>
                <w:sz w:val="21"/>
                <w:szCs w:val="21"/>
              </w:rPr>
            </w:pPr>
            <w:r>
              <w:rPr>
                <w:rFonts w:hint="eastAsia"/>
                <w:sz w:val="21"/>
                <w:szCs w:val="21"/>
              </w:rPr>
              <w:t>Existence/plural/counting/spatial relations/action/coreference</w:t>
            </w:r>
          </w:p>
        </w:tc>
        <w:tc>
          <w:tcPr>
            <w:tcW w:w="1220" w:type="pct"/>
            <w:tcBorders>
              <w:top w:val="single" w:color="808080" w:sz="4" w:space="0"/>
              <w:left w:val="single" w:color="808080" w:sz="4" w:space="0"/>
              <w:bottom w:val="single" w:color="808080" w:sz="4" w:space="0"/>
              <w:right w:val="single" w:color="808080" w:sz="4" w:space="0"/>
            </w:tcBorders>
            <w:vAlign w:val="center"/>
          </w:tcPr>
          <w:p w14:paraId="3850CB88">
            <w:pPr>
              <w:pStyle w:val="52"/>
              <w:spacing w:line="360" w:lineRule="auto"/>
              <w:jc w:val="left"/>
              <w:rPr>
                <w:sz w:val="21"/>
                <w:szCs w:val="21"/>
              </w:rPr>
            </w:pPr>
            <w:r>
              <w:rPr>
                <w:rFonts w:hint="eastAsia"/>
                <w:sz w:val="21"/>
                <w:szCs w:val="21"/>
              </w:rPr>
              <w:t>True or False Judgment (foiled instances)</w:t>
            </w:r>
          </w:p>
        </w:tc>
        <w:tc>
          <w:tcPr>
            <w:tcW w:w="609" w:type="pct"/>
            <w:tcBorders>
              <w:top w:val="single" w:color="808080" w:sz="4" w:space="0"/>
              <w:left w:val="single" w:color="808080" w:sz="4" w:space="0"/>
              <w:bottom w:val="single" w:color="808080" w:sz="4" w:space="0"/>
              <w:right w:val="single" w:color="808080" w:sz="4" w:space="0"/>
            </w:tcBorders>
            <w:vAlign w:val="center"/>
          </w:tcPr>
          <w:p w14:paraId="545843A8">
            <w:pPr>
              <w:pStyle w:val="52"/>
              <w:spacing w:line="360" w:lineRule="auto"/>
              <w:jc w:val="left"/>
              <w:rPr>
                <w:sz w:val="21"/>
                <w:szCs w:val="21"/>
              </w:rPr>
            </w:pPr>
            <w:r>
              <w:rPr>
                <w:rFonts w:hint="eastAsia"/>
                <w:sz w:val="21"/>
                <w:szCs w:val="21"/>
              </w:rPr>
              <w:t>6,795 cases</w:t>
            </w:r>
          </w:p>
        </w:tc>
        <w:tc>
          <w:tcPr>
            <w:tcW w:w="1944" w:type="dxa"/>
            <w:tcBorders>
              <w:top w:val="single" w:color="808080" w:sz="4" w:space="0"/>
              <w:left w:val="single" w:color="808080" w:sz="4" w:space="0"/>
              <w:bottom w:val="single" w:color="808080" w:sz="4" w:space="0"/>
              <w:right w:val="single" w:color="808080" w:sz="4" w:space="0"/>
            </w:tcBorders>
            <w:vAlign w:val="center"/>
          </w:tcPr>
          <w:p w14:paraId="286C03DF">
            <w:pPr>
              <w:pStyle w:val="52"/>
              <w:spacing w:line="360" w:lineRule="auto"/>
              <w:jc w:val="left"/>
              <w:rPr>
                <w:sz w:val="21"/>
                <w:szCs w:val="21"/>
              </w:rPr>
            </w:pPr>
            <w:r>
              <w:rPr>
                <w:rFonts w:hint="eastAsia"/>
                <w:sz w:val="21"/>
                <w:szCs w:val="21"/>
              </w:rPr>
              <w:t>Strong on existence, acceptable counting; weak plural/space/coreference/action</w:t>
            </w:r>
          </w:p>
        </w:tc>
      </w:tr>
      <w:tr w14:paraId="4556FE78">
        <w:tblPrEx>
          <w:tblCellMar>
            <w:top w:w="0" w:type="dxa"/>
            <w:left w:w="108" w:type="dxa"/>
            <w:bottom w:w="0" w:type="dxa"/>
            <w:right w:w="108" w:type="dxa"/>
          </w:tblCellMar>
        </w:tblPrEx>
        <w:trPr>
          <w:jc w:val="center"/>
        </w:trPr>
        <w:tc>
          <w:tcPr>
            <w:tcW w:w="797" w:type="pct"/>
            <w:tcBorders>
              <w:top w:val="single" w:color="808080" w:sz="4" w:space="0"/>
              <w:left w:val="single" w:color="808080" w:sz="4" w:space="0"/>
              <w:bottom w:val="single" w:color="808080" w:sz="4" w:space="0"/>
              <w:right w:val="single" w:color="808080" w:sz="4" w:space="0"/>
            </w:tcBorders>
            <w:vAlign w:val="center"/>
          </w:tcPr>
          <w:p w14:paraId="2BA9F52D">
            <w:pPr>
              <w:pStyle w:val="52"/>
              <w:spacing w:line="360" w:lineRule="auto"/>
              <w:jc w:val="left"/>
              <w:rPr>
                <w:sz w:val="21"/>
                <w:szCs w:val="21"/>
              </w:rPr>
            </w:pPr>
            <w:r>
              <w:rPr>
                <w:b/>
                <w:sz w:val="21"/>
                <w:szCs w:val="21"/>
              </w:rPr>
              <w:t>CREPE</w:t>
            </w:r>
          </w:p>
        </w:tc>
        <w:tc>
          <w:tcPr>
            <w:tcW w:w="1275" w:type="pct"/>
            <w:tcBorders>
              <w:top w:val="single" w:color="808080" w:sz="4" w:space="0"/>
              <w:left w:val="single" w:color="808080" w:sz="4" w:space="0"/>
              <w:bottom w:val="single" w:color="808080" w:sz="4" w:space="0"/>
              <w:right w:val="single" w:color="808080" w:sz="4" w:space="0"/>
            </w:tcBorders>
            <w:vAlign w:val="center"/>
          </w:tcPr>
          <w:p w14:paraId="1C4F4A4E">
            <w:pPr>
              <w:pStyle w:val="52"/>
              <w:spacing w:line="360" w:lineRule="auto"/>
              <w:jc w:val="left"/>
              <w:rPr>
                <w:sz w:val="21"/>
                <w:szCs w:val="21"/>
              </w:rPr>
            </w:pPr>
            <w:r>
              <w:rPr>
                <w:rFonts w:hint="eastAsia"/>
                <w:sz w:val="21"/>
                <w:szCs w:val="21"/>
              </w:rPr>
              <w:t>Systematic/Productivity</w:t>
            </w:r>
          </w:p>
        </w:tc>
        <w:tc>
          <w:tcPr>
            <w:tcW w:w="1220" w:type="pct"/>
            <w:tcBorders>
              <w:top w:val="single" w:color="808080" w:sz="4" w:space="0"/>
              <w:left w:val="single" w:color="808080" w:sz="4" w:space="0"/>
              <w:bottom w:val="single" w:color="808080" w:sz="4" w:space="0"/>
              <w:right w:val="single" w:color="808080" w:sz="4" w:space="0"/>
            </w:tcBorders>
            <w:vAlign w:val="center"/>
          </w:tcPr>
          <w:p w14:paraId="1617689E">
            <w:pPr>
              <w:pStyle w:val="52"/>
              <w:spacing w:line="360" w:lineRule="auto"/>
              <w:jc w:val="left"/>
              <w:rPr>
                <w:sz w:val="21"/>
                <w:szCs w:val="21"/>
              </w:rPr>
            </w:pPr>
            <w:r>
              <w:rPr>
                <w:rFonts w:hint="eastAsia"/>
                <w:sz w:val="21"/>
                <w:szCs w:val="21"/>
              </w:rPr>
              <w:t>Retrieval (seen-unseen splits + complexity gradient)</w:t>
            </w:r>
          </w:p>
        </w:tc>
        <w:tc>
          <w:tcPr>
            <w:tcW w:w="609" w:type="pct"/>
            <w:tcBorders>
              <w:top w:val="single" w:color="808080" w:sz="4" w:space="0"/>
              <w:left w:val="single" w:color="808080" w:sz="4" w:space="0"/>
              <w:bottom w:val="single" w:color="808080" w:sz="4" w:space="0"/>
              <w:right w:val="single" w:color="808080" w:sz="4" w:space="0"/>
            </w:tcBorders>
            <w:vAlign w:val="center"/>
          </w:tcPr>
          <w:p w14:paraId="0E1ABC1E">
            <w:pPr>
              <w:pStyle w:val="52"/>
              <w:spacing w:line="360" w:lineRule="auto"/>
              <w:jc w:val="left"/>
              <w:rPr>
                <w:sz w:val="21"/>
                <w:szCs w:val="21"/>
              </w:rPr>
            </w:pPr>
            <w:r>
              <w:rPr>
                <w:sz w:val="21"/>
                <w:szCs w:val="21"/>
              </w:rPr>
              <w:t>370K-level</w:t>
            </w:r>
          </w:p>
        </w:tc>
        <w:tc>
          <w:tcPr>
            <w:tcW w:w="1944" w:type="dxa"/>
            <w:tcBorders>
              <w:top w:val="single" w:color="808080" w:sz="4" w:space="0"/>
              <w:left w:val="single" w:color="808080" w:sz="4" w:space="0"/>
              <w:bottom w:val="single" w:color="808080" w:sz="4" w:space="0"/>
              <w:right w:val="single" w:color="808080" w:sz="4" w:space="0"/>
            </w:tcBorders>
            <w:vAlign w:val="center"/>
          </w:tcPr>
          <w:p w14:paraId="4438A663">
            <w:pPr>
              <w:pStyle w:val="52"/>
              <w:spacing w:line="360" w:lineRule="auto"/>
              <w:jc w:val="left"/>
              <w:rPr>
                <w:sz w:val="21"/>
                <w:szCs w:val="21"/>
              </w:rPr>
            </w:pPr>
            <w:r>
              <w:rPr>
                <w:rFonts w:hint="eastAsia"/>
                <w:sz w:val="21"/>
                <w:szCs w:val="21"/>
              </w:rPr>
              <w:t>Defects have nothing to do with size</w:t>
            </w:r>
          </w:p>
        </w:tc>
      </w:tr>
      <w:tr w14:paraId="71B77428">
        <w:tblPrEx>
          <w:tblCellMar>
            <w:top w:w="0" w:type="dxa"/>
            <w:left w:w="108" w:type="dxa"/>
            <w:bottom w:w="0" w:type="dxa"/>
            <w:right w:w="108" w:type="dxa"/>
          </w:tblCellMar>
        </w:tblPrEx>
        <w:trPr>
          <w:jc w:val="center"/>
        </w:trPr>
        <w:tc>
          <w:tcPr>
            <w:tcW w:w="797" w:type="pct"/>
            <w:tcBorders>
              <w:top w:val="single" w:color="808080" w:sz="4" w:space="0"/>
              <w:left w:val="single" w:color="808080" w:sz="4" w:space="0"/>
              <w:bottom w:val="single" w:color="808080" w:sz="4" w:space="0"/>
              <w:right w:val="single" w:color="808080" w:sz="4" w:space="0"/>
            </w:tcBorders>
            <w:vAlign w:val="center"/>
          </w:tcPr>
          <w:p w14:paraId="37EEF1AF">
            <w:pPr>
              <w:pStyle w:val="52"/>
              <w:spacing w:line="360" w:lineRule="auto"/>
              <w:jc w:val="left"/>
              <w:rPr>
                <w:sz w:val="21"/>
                <w:szCs w:val="21"/>
              </w:rPr>
            </w:pPr>
            <w:r>
              <w:rPr>
                <w:b/>
                <w:sz w:val="21"/>
                <w:szCs w:val="21"/>
              </w:rPr>
              <w:t>ARO</w:t>
            </w:r>
          </w:p>
        </w:tc>
        <w:tc>
          <w:tcPr>
            <w:tcW w:w="1275" w:type="pct"/>
            <w:tcBorders>
              <w:top w:val="single" w:color="808080" w:sz="4" w:space="0"/>
              <w:left w:val="single" w:color="808080" w:sz="4" w:space="0"/>
              <w:bottom w:val="single" w:color="808080" w:sz="4" w:space="0"/>
              <w:right w:val="single" w:color="808080" w:sz="4" w:space="0"/>
            </w:tcBorders>
            <w:vAlign w:val="center"/>
          </w:tcPr>
          <w:p w14:paraId="6BBD610B">
            <w:pPr>
              <w:pStyle w:val="52"/>
              <w:spacing w:line="360" w:lineRule="auto"/>
              <w:jc w:val="left"/>
              <w:rPr>
                <w:sz w:val="21"/>
                <w:szCs w:val="21"/>
              </w:rPr>
            </w:pPr>
            <w:r>
              <w:rPr>
                <w:rFonts w:hint="eastAsia"/>
                <w:sz w:val="21"/>
                <w:szCs w:val="21"/>
              </w:rPr>
              <w:t>Attributes/relationships/word order</w:t>
            </w:r>
          </w:p>
        </w:tc>
        <w:tc>
          <w:tcPr>
            <w:tcW w:w="1220" w:type="pct"/>
            <w:tcBorders>
              <w:top w:val="single" w:color="808080" w:sz="4" w:space="0"/>
              <w:left w:val="single" w:color="808080" w:sz="4" w:space="0"/>
              <w:bottom w:val="single" w:color="808080" w:sz="4" w:space="0"/>
              <w:right w:val="single" w:color="808080" w:sz="4" w:space="0"/>
            </w:tcBorders>
            <w:vAlign w:val="center"/>
          </w:tcPr>
          <w:p w14:paraId="631ED59C">
            <w:pPr>
              <w:pStyle w:val="52"/>
              <w:spacing w:line="360" w:lineRule="auto"/>
              <w:jc w:val="left"/>
              <w:rPr>
                <w:sz w:val="21"/>
                <w:szCs w:val="21"/>
              </w:rPr>
            </w:pPr>
            <w:r>
              <w:rPr>
                <w:rFonts w:hint="eastAsia"/>
                <w:sz w:val="21"/>
                <w:szCs w:val="21"/>
              </w:rPr>
              <w:t>Retrieval</w:t>
            </w:r>
          </w:p>
        </w:tc>
        <w:tc>
          <w:tcPr>
            <w:tcW w:w="609" w:type="pct"/>
            <w:tcBorders>
              <w:top w:val="single" w:color="808080" w:sz="4" w:space="0"/>
              <w:left w:val="single" w:color="808080" w:sz="4" w:space="0"/>
              <w:bottom w:val="single" w:color="808080" w:sz="4" w:space="0"/>
              <w:right w:val="single" w:color="808080" w:sz="4" w:space="0"/>
            </w:tcBorders>
            <w:vAlign w:val="center"/>
          </w:tcPr>
          <w:p w14:paraId="70B84401">
            <w:pPr>
              <w:pStyle w:val="52"/>
              <w:spacing w:line="360" w:lineRule="auto"/>
              <w:jc w:val="left"/>
              <w:rPr>
                <w:sz w:val="21"/>
                <w:szCs w:val="21"/>
              </w:rPr>
            </w:pPr>
            <w:r>
              <w:rPr>
                <w:sz w:val="21"/>
                <w:szCs w:val="21"/>
              </w:rPr>
              <w:t>50K-level</w:t>
            </w:r>
          </w:p>
        </w:tc>
        <w:tc>
          <w:tcPr>
            <w:tcW w:w="1944" w:type="dxa"/>
            <w:tcBorders>
              <w:top w:val="single" w:color="808080" w:sz="4" w:space="0"/>
              <w:left w:val="single" w:color="808080" w:sz="4" w:space="0"/>
              <w:bottom w:val="single" w:color="808080" w:sz="4" w:space="0"/>
              <w:right w:val="single" w:color="808080" w:sz="4" w:space="0"/>
            </w:tcBorders>
            <w:vAlign w:val="center"/>
          </w:tcPr>
          <w:p w14:paraId="750DEF23">
            <w:pPr>
              <w:pStyle w:val="52"/>
              <w:spacing w:line="360" w:lineRule="auto"/>
              <w:jc w:val="left"/>
              <w:rPr>
                <w:sz w:val="21"/>
                <w:szCs w:val="21"/>
              </w:rPr>
            </w:pPr>
            <w:r>
              <w:rPr>
                <w:sz w:val="21"/>
                <w:szCs w:val="21"/>
              </w:rPr>
              <w:t>Bag of words model; shortcut exists</w:t>
            </w:r>
          </w:p>
        </w:tc>
      </w:tr>
      <w:tr w14:paraId="4350880F">
        <w:tblPrEx>
          <w:tblCellMar>
            <w:top w:w="0" w:type="dxa"/>
            <w:left w:w="108" w:type="dxa"/>
            <w:bottom w:w="0" w:type="dxa"/>
            <w:right w:w="108" w:type="dxa"/>
          </w:tblCellMar>
        </w:tblPrEx>
        <w:trPr>
          <w:jc w:val="center"/>
        </w:trPr>
        <w:tc>
          <w:tcPr>
            <w:tcW w:w="797" w:type="pct"/>
            <w:tcBorders>
              <w:top w:val="single" w:color="808080" w:sz="4" w:space="0"/>
              <w:left w:val="single" w:color="808080" w:sz="4" w:space="0"/>
              <w:bottom w:val="single" w:color="808080" w:sz="4" w:space="0"/>
              <w:right w:val="single" w:color="808080" w:sz="4" w:space="0"/>
            </w:tcBorders>
            <w:vAlign w:val="center"/>
          </w:tcPr>
          <w:p w14:paraId="75725365">
            <w:pPr>
              <w:pStyle w:val="52"/>
              <w:spacing w:line="360" w:lineRule="auto"/>
              <w:jc w:val="left"/>
              <w:rPr>
                <w:sz w:val="21"/>
                <w:szCs w:val="21"/>
              </w:rPr>
            </w:pPr>
            <w:r>
              <w:rPr>
                <w:b/>
                <w:sz w:val="21"/>
                <w:szCs w:val="21"/>
              </w:rPr>
              <w:t>SugarCrepe</w:t>
            </w:r>
          </w:p>
        </w:tc>
        <w:tc>
          <w:tcPr>
            <w:tcW w:w="1275" w:type="pct"/>
            <w:tcBorders>
              <w:top w:val="single" w:color="808080" w:sz="4" w:space="0"/>
              <w:left w:val="single" w:color="808080" w:sz="4" w:space="0"/>
              <w:bottom w:val="single" w:color="808080" w:sz="4" w:space="0"/>
              <w:right w:val="single" w:color="808080" w:sz="4" w:space="0"/>
            </w:tcBorders>
            <w:vAlign w:val="center"/>
          </w:tcPr>
          <w:p w14:paraId="14485C4D">
            <w:pPr>
              <w:pStyle w:val="52"/>
              <w:spacing w:line="360" w:lineRule="auto"/>
              <w:jc w:val="left"/>
              <w:rPr>
                <w:sz w:val="21"/>
                <w:szCs w:val="21"/>
              </w:rPr>
            </w:pPr>
            <w:r>
              <w:rPr>
                <w:rFonts w:hint="eastAsia"/>
                <w:sz w:val="21"/>
                <w:szCs w:val="21"/>
              </w:rPr>
              <w:t>Replace: object/attribute/relationship; Swap/Add: object/attribute</w:t>
            </w:r>
          </w:p>
        </w:tc>
        <w:tc>
          <w:tcPr>
            <w:tcW w:w="1220" w:type="pct"/>
            <w:tcBorders>
              <w:top w:val="single" w:color="808080" w:sz="4" w:space="0"/>
              <w:left w:val="single" w:color="808080" w:sz="4" w:space="0"/>
              <w:bottom w:val="single" w:color="808080" w:sz="4" w:space="0"/>
              <w:right w:val="single" w:color="808080" w:sz="4" w:space="0"/>
            </w:tcBorders>
            <w:vAlign w:val="center"/>
          </w:tcPr>
          <w:p w14:paraId="28A5A382">
            <w:pPr>
              <w:pStyle w:val="52"/>
              <w:spacing w:line="360" w:lineRule="auto"/>
              <w:jc w:val="left"/>
              <w:rPr>
                <w:sz w:val="21"/>
                <w:szCs w:val="21"/>
              </w:rPr>
            </w:pPr>
            <w:r>
              <w:rPr>
                <w:rFonts w:hint="eastAsia"/>
                <w:sz w:val="21"/>
                <w:szCs w:val="21"/>
              </w:rPr>
              <w:t>two-choice retrieval</w:t>
            </w:r>
          </w:p>
        </w:tc>
        <w:tc>
          <w:tcPr>
            <w:tcW w:w="609" w:type="pct"/>
            <w:tcBorders>
              <w:top w:val="single" w:color="808080" w:sz="4" w:space="0"/>
              <w:left w:val="single" w:color="808080" w:sz="4" w:space="0"/>
              <w:bottom w:val="single" w:color="808080" w:sz="4" w:space="0"/>
              <w:right w:val="single" w:color="808080" w:sz="4" w:space="0"/>
            </w:tcBorders>
            <w:vAlign w:val="center"/>
          </w:tcPr>
          <w:p w14:paraId="197D4FE9">
            <w:pPr>
              <w:pStyle w:val="52"/>
              <w:spacing w:line="360" w:lineRule="auto"/>
              <w:jc w:val="left"/>
              <w:rPr>
                <w:sz w:val="21"/>
                <w:szCs w:val="21"/>
              </w:rPr>
            </w:pPr>
            <w:r>
              <w:rPr>
                <w:sz w:val="21"/>
                <w:szCs w:val="21"/>
              </w:rPr>
              <w:t>7.5K-level</w:t>
            </w:r>
          </w:p>
        </w:tc>
        <w:tc>
          <w:tcPr>
            <w:tcW w:w="1944" w:type="dxa"/>
            <w:tcBorders>
              <w:top w:val="single" w:color="808080" w:sz="4" w:space="0"/>
              <w:left w:val="single" w:color="808080" w:sz="4" w:space="0"/>
              <w:bottom w:val="single" w:color="808080" w:sz="4" w:space="0"/>
              <w:right w:val="single" w:color="808080" w:sz="4" w:space="0"/>
            </w:tcBorders>
            <w:vAlign w:val="center"/>
          </w:tcPr>
          <w:p w14:paraId="1F2C5AB5">
            <w:pPr>
              <w:pStyle w:val="52"/>
              <w:spacing w:line="360" w:lineRule="auto"/>
              <w:jc w:val="left"/>
              <w:rPr>
                <w:sz w:val="21"/>
                <w:szCs w:val="21"/>
              </w:rPr>
            </w:pPr>
            <w:r>
              <w:rPr>
                <w:sz w:val="21"/>
                <w:szCs w:val="21"/>
              </w:rPr>
              <w:t>Swap is the hardest (pre-trained CLIP); Object &gt; Attribute &gt; Relationship</w:t>
            </w:r>
          </w:p>
        </w:tc>
      </w:tr>
      <w:bookmarkEnd w:id="3"/>
    </w:tbl>
    <w:p w14:paraId="49976836">
      <w:pPr>
        <w:pStyle w:val="5"/>
        <w:spacing w:line="360" w:lineRule="auto"/>
        <w:jc w:val="both"/>
      </w:pPr>
      <w:bookmarkStart w:id="4" w:name="rl-基础与奖励信号演进主线"/>
      <w:r>
        <w:rPr>
          <w:rFonts w:hint="eastAsia" w:eastAsia="宋体"/>
        </w:rPr>
        <w:t>2.2 RL background and the reward signal evolution thread</w:t>
      </w:r>
    </w:p>
    <w:p w14:paraId="664B447A">
      <w:pPr>
        <w:pStyle w:val="33"/>
        <w:spacing w:line="360" w:lineRule="auto"/>
        <w:ind w:firstLine="480" w:firstLineChars="200"/>
        <w:jc w:val="both"/>
      </w:pPr>
      <w:r>
        <w:rPr>
          <w:rFonts w:hint="eastAsia"/>
          <w:color w:val="000000"/>
        </w:rPr>
        <w:t>Early work introducing reinforcement learning to visual-language alignment followed the RLHF and RLAIF paradigms of LLM. LLaVA-RLHF [6], RLHF-V [7], Silkie [8] and other works have jointly established the paradigm of "rewards come from the judgment of answers". The feedback granularity stays at the answer as a whole or language fragments, and has not yet touched the correctness of the compositional binding.</w:t>
      </w:r>
    </w:p>
    <w:p w14:paraId="3A74F6C8">
      <w:pPr>
        <w:pStyle w:val="3"/>
        <w:spacing w:line="360" w:lineRule="auto"/>
        <w:ind w:firstLine="480" w:firstLineChars="200"/>
        <w:jc w:val="both"/>
      </w:pPr>
      <w:r>
        <w:rPr>
          <w:rFonts w:hint="eastAsia"/>
          <w:color w:val="000000"/>
        </w:rPr>
        <w:t>Breakthroughs in mathematical reasoning have changed the way reward signals are designed. GRPO [9] proposed by DeepSeekMath removes the value network of PPO, samples multiple answers to the same question, and uses the relative advantages within the group</w:t>
      </w:r>
    </w:p>
    <w:p w14:paraId="2A50B5E8">
      <w:pPr>
        <w:pStyle w:val="3"/>
        <w:spacing w:line="360" w:lineRule="auto"/>
        <w:jc w:val="both"/>
      </w:pPr>
      <m:oMathPara>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acc>
                    <m:accPr>
                      <m:chr m:val="‾"/>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num>
                <m:den>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den>
              </m:f>
              <m:r>
                <m:rPr/>
                <w:rPr>
                  <w:rFonts w:ascii="Cambria Math" w:hAnsi="Cambria Math"/>
                </w:rPr>
                <m:t>#(1)</m:t>
              </m:r>
              <m:ctrlPr>
                <w:rPr>
                  <w:rFonts w:ascii="Cambria Math" w:hAnsi="Cambria Math"/>
                </w:rPr>
              </m:ctrlPr>
            </m:e>
          </m:eqArr>
        </m:oMath>
      </m:oMathPara>
    </w:p>
    <w:p w14:paraId="746A217E">
      <w:pPr>
        <w:pStyle w:val="33"/>
        <w:spacing w:line="360" w:lineRule="auto"/>
        <w:jc w:val="both"/>
      </w:pPr>
      <w:r>
        <w:rPr>
          <w:rFonts w:hint="eastAsia"/>
          <w:color w:val="000000"/>
        </w:rPr>
        <w:t>Replacing critic scoring and providing rewards with a deterministic rule verifier opens up the "RL with Verifiable Rewards, RLVR; term proposed by Tülu 3 and popularized by DeepSeek-R1" route. A natural comparison is Direct Preference Optimization (DPO) [10]: it uses offline preference pairs as raw materials, does not require an explicit reward model, and can automatically construct preference pairs under verifiable reward settings; however, DPO's preference pairs come from a fixed sampling distribution and are not iteratively updated with the policy, making it difficult to continuously benefit from new inference paths self-generated by the model. GRPO's online group sampling, relative advantages within the group, and natural compatibility with rules/structured rewards are the underlying reasons why the methods in 3.1 ~ 3.3 of this article generally use it as the algorithm base and expand the reward granularity on this basis.</w:t>
      </w:r>
    </w:p>
    <w:p w14:paraId="661BCE53">
      <w:pPr>
        <w:pStyle w:val="3"/>
        <w:spacing w:line="360" w:lineRule="auto"/>
        <w:ind w:firstLine="480" w:firstLineChars="200"/>
        <w:jc w:val="both"/>
      </w:pPr>
      <w:r>
        <w:rPr>
          <w:rFonts w:hint="eastAsia"/>
          <w:color w:val="000000"/>
        </w:rPr>
        <w:t>Further theoretical analysis shows that GRPO and Process Reward Model (PRM) are not two independent routes: under the settings of token-level policy gradient and single update, the standard GRPO goal and the PRM-aware goal are mathematically equivalent. The shared prefix of multiple answers in the group naturally defines the "process step", and GRPO has been implicitly assigning process-level credit [11]. On the multimodal side, work such as VisualPRM has extended PRM to multimodal reasoning [12].</w:t>
      </w:r>
    </w:p>
    <w:p w14:paraId="1F747F03">
      <w:pPr>
        <w:pStyle w:val="3"/>
        <w:spacing w:line="360" w:lineRule="auto"/>
        <w:ind w:firstLine="480" w:firstLineChars="200"/>
        <w:jc w:val="both"/>
      </w:pPr>
      <w:r>
        <w:rPr>
          <w:rFonts w:hint="eastAsia"/>
          <w:color w:val="000000"/>
        </w:rPr>
        <w:t>At this point, the source of verifiability of reward signals has undergone a fundamental shift: from subjective scoring by humans/AI to deterministic verification of rules and structures. However, compositional reasoning is different from mathematics in that it does not have a single standard answer. The correctness lies precisely in the binding of attributes and relationships. How to define a verifiable reward signal for this binding is the starting point for the three categories of methods in Section 3.</w:t>
      </w:r>
    </w:p>
    <w:bookmarkEnd w:id="2"/>
    <w:bookmarkEnd w:id="4"/>
    <w:p w14:paraId="4A7DA9BC">
      <w:pPr>
        <w:pStyle w:val="4"/>
        <w:spacing w:line="360" w:lineRule="auto"/>
        <w:jc w:val="both"/>
      </w:pPr>
      <w:bookmarkStart w:id="5" w:name="方法分类"/>
      <w:r>
        <w:rPr>
          <w:rFonts w:hint="eastAsia" w:ascii="Times New Roman" w:hAnsi="Times New Roman" w:eastAsia="宋体"/>
        </w:rPr>
        <w:t>3. Classification of methods</w:t>
      </w:r>
    </w:p>
    <w:p w14:paraId="465459AE">
      <w:pPr>
        <w:pStyle w:val="33"/>
        <w:spacing w:line="360" w:lineRule="auto"/>
        <w:ind w:firstLine="480" w:firstLineChars="200"/>
        <w:jc w:val="both"/>
      </w:pPr>
      <w:r>
        <w:rPr>
          <w:rFonts w:hint="eastAsia"/>
          <w:color w:val="000000"/>
        </w:rPr>
        <w:t>According to the incremental contribution of reward signals, existing methods can be summarized into three categories: result verification rewards, visual alignment rewards and reasoning process rewards, which respectively correspond to the optimization goals at the three levels of "whether it is correct", "whether it looks at the right evidence" and "whether it is reasonable to reason" in compositional reasoning. Specifically, criterion design innovation (how to determine right or wrong) is classified into 3.1, signal source innovation (what rewards are based on) is classified into 3.2, and optimization object innovation (where rewards are used) is classified into 3.3; the common components inherited by each method from the RLVR base (such as GRPO's answer verification) are not included in the classification basis. The categories reflect the expansion of reward granularity rather than a strict inheritance relationship; this section is organized into three categories, and each method is presented according to unified dimensions (reward sources, supervision requirements, compositional reach, evaluation and limitations). The relationship between categories is discussed in Section 3.4.</w:t>
      </w:r>
    </w:p>
    <w:p w14:paraId="09297141">
      <w:pPr>
        <w:pStyle w:val="5"/>
        <w:spacing w:line="360" w:lineRule="auto"/>
        <w:jc w:val="both"/>
      </w:pPr>
      <w:bookmarkStart w:id="6" w:name="验证器奖励verifier-based"/>
      <w:r>
        <w:rPr>
          <w:rFonts w:hint="eastAsia" w:eastAsia="宋体"/>
        </w:rPr>
        <w:t>3.1 Verifier rewards (Verifier-based)</w:t>
      </w:r>
    </w:p>
    <w:p w14:paraId="41D064F0">
      <w:pPr>
        <w:pStyle w:val="33"/>
        <w:spacing w:line="360" w:lineRule="auto"/>
        <w:ind w:firstLine="480" w:firstLineChars="200"/>
        <w:jc w:val="both"/>
      </w:pPr>
      <w:r>
        <w:rPr>
          <w:rFonts w:hint="eastAsia"/>
          <w:color w:val="000000"/>
        </w:rPr>
        <w:t>Verifier rewards are built on the premise that "correctness is definable": when the answer to a task can be automatically determined by rules, procedures, or structural constraints, the verifier can provide a deterministic training signal without the need to train a reward model. The "verifier" in this article means a deterministic criterion, as opposed to a learning verifier - the latter, such as the Process Reward Model (PRM), needs to be trained with annotated data. This article uses it as a bridge to transition to 3.3 process modeling and discusses it in Section 3.3; the criterion can either be compared with external standards or degenerate into a self-consistency check without external standards (the consistency criterion of SVQA-R1 falls into this category and is an extension to the direction of self-supervision). Errors in compositional reasoning are concentrated in fine binding, and correct or incorrect binding can be automatically determined under certain task designs. Focusing on "what to verify", different works respectively verify the final answer, the intermediate structure of reasoning and the cross-perspective consistency of the answer.</w:t>
      </w:r>
    </w:p>
    <w:p w14:paraId="792D458E">
      <w:pPr>
        <w:pStyle w:val="3"/>
        <w:spacing w:line="360" w:lineRule="auto"/>
        <w:ind w:firstLine="480" w:firstLineChars="200"/>
        <w:jc w:val="both"/>
      </w:pPr>
      <w:r>
        <w:rPr>
          <w:rFonts w:hint="eastAsia"/>
          <w:color w:val="000000"/>
        </w:rPr>
        <w:t>CR³ [4] is a representative of result-level verification. Its contribution is to redesign compositional reasoning into a task where answers can be automatically judged: three image-text matching tasks (TG-VCR, VG-TCR, CITM) are constructed. The correctness of the answer is determined by deterministic rules, and the reward is composed of two binary components: the correct answer and the order of reasoning:</w:t>
      </w:r>
    </w:p>
    <w:p w14:paraId="3B1A053E">
      <w:pPr>
        <w:pStyle w:val="3"/>
        <w:spacing w:line="360" w:lineRule="auto"/>
        <w:jc w:val="center"/>
      </w:pPr>
      <m:oMathPara>
        <m:oMath>
          <m:eqArr>
            <m:eqArrPr>
              <m:maxDist m:val="1"/>
              <m:ctrlPr>
                <w:rPr>
                  <w:rFonts w:hint="default" w:ascii="Cambria Math" w:hAnsi="Cambria Math"/>
                  <w:i/>
                  <w:sz w:val="24"/>
                </w:rPr>
              </m:ctrlPr>
            </m:eqArrPr>
            <m:e>
              <m:r>
                <m:rPr/>
                <w:rPr>
                  <w:rFonts w:hint="default" w:ascii="Cambria Math" w:hAnsi="Cambria Math"/>
                  <w:sz w:val="24"/>
                </w:rPr>
                <m:t>r=</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acc</m:t>
                  </m:r>
                  <m:ctrlPr>
                    <w:rPr>
                      <w:rFonts w:ascii="Cambria Math" w:hAnsi="Cambria Math"/>
                      <w:sz w:val="24"/>
                    </w:rPr>
                  </m:ctrlPr>
                </m:sub>
              </m:sSub>
              <m:r>
                <m:rPr/>
                <w:rPr>
                  <w:rFonts w:hint="default" w:ascii="Cambria Math" w:hAnsi="Cambria Math"/>
                  <w:sz w:val="24"/>
                </w:rPr>
                <m:t>+λ</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format</m:t>
                  </m:r>
                  <m:ctrlPr>
                    <w:rPr>
                      <w:rFonts w:ascii="Cambria Math" w:hAnsi="Cambria Math"/>
                      <w:sz w:val="24"/>
                    </w:rPr>
                  </m:ctrlPr>
                </m:sub>
              </m:sSub>
              <m:r>
                <m:rPr/>
                <w:rPr>
                  <w:rFonts w:ascii="Cambria Math" w:hAnsi="Cambria Math"/>
                  <w:sz w:val="24"/>
                </w:rPr>
                <m:t>#</m:t>
              </m:r>
              <m:r>
                <m:rPr/>
                <w:rPr>
                  <w:rFonts w:hint="default" w:ascii="Cambria Math" w:hAnsi="Cambria Math"/>
                  <w:sz w:val="24"/>
                  <w:lang w:val="en-US" w:eastAsia="zh-CN"/>
                </w:rPr>
                <m:t>(2)</m:t>
              </m:r>
              <m:ctrlPr>
                <w:rPr>
                  <w:rFonts w:hint="default" w:ascii="Cambria Math" w:hAnsi="Cambria Math"/>
                  <w:i/>
                  <w:sz w:val="24"/>
                </w:rPr>
              </m:ctrlPr>
            </m:e>
          </m:eqArr>
        </m:oMath>
      </m:oMathPara>
    </w:p>
    <w:p w14:paraId="1DAEF495">
      <w:pPr>
        <w:pStyle w:val="33"/>
        <w:spacing w:line="360" w:lineRule="auto"/>
        <w:ind w:firstLine="480" w:firstLineChars="200"/>
        <w:jc w:val="both"/>
      </w:pPr>
      <w:r>
        <w:rPr>
          <w:rFonts w:hint="eastAsia"/>
          <w:color w:val="000000"/>
        </w:rPr>
        <w:t>The answer component takes 1 when the output is completely consistent with the standard answer, and the sequence component takes 1 when the output strictly follows the format of "first give the reasoning with &lt;think&gt;, and then give the answer with &lt;answer&gt;" (</w:t>
      </w:r>
      <m:oMath>
        <m:r>
          <m:rPr/>
          <w:rPr>
            <w:rFonts w:ascii="Cambria Math" w:hAnsi="Cambria Math"/>
          </w:rPr>
          <m:t>λ</m:t>
        </m:r>
        <m:r>
          <m:rPr/>
          <w:rPr>
            <w:rFonts w:hint="default" w:ascii="Cambria Math" w:hAnsi="Cambria Math"/>
            <w:lang w:val="en-US" w:eastAsia="zh-CN"/>
          </w:rPr>
          <m:t>=1.0</m:t>
        </m:r>
      </m:oMath>
      <w:r>
        <w:rPr>
          <w:rFonts w:hint="eastAsia"/>
          <w:color w:val="000000"/>
        </w:rPr>
        <w:t>), forcing explicit inference generation. There is no need for external annotation, but rule determination is only a prerequisite. What really determines the quality of the signal is the data process: constructing highly difficult negative samples (185,000 → 18,900) through semantic and visual dual screening, so that the binary reward maintains a gradient on samples with "overall similarity and error in detail binding". The paper reports that Qwen2.5-VL-7B and InternVL3-8B improve on the three combined benchmarks by an average of 9.65 percentage points compared to the original baseline (actual calculation according to Table 3; the main text of the paper summarizes it as about 10 points), and there is no out-of-domain degradation common in SFT.</w:t>
      </w:r>
    </w:p>
    <w:p w14:paraId="6129F2EB">
      <w:pPr>
        <w:pStyle w:val="3"/>
        <w:spacing w:line="360" w:lineRule="auto"/>
        <w:ind w:firstLine="480" w:firstLineChars="200"/>
        <w:jc w:val="both"/>
      </w:pPr>
      <w:r>
        <w:rPr>
          <w:rFonts w:hint="eastAsia"/>
          <w:color w:val="000000"/>
        </w:rPr>
        <w:t>SpatialThinker [13] explores structure-level rewards and extends the verification object to the intermediate products of reasoning: the model outputs "observation → scene graph → inference → answer" according to a fixed template, and the reward is composed of four components: format, count, accuracy, and space through lexicographic gating:</w:t>
      </w:r>
    </w:p>
    <w:p w14:paraId="0E5AC810">
      <w:pPr>
        <w:pStyle w:val="3"/>
        <w:spacing w:line="360" w:lineRule="auto"/>
        <w:jc w:val="both"/>
      </w:pPr>
      <m:oMathPara>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R</m:t>
                  </m:r>
                  <m:ctrlPr>
                    <w:rPr>
                      <w:rFonts w:ascii="Cambria Math" w:hAnsi="Cambria Math"/>
                    </w:rPr>
                  </m:ctrlPr>
                </m:e>
                <m:sub>
                  <m:r>
                    <m:rPr/>
                    <m:t>total</m:t>
                  </m:r>
                  <m:ctrlPr>
                    <w:rPr>
                      <w:rFonts w:ascii="Cambria Math" w:hAnsi="Cambria Math"/>
                    </w:rPr>
                  </m:ctrlPr>
                </m:sub>
              </m:sSub>
              <m:r>
                <m:rPr/>
                <w:rPr>
                  <w:rFonts w:ascii="Cambria Math" w:hAnsi="Cambria Math"/>
                </w:rPr>
                <m:t>=1[</m:t>
              </m:r>
              <m:sSub>
                <m:sSubPr>
                  <m:ctrlPr>
                    <w:rPr>
                      <w:rFonts w:ascii="Cambria Math" w:hAnsi="Cambria Math"/>
                    </w:rPr>
                  </m:ctrlPr>
                </m:sSubPr>
                <m:e>
                  <m:r>
                    <m:rPr/>
                    <w:rPr>
                      <w:rFonts w:ascii="Cambria Math" w:hAnsi="Cambria Math"/>
                    </w:rPr>
                    <m:t>R</m:t>
                  </m:r>
                  <m:ctrlPr>
                    <w:rPr>
                      <w:rFonts w:ascii="Cambria Math" w:hAnsi="Cambria Math"/>
                    </w:rPr>
                  </m:ctrlPr>
                </m:e>
                <m:sub>
                  <m:r>
                    <m:rPr/>
                    <m:t>fmt</m:t>
                  </m:r>
                  <m:ctrlPr>
                    <w:rPr>
                      <w:rFonts w:ascii="Cambria Math" w:hAnsi="Cambria Math"/>
                    </w:rPr>
                  </m:ctrlPr>
                </m:sub>
              </m:sSub>
              <m:r>
                <m:rPr/>
                <w:rPr>
                  <w:rFonts w:ascii="Cambria Math" w:hAnsi="Cambria Math"/>
                </w:rPr>
                <m:t>=1]</m:t>
              </m:r>
              <m:d>
                <m:dPr>
                  <m:ctrlPr>
                    <w:rPr>
                      <w:rFonts w:ascii="Cambria Math" w:hAnsi="Cambria Math"/>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f</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a</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+1[</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=1]⋅</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s</m:t>
                      </m:r>
                      <m:ctrlPr>
                        <w:rPr>
                          <w:rFonts w:ascii="Cambria Math" w:hAnsi="Cambria Math"/>
                        </w:rPr>
                      </m:ctrlPr>
                    </m:sub>
                  </m:sSub>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e>
              </m:d>
              <m:r>
                <m:rPr/>
                <w:rPr>
                  <w:rFonts w:ascii="Cambria Math" w:hAnsi="Cambria Math"/>
                </w:rPr>
                <m:t>,#(3)</m:t>
              </m:r>
              <m:ctrlPr>
                <w:rPr>
                  <w:rFonts w:ascii="Cambria Math" w:hAnsi="Cambria Math"/>
                </w:rPr>
              </m:ctrlPr>
            </m:e>
          </m:eqArr>
        </m:oMath>
      </m:oMathPara>
    </w:p>
    <w:p w14:paraId="742E9F31">
      <w:pPr>
        <w:pStyle w:val="33"/>
        <w:spacing w:line="360" w:lineRule="auto"/>
        <w:jc w:val="both"/>
      </w:pPr>
      <w:r>
        <w:rPr>
          <w:rFonts w:hint="eastAsia"/>
          <w:color w:val="000000"/>
        </w:rPr>
        <w:t>The format component is a hard threshold, and the space reward only takes effect when the answer is correct, preventing the model from sacrificing the final answer for structural points. The paper reports that the 7B model surpasses GPT-4o by an average of 4.7 percentage points on 14 benchmarks, but STVQA-7K is built based on Visual Genome manual annotation, and the quality of box annotation directly determines the reliability of the spatial component.</w:t>
      </w:r>
    </w:p>
    <w:p w14:paraId="6883BCCF">
      <w:pPr>
        <w:pStyle w:val="3"/>
        <w:spacing w:line="360" w:lineRule="auto"/>
        <w:ind w:firstLine="480" w:firstLineChars="200"/>
        <w:jc w:val="both"/>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SVQA-R1 [14] represents the verification of "cross-view consistency". It flips the image mirror and uses GPT-4o to generate logically consistent question and answer pairs after the flip. The model is required to give semantically consistent answers to the original image and the flipped image; the reward is weighted by the two components of format and semantics (</w:t>
      </w:r>
      <m:oMath>
        <m:r>
          <m:rPr/>
          <w:rPr>
            <w:rFonts w:ascii="Cambria Math" w:hAnsi="Cambria Math" w:cs="Cambria Math"/>
            <w:color w:val="000000" w:themeColor="text1"/>
            <w14:textFill>
              <w14:solidFill>
                <w14:schemeClr w14:val="tx1"/>
              </w14:solidFill>
            </w14:textFill>
          </w:rPr>
          <m:t>r=</m:t>
        </m:r>
        <m:sSub>
          <m:sSubPr>
            <m:ctrlPr>
              <w:rPr>
                <w:rFonts w:ascii="Cambria Math" w:hAnsi="Cambria Math" w:cs="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λ</m:t>
            </m:r>
            <m:ctrlPr>
              <w:rPr>
                <w:rFonts w:ascii="Cambria Math" w:hAnsi="Cambria Math" w:cs="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1</m:t>
            </m:r>
            <m:ctrlPr>
              <w:rPr>
                <w:rFonts w:ascii="Cambria Math" w:hAnsi="Cambria Math" w:cs="Cambria Math"/>
                <w:color w:val="000000" w:themeColor="text1"/>
                <w14:textFill>
                  <w14:solidFill>
                    <w14:schemeClr w14:val="tx1"/>
                  </w14:solidFill>
                </w14:textFill>
              </w:rPr>
            </m:ctrlPr>
          </m:sub>
        </m:sSub>
        <m:sSup>
          <m:sSupPr>
            <m:ctrlPr>
              <w:rPr>
                <w:rFonts w:ascii="Cambria Math" w:hAnsi="Cambria Math" w:cs="Cambria Math"/>
                <w:color w:val="000000" w:themeColor="text1"/>
                <w14:textFill>
                  <w14:solidFill>
                    <w14:schemeClr w14:val="tx1"/>
                  </w14:solidFill>
                </w14:textFill>
              </w:rPr>
            </m:ctrlPr>
          </m:sSupPr>
          <m:e>
            <m:r>
              <m:rPr/>
              <w:rPr>
                <w:rFonts w:ascii="Cambria Math" w:hAnsi="Cambria Math" w:cs="Cambria Math"/>
                <w:color w:val="000000" w:themeColor="text1"/>
                <w14:textFill>
                  <w14:solidFill>
                    <w14:schemeClr w14:val="tx1"/>
                  </w14:solidFill>
                </w14:textFill>
              </w:rPr>
              <m:t>r</m:t>
            </m:r>
            <m:ctrlPr>
              <w:rPr>
                <w:rFonts w:ascii="Cambria Math" w:hAnsi="Cambria Math" w:cs="Cambria Math"/>
                <w:color w:val="000000" w:themeColor="text1"/>
                <w14:textFill>
                  <w14:solidFill>
                    <w14:schemeClr w14:val="tx1"/>
                  </w14:solidFill>
                </w14:textFill>
              </w:rPr>
            </m:ctrlPr>
          </m:e>
          <m:sup>
            <m:r>
              <m:rPr/>
              <w:rPr>
                <w:rFonts w:ascii="Cambria Math" w:hAnsi="Cambria Math" w:cs="Cambria Math"/>
                <w:color w:val="000000" w:themeColor="text1"/>
                <w14:textFill>
                  <w14:solidFill>
                    <w14:schemeClr w14:val="tx1"/>
                  </w14:solidFill>
                </w14:textFill>
              </w:rPr>
              <m:t>f</m:t>
            </m:r>
            <m:ctrlPr>
              <w:rPr>
                <w:rFonts w:ascii="Cambria Math" w:hAnsi="Cambria Math" w:cs="Cambria Math"/>
                <w:color w:val="000000" w:themeColor="text1"/>
                <w14:textFill>
                  <w14:solidFill>
                    <w14:schemeClr w14:val="tx1"/>
                  </w14:solidFill>
                </w14:textFill>
              </w:rPr>
            </m:ctrlPr>
          </m:sup>
        </m:sSup>
        <m:r>
          <m:rPr/>
          <w:rPr>
            <w:rFonts w:ascii="Cambria Math" w:hAnsi="Cambria Math" w:cs="Cambria Math"/>
            <w:color w:val="000000" w:themeColor="text1"/>
            <w14:textFill>
              <w14:solidFill>
                <w14:schemeClr w14:val="tx1"/>
              </w14:solidFill>
            </w14:textFill>
          </w:rPr>
          <m:t>+</m:t>
        </m:r>
        <m:sSub>
          <m:sSubPr>
            <m:ctrlPr>
              <w:rPr>
                <w:rFonts w:ascii="Cambria Math" w:hAnsi="Cambria Math" w:cs="Cambria Math"/>
                <w:color w:val="000000" w:themeColor="text1"/>
                <w14:textFill>
                  <w14:solidFill>
                    <w14:schemeClr w14:val="tx1"/>
                  </w14:solidFill>
                </w14:textFill>
              </w:rPr>
            </m:ctrlPr>
          </m:sSubPr>
          <m:e>
            <m:r>
              <m:rPr/>
              <w:rPr>
                <w:rFonts w:ascii="Cambria Math" w:hAnsi="Cambria Math" w:cs="Cambria Math"/>
                <w:color w:val="000000" w:themeColor="text1"/>
                <w14:textFill>
                  <w14:solidFill>
                    <w14:schemeClr w14:val="tx1"/>
                  </w14:solidFill>
                </w14:textFill>
              </w:rPr>
              <m:t>λ</m:t>
            </m:r>
            <m:ctrlPr>
              <w:rPr>
                <w:rFonts w:ascii="Cambria Math" w:hAnsi="Cambria Math" w:cs="Cambria Math"/>
                <w:color w:val="000000" w:themeColor="text1"/>
                <w14:textFill>
                  <w14:solidFill>
                    <w14:schemeClr w14:val="tx1"/>
                  </w14:solidFill>
                </w14:textFill>
              </w:rPr>
            </m:ctrlPr>
          </m:e>
          <m:sub>
            <m:r>
              <m:rPr/>
              <w:rPr>
                <w:rFonts w:ascii="Cambria Math" w:hAnsi="Cambria Math" w:cs="Cambria Math"/>
                <w:color w:val="000000" w:themeColor="text1"/>
                <w14:textFill>
                  <w14:solidFill>
                    <w14:schemeClr w14:val="tx1"/>
                  </w14:solidFill>
                </w14:textFill>
              </w:rPr>
              <m:t>2</m:t>
            </m:r>
            <m:ctrlPr>
              <w:rPr>
                <w:rFonts w:ascii="Cambria Math" w:hAnsi="Cambria Math" w:cs="Cambria Math"/>
                <w:color w:val="000000" w:themeColor="text1"/>
                <w14:textFill>
                  <w14:solidFill>
                    <w14:schemeClr w14:val="tx1"/>
                  </w14:solidFill>
                </w14:textFill>
              </w:rPr>
            </m:ctrlPr>
          </m:sub>
        </m:sSub>
        <m:sSup>
          <m:sSupPr>
            <m:ctrlPr>
              <w:rPr>
                <w:rFonts w:ascii="Cambria Math" w:hAnsi="Cambria Math" w:cs="Cambria Math"/>
                <w:color w:val="000000" w:themeColor="text1"/>
                <w14:textFill>
                  <w14:solidFill>
                    <w14:schemeClr w14:val="tx1"/>
                  </w14:solidFill>
                </w14:textFill>
              </w:rPr>
            </m:ctrlPr>
          </m:sSupPr>
          <m:e>
            <m:r>
              <m:rPr/>
              <w:rPr>
                <w:rFonts w:ascii="Cambria Math" w:hAnsi="Cambria Math" w:cs="Cambria Math"/>
                <w:color w:val="000000" w:themeColor="text1"/>
                <w14:textFill>
                  <w14:solidFill>
                    <w14:schemeClr w14:val="tx1"/>
                  </w14:solidFill>
                </w14:textFill>
              </w:rPr>
              <m:t>r</m:t>
            </m:r>
            <m:ctrlPr>
              <w:rPr>
                <w:rFonts w:ascii="Cambria Math" w:hAnsi="Cambria Math" w:cs="Cambria Math"/>
                <w:color w:val="000000" w:themeColor="text1"/>
                <w14:textFill>
                  <w14:solidFill>
                    <w14:schemeClr w14:val="tx1"/>
                  </w14:solidFill>
                </w14:textFill>
              </w:rPr>
            </m:ctrlPr>
          </m:e>
          <m:sup>
            <m:r>
              <m:rPr/>
              <w:rPr>
                <w:rFonts w:ascii="Cambria Math" w:hAnsi="Cambria Math" w:cs="Cambria Math"/>
                <w:color w:val="000000" w:themeColor="text1"/>
                <w14:textFill>
                  <w14:solidFill>
                    <w14:schemeClr w14:val="tx1"/>
                  </w14:solidFill>
                </w14:textFill>
              </w:rPr>
              <m:t>s</m:t>
            </m:r>
            <m:ctrlPr>
              <w:rPr>
                <w:rFonts w:ascii="Cambria Math" w:hAnsi="Cambria Math" w:cs="Cambria Math"/>
                <w:color w:val="000000" w:themeColor="text1"/>
                <w14:textFill>
                  <w14:solidFill>
                    <w14:schemeClr w14:val="tx1"/>
                  </w14:solidFill>
                </w14:textFill>
              </w:rPr>
            </m:ctrlPr>
          </m:sup>
        </m:sSup>
      </m:oMath>
      <w:r>
        <w:rPr>
          <w:rFonts w:hint="eastAsia" w:cs="Times New Roman"/>
          <w:color w:val="000000" w:themeColor="text1"/>
          <w14:textFill>
            <w14:solidFill>
              <w14:schemeClr w14:val="tx1"/>
            </w14:solidFill>
          </w14:textFill>
        </w:rPr>
        <w:t>). The paper reports that the 3B model improves by more than 30 percentage points (27.72 → 58.42) on Q-Spatial++ compared with the SFT (CoT) baseline. The verification scope is limited to spatial question and answer under horizontal mirror flipping.</w:t>
      </w:r>
    </w:p>
    <w:p w14:paraId="0E618A41">
      <w:pPr>
        <w:pStyle w:val="3"/>
        <w:spacing w:line="360" w:lineRule="auto"/>
        <w:ind w:firstLine="482" w:firstLineChars="200"/>
        <w:jc w:val="both"/>
      </w:pPr>
      <w:r>
        <w:rPr>
          <w:rFonts w:hint="eastAsia"/>
          <w:b/>
          <w:color w:val="000000"/>
        </w:rPr>
        <w:t>Section summary:</w:t>
      </w:r>
      <w:r>
        <w:rPr>
          <w:rFonts w:hint="eastAsia"/>
          <w:color w:val="000000"/>
        </w:rPr>
        <w:t xml:space="preserve"> The verification objects of the three works cover answers, intermediate structures and cross-view consistency. The common constraint is "correctness must be definable": there is no unique standard answer for compositional reasoning, and the verifier can only verify the structured aspects. Whether the binding is correct does not lie in the answer, but in the relationship between the model and the visual evidence; for optimization at this level, the visual alignment reward provides another independent path (see 3.2).</w:t>
      </w:r>
    </w:p>
    <w:bookmarkEnd w:id="6"/>
    <w:p w14:paraId="00ECB794">
      <w:pPr>
        <w:pStyle w:val="5"/>
        <w:spacing w:line="360" w:lineRule="auto"/>
        <w:jc w:val="both"/>
      </w:pPr>
      <w:bookmarkStart w:id="7" w:name="视觉对齐奖励grounded"/>
      <w:r>
        <w:rPr>
          <w:rFonts w:hint="eastAsia" w:eastAsia="宋体"/>
        </w:rPr>
        <w:t>3.2 Visual alignment reward (Grounded)</w:t>
      </w:r>
    </w:p>
    <w:p w14:paraId="373D48FA">
      <w:pPr>
        <w:pStyle w:val="33"/>
        <w:spacing w:line="360" w:lineRule="auto"/>
        <w:ind w:firstLine="480" w:firstLineChars="200"/>
        <w:jc w:val="both"/>
      </w:pPr>
      <w:r>
        <w:rPr>
          <w:rFonts w:hint="eastAsia"/>
          <w:color w:val="000000"/>
        </w:rPr>
        <w:t>Answering correctly is not the same as looking at the picture: the model can also guess correctly on compositional tasks based only on text statistical rules or false correlations, but the result verification cannot do anything about it. The visual alignment reward changes the signal source from "external criteria of the answer" to "the relationship between the answer and visual evidence", making "whether you really looked at the picture and the correct area" an optimizable signal. Different works are explored along the two dimensions of "aligning objects" (evidence area, chain-of-thought embedding, object level, saliency distribution) and "supervision intensity" (a small number of question and answer pairs to zero annotation).</w:t>
      </w:r>
    </w:p>
    <w:p w14:paraId="131D282F">
      <w:pPr>
        <w:pStyle w:val="3"/>
        <w:spacing w:line="360" w:lineRule="auto"/>
        <w:ind w:firstLine="480" w:firstLineChars="200"/>
        <w:jc w:val="both"/>
      </w:pPr>
      <w:r>
        <w:rPr>
          <w:rFonts w:hint="eastAsia"/>
          <w:color w:val="000000"/>
        </w:rPr>
        <w:t>Ground-R1 [15] is the starting point in this direction, proving that RL can drive the model to learn to locate evidence without relying on external box annotations (the training reward only includes format and answer verification, and the evidence box is self-generated by the model). In the two-stage rollout, the model first outputs the coordinates of the evidence frame and then answers based on the cropped partial image. The alignment signal comes from the answer's dependence on the partial image, and the reward itself is still format and answer verification. The paper diagnoses that the global normalization of standard GRPO favors large and significant evidence areas, and small evidence obtains a continuous negative advantage. Therefore, scale relative policy optimization (SRPO) is proposed, which performs intra-bucket/inter-bucket normalization by dividing bins by area. Compared with standard GRPO, V* and HR-4K are improved by 2.1 and 1.2 percentage points respectively. SRPO is a normalization mechanism rather than a reward signal design, but it confirms a necessary condition on the main line: for alignment rewards to be truly effective, evidence of different scales must compete fairly in the advantage calculation, otherwise the signal will be monopolized by a large area.</w:t>
      </w:r>
    </w:p>
    <w:p w14:paraId="68F11BF9">
      <w:pPr>
        <w:pStyle w:val="3"/>
        <w:spacing w:line="360" w:lineRule="auto"/>
        <w:ind w:firstLine="480" w:firstLineChars="200"/>
        <w:jc w:val="both"/>
      </w:pPr>
      <w:r>
        <w:rPr>
          <w:rFonts w:hint="eastAsia"/>
          <w:color w:val="000000"/>
        </w:rPr>
        <w:t>GRIT [16] further compresses the supervision intensity: the bounding box coordinates are directly embedded in the chain-of-thought (&lt;think&gt; → &lt;rethink&gt; → &lt;answer&gt;), and the training only uses 20 image-text question and answer triples to trigger the grounded reasoning ability of the base model. Ablation also reveals that the alignment signal must be linked to inference requirements: the grounding quality is significantly improved after adding counting rewards (GIoU 0.349 → 0.387). But bbox is ultimately just a rough proxy for "where to look", and the reward does not constrain the quality of the box itself.</w:t>
      </w:r>
    </w:p>
    <w:p w14:paraId="424C485D">
      <w:pPr>
        <w:pStyle w:val="3"/>
        <w:spacing w:line="360" w:lineRule="auto"/>
        <w:ind w:firstLine="480" w:firstLineChars="200"/>
        <w:jc w:val="both"/>
      </w:pPr>
      <w:r>
        <w:rPr>
          <w:rFonts w:hint="eastAsia"/>
          <w:color w:val="000000"/>
        </w:rPr>
        <w:t xml:space="preserve">POLIA [17] refines the alignment granularity to the object level, which is the most complete design of the reward formula in this section: answer-level external advantages </w:t>
      </w:r>
      <m:oMath>
        <m:sSup>
          <m:sSupPr>
            <m:ctrlPr>
              <w:rPr>
                <w:rFonts w:ascii="Cambria Math" w:hAnsi="Cambria Math"/>
              </w:rPr>
            </m:ctrlPr>
          </m:sSupPr>
          <m:e>
            <m:r>
              <m:rPr/>
              <w:rPr>
                <w:rFonts w:ascii="Cambria Math" w:hAnsi="Cambria Math"/>
              </w:rPr>
              <m:t>A</m:t>
            </m:r>
            <m:ctrlPr>
              <w:rPr>
                <w:rFonts w:ascii="Cambria Math" w:hAnsi="Cambria Math"/>
              </w:rPr>
            </m:ctrlPr>
          </m:e>
          <m:sup>
            <m:r>
              <m:rPr/>
              <m:t>ext</m:t>
            </m:r>
            <m:ctrlPr>
              <w:rPr>
                <w:rFonts w:ascii="Cambria Math" w:hAnsi="Cambria Math"/>
              </w:rPr>
            </m:ctrlPr>
          </m:sup>
        </m:sSup>
      </m:oMath>
      <w:r>
        <w:rPr>
          <w:rFonts w:hint="eastAsia"/>
          <w:color w:val="000000"/>
        </w:rPr>
        <w:t xml:space="preserve"> Following GRPO's intra-group normalization; object-level inherent advantages </w:t>
      </w:r>
      <m:oMath>
        <m:sSup>
          <m:sSupPr>
            <m:ctrlPr>
              <w:rPr>
                <w:rFonts w:ascii="Cambria Math" w:hAnsi="Cambria Math"/>
              </w:rPr>
            </m:ctrlPr>
          </m:sSupPr>
          <m:e>
            <m:r>
              <m:rPr/>
              <w:rPr>
                <w:rFonts w:ascii="Cambria Math" w:hAnsi="Cambria Math"/>
              </w:rPr>
              <m:t>A</m:t>
            </m:r>
            <m:ctrlPr>
              <w:rPr>
                <w:rFonts w:ascii="Cambria Math" w:hAnsi="Cambria Math"/>
              </w:rPr>
            </m:ctrlPr>
          </m:e>
          <m:sup>
            <m:r>
              <m:rPr/>
              <m:t>int</m:t>
            </m:r>
            <m:ctrlPr>
              <w:rPr>
                <w:rFonts w:ascii="Cambria Math" w:hAnsi="Cambria Math"/>
              </w:rPr>
            </m:ctrlPr>
          </m:sup>
        </m:sSup>
      </m:oMath>
      <w:r>
        <w:rPr>
          <w:rFonts w:hint="eastAsia"/>
          <w:color w:val="000000"/>
        </w:rPr>
        <w:t xml:space="preserve"> First correct the reward according to the confidence level on the set of objects referenced by the answer, and then normalize it within the group:</w:t>
      </w:r>
    </w:p>
    <w:p w14:paraId="5C448BA4">
      <w:pPr>
        <w:pStyle w:val="3"/>
        <w:spacing w:line="360" w:lineRule="auto"/>
        <w:jc w:val="both"/>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i,o</m:t>
                  </m:r>
                  <m:ctrlPr>
                    <w:rPr>
                      <w:rFonts w:ascii="Cambria Math" w:hAnsi="Cambria Math"/>
                    </w:rPr>
                  </m:ctrlPr>
                </m:sub>
              </m:sSub>
              <m:r>
                <m:rPr/>
                <w:rPr>
                  <w:rFonts w:ascii="Cambria Math" w:hAnsi="Cambria Math"/>
                </w:rPr>
                <m:t>=R(</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i,o</m:t>
                  </m:r>
                  <m:ctrlPr>
                    <w:rPr>
                      <w:rFonts w:ascii="Cambria Math" w:hAnsi="Cambria Math"/>
                    </w:rPr>
                  </m:ctrlPr>
                </m:sub>
              </m:sSub>
              <m:r>
                <m:rPr/>
                <w:rPr>
                  <w:rFonts w:ascii="Cambria Math" w:hAnsi="Cambria Math"/>
                </w:rPr>
                <m:t>,  </m:t>
              </m:r>
              <m:sSubSup>
                <m:sSubSupPr>
                  <m:ctrlPr>
                    <w:rPr>
                      <w:rFonts w:ascii="Cambria Math" w:hAnsi="Cambria Math"/>
                    </w:rPr>
                  </m:ctrlPr>
                </m:sSubSupPr>
                <m:e>
                  <m:r>
                    <m:rPr/>
                    <w:rPr>
                      <w:rFonts w:ascii="Cambria Math" w:hAnsi="Cambria Math"/>
                    </w:rPr>
                    <m:t>i,o</m:t>
                  </m:r>
                  <m:ctrlPr>
                    <w:rPr>
                      <w:rFonts w:ascii="Cambria Math" w:hAnsi="Cambria Math"/>
                    </w:rPr>
                  </m:ctrlPr>
                </m:e>
                <m:sub>
                  <m:r>
                    <m:rPr/>
                    <m:t>int</m:t>
                  </m:r>
                  <m:ctrlPr>
                    <w:rPr>
                      <w:rFonts w:ascii="Cambria Math" w:hAnsi="Cambria Math"/>
                    </w:rPr>
                  </m:ctrlPr>
                </m:sub>
                <m:sup>
                  <m:r>
                    <m:rPr/>
                    <w:rPr>
                      <w:rFonts w:ascii="Cambria Math" w:hAnsi="Cambria Math"/>
                    </w:rPr>
                    <m:t>A</m:t>
                  </m:r>
                  <m:ctrlPr>
                    <w:rPr>
                      <w:rFonts w:ascii="Cambria Math" w:hAnsi="Cambria Math"/>
                    </w:rPr>
                  </m:ctrlPr>
                </m:sup>
              </m:sSubSup>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i,o</m:t>
                      </m:r>
                      <m:ctrlPr>
                        <w:rPr>
                          <w:rFonts w:ascii="Cambria Math" w:hAnsi="Cambria Math"/>
                        </w:rPr>
                      </m:ctrlPr>
                    </m:sub>
                  </m:sSub>
                  <m:r>
                    <m:rPr/>
                    <w:rPr>
                      <w:rFonts w:ascii="Cambria Math" w:hAnsi="Cambria Math"/>
                    </w:rPr>
                    <m:t>−</m:t>
                  </m:r>
                  <m:sSub>
                    <m:sSubPr>
                      <m:ctrlPr>
                        <w:rPr>
                          <w:rFonts w:ascii="Cambria Math" w:hAnsi="Cambria Math"/>
                        </w:rPr>
                      </m:ctrlPr>
                    </m:sSubPr>
                    <m:e>
                      <m:r>
                        <m:rPr/>
                        <m:t>mean</m:t>
                      </m:r>
                      <m:ctrlPr>
                        <w:rPr>
                          <w:rFonts w:ascii="Cambria Math" w:hAnsi="Cambria Math"/>
                        </w:rPr>
                      </m:ctrlPr>
                    </m:e>
                    <m:sub>
                      <m:r>
                        <m:rPr/>
                        <w:rPr>
                          <w:rFonts w:ascii="Cambria Math" w:hAnsi="Cambria Math"/>
                        </w:rPr>
                        <m:t>j∈</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j,o</m:t>
                      </m:r>
                      <m:ctrlPr>
                        <w:rPr>
                          <w:rFonts w:ascii="Cambria Math" w:hAnsi="Cambria Math"/>
                        </w:rPr>
                      </m:ctrlPr>
                    </m:sub>
                  </m:sSub>
                  <m:r>
                    <m:rPr/>
                    <w:rPr>
                      <w:rFonts w:ascii="Cambria Math" w:hAnsi="Cambria Math"/>
                    </w:rPr>
                    <m:t>]</m:t>
                  </m:r>
                  <m:ctrlPr>
                    <w:rPr>
                      <w:rFonts w:ascii="Cambria Math" w:hAnsi="Cambria Math"/>
                    </w:rPr>
                  </m:ctrlPr>
                </m:num>
                <m:den>
                  <m:sSub>
                    <m:sSubPr>
                      <m:ctrlPr>
                        <w:rPr>
                          <w:rFonts w:ascii="Cambria Math" w:hAnsi="Cambria Math"/>
                        </w:rPr>
                      </m:ctrlPr>
                    </m:sSubPr>
                    <m:e>
                      <m:r>
                        <m:rPr/>
                        <m:t>std</m:t>
                      </m:r>
                      <m:ctrlPr>
                        <w:rPr>
                          <w:rFonts w:ascii="Cambria Math" w:hAnsi="Cambria Math"/>
                        </w:rPr>
                      </m:ctrlPr>
                    </m:e>
                    <m:sub>
                      <m:r>
                        <m:rPr/>
                        <w:rPr>
                          <w:rFonts w:ascii="Cambria Math" w:hAnsi="Cambria Math"/>
                        </w:rPr>
                        <m:t>j∈</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j,o</m:t>
                      </m:r>
                      <m:ctrlPr>
                        <w:rPr>
                          <w:rFonts w:ascii="Cambria Math" w:hAnsi="Cambria Math"/>
                        </w:rPr>
                      </m:ctrlPr>
                    </m:sub>
                  </m:sSub>
                  <m:r>
                    <m:rPr/>
                    <w:rPr>
                      <w:rFonts w:ascii="Cambria Math" w:hAnsi="Cambria Math"/>
                    </w:rPr>
                    <m:t>]+δ</m:t>
                  </m:r>
                  <m:ctrlPr>
                    <w:rPr>
                      <w:rFonts w:ascii="Cambria Math" w:hAnsi="Cambria Math"/>
                    </w:rPr>
                  </m:ctrlPr>
                </m:den>
              </m:f>
              <m:r>
                <m:rPr/>
                <w:rPr>
                  <w:rFonts w:ascii="Cambria Math" w:hAnsi="Cambria Math"/>
                </w:rPr>
                <m:t>,  </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i</m:t>
                  </m:r>
                  <m:ctrlPr>
                    <w:rPr>
                      <w:rFonts w:ascii="Cambria Math" w:hAnsi="Cambria Math"/>
                    </w:rPr>
                  </m:ctrlPr>
                </m:e>
                <m:sub>
                  <m:r>
                    <m:rPr/>
                    <m:t>ext</m:t>
                  </m:r>
                  <m:ctrlPr>
                    <w:rPr>
                      <w:rFonts w:ascii="Cambria Math" w:hAnsi="Cambria Math"/>
                    </w:rPr>
                  </m:ctrlPr>
                </m:sub>
                <m:sup>
                  <m:r>
                    <m:rPr/>
                    <w:rPr>
                      <w:rFonts w:ascii="Cambria Math" w:hAnsi="Cambria Math"/>
                    </w:rPr>
                    <m:t>A</m:t>
                  </m:r>
                  <m:ctrlPr>
                    <w:rPr>
                      <w:rFonts w:ascii="Cambria Math" w:hAnsi="Cambria Math"/>
                    </w:rPr>
                  </m:ctrlPr>
                </m:sup>
              </m:sSubSup>
              <m:r>
                <m:rPr/>
                <w:rPr>
                  <w:rFonts w:ascii="Cambria Math" w:hAnsi="Cambria Math"/>
                </w:rPr>
                <m:t>+ω</m:t>
              </m:r>
              <m:sSubSup>
                <m:sSubSupPr>
                  <m:ctrlPr>
                    <w:rPr>
                      <w:rFonts w:ascii="Cambria Math" w:hAnsi="Cambria Math"/>
                    </w:rPr>
                  </m:ctrlPr>
                </m:sSubSupPr>
                <m:e>
                  <m:r>
                    <m:rPr/>
                    <w:rPr>
                      <w:rFonts w:ascii="Cambria Math" w:hAnsi="Cambria Math"/>
                    </w:rPr>
                    <m:t>i</m:t>
                  </m:r>
                  <m:ctrlPr>
                    <w:rPr>
                      <w:rFonts w:ascii="Cambria Math" w:hAnsi="Cambria Math"/>
                    </w:rPr>
                  </m:ctrlPr>
                </m:e>
                <m:sub>
                  <m:r>
                    <m:rPr/>
                    <m:t>int</m:t>
                  </m:r>
                  <m:ctrlPr>
                    <w:rPr>
                      <w:rFonts w:ascii="Cambria Math" w:hAnsi="Cambria Math"/>
                    </w:rPr>
                  </m:ctrlPr>
                </m:sub>
                <m:sup>
                  <m:r>
                    <m:rPr/>
                    <w:rPr>
                      <w:rFonts w:ascii="Cambria Math" w:hAnsi="Cambria Math"/>
                    </w:rPr>
                    <m:t>A</m:t>
                  </m:r>
                  <m:ctrlPr>
                    <w:rPr>
                      <w:rFonts w:ascii="Cambria Math" w:hAnsi="Cambria Math"/>
                    </w:rPr>
                  </m:ctrlPr>
                </m:sup>
              </m:sSubSup>
              <m:r>
                <m:rPr/>
                <w:rPr>
                  <w:rFonts w:ascii="Cambria Math" w:hAnsi="Cambria Math"/>
                </w:rPr>
                <m:t>,#(4)~(6)</m:t>
              </m:r>
              <m:ctrlPr>
                <w:rPr>
                  <w:rFonts w:ascii="Cambria Math" w:hAnsi="Cambria Math"/>
                  <w:i/>
                </w:rPr>
              </m:ctrlPr>
            </m:e>
          </m:eqArr>
        </m:oMath>
      </m:oMathPara>
    </w:p>
    <w:p w14:paraId="6A7E6E48">
      <w:pPr>
        <w:pStyle w:val="33"/>
        <w:spacing w:line="360" w:lineRule="auto"/>
        <w:jc w:val="both"/>
      </w:pPr>
      <w:r>
        <w:rPr>
          <w:rFonts w:hint="eastAsia"/>
          <w:color w:val="000000"/>
        </w:rPr>
        <w:t xml:space="preserve">where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i,o</m:t>
            </m:r>
            <m:ctrlPr>
              <w:rPr>
                <w:rFonts w:ascii="Cambria Math" w:hAnsi="Cambria Math"/>
              </w:rPr>
            </m:ctrlPr>
          </m:sub>
        </m:sSub>
      </m:oMath>
      <w:r>
        <w:rPr>
          <w:rFonts w:hint="eastAsia"/>
          <w:color w:val="000000"/>
        </w:rPr>
        <w:t xml:space="preserve"> is the confidence that the predicted box matches the real object (IoU weighted with normalized distance). Even if the trajectory of the wrong answer is correct, its object-level advantage will be suppressed by the confidence level, thus distinguishing "the answer is right but the answer is wrong" and "the answer is correct and the answer is right" at the reward level. On VSR, POLIA improves the baseline GRPO from 59.0% to 81.3%. The Aint calculation only takes 0.002 s, while the Rollout stage accounts for 97.24% of the total training time (based on POLIA-3B actual measurement), and the overhead is negligible. Same-direction SAYO [18] uses regional-level visual attention as a reward signal to generalize aligned objects from explicit boxes to attention distributions.</w:t>
      </w:r>
    </w:p>
    <w:p w14:paraId="0D179B9A">
      <w:pPr>
        <w:pStyle w:val="3"/>
        <w:spacing w:line="360" w:lineRule="auto"/>
        <w:ind w:firstLine="482" w:firstLineChars="200"/>
        <w:jc w:val="both"/>
      </w:pPr>
      <w:r>
        <w:rPr>
          <w:rFonts w:hint="eastAsia"/>
          <w:b/>
          <w:color w:val="000000"/>
        </w:rPr>
        <w:t>Section summary:</w:t>
      </w:r>
      <w:r>
        <w:rPr>
          <w:rFonts w:hint="eastAsia"/>
          <w:color w:val="000000"/>
        </w:rPr>
        <w:t xml:space="preserve"> Alignment objects in this direction cover evidence areas, chain-of-thought embeddings, object-level and saliency distributions, and have low supervision requirements: Ground-R1 does not rely on external box annotation, GRIT only requires 20 question and answer triples, and POLIA reuses data set object annotations. However, the above work is mostly verified on general/high-resolution LVLM and grounded and spatial question and answer benchmarks, and the coverage on explicit compositional benchmarks (such as MMVP, Winoground, SugarCrepe) is still insufficient; alignment rewards measure "whether it looks at the right evidence", while compositional reasoning also requires "whether it is reasonable to reason", the latter is handled by the inference process optimization direction (3.3).</w:t>
      </w:r>
    </w:p>
    <w:bookmarkEnd w:id="7"/>
    <w:p w14:paraId="11538001">
      <w:pPr>
        <w:pStyle w:val="5"/>
        <w:spacing w:line="360" w:lineRule="auto"/>
        <w:jc w:val="both"/>
      </w:pPr>
      <w:bookmarkStart w:id="8" w:name="推理过程优化process"/>
      <w:r>
        <w:rPr>
          <w:rFonts w:hint="eastAsia" w:eastAsia="宋体"/>
        </w:rPr>
        <w:t>3.3 Inference process optimization (Process)</w:t>
      </w:r>
    </w:p>
    <w:p w14:paraId="04CF878F">
      <w:pPr>
        <w:pStyle w:val="33"/>
        <w:spacing w:line="360" w:lineRule="auto"/>
        <w:ind w:firstLine="480" w:firstLineChars="200"/>
        <w:jc w:val="both"/>
      </w:pPr>
      <w:r>
        <w:rPr>
          <w:rFonts w:hint="eastAsia"/>
          <w:color w:val="000000"/>
        </w:rPr>
        <w:t>The first two types of signals act on "whether it is correct" and "whether it is correct" respectively, while the third type uses optimization signals to act on the reasoning process itself. Theoretically, this type of method has a deep connection with result verification: GRPO is mathematically equivalent to PRM-aware targets under token-level settings, and the shared prefixes within the group naturally constitute "process steps" [11], that is, the result rewards are implicitly allocated process-level credit. The method in this section can be regarded as making this implicit mechanism explicit. The first step has already appeared on the multimodal side: VisualPRM [12] trains the 8B process reward model (a learning verifier that migrates the verification object from the final answer to the inference step), which brings 3.7~8.9 points improvement on 7 multimodal reasoning benchmarks (3.7~8.4 see abstract; 8.9 is InternVL2.5-26B), but its step definition is plain text, has no visual anchoring, and does not cover compositional binding (observed in this article). The second step is to anchor visual structures such as evidence boxes into the step, which is what H-GRPO explores. The degree of explicitness of the three works increases in sequence: VisualPRM verification steps (post-scoring), Self-Questioning constraint structure (forced decomposition), and H-GRPO modeling path (steps into the objective function point by point).</w:t>
      </w:r>
    </w:p>
    <w:p w14:paraId="4F443687">
      <w:pPr>
        <w:pStyle w:val="3"/>
        <w:spacing w:line="360" w:lineRule="auto"/>
        <w:ind w:firstLine="480" w:firstLineChars="200"/>
        <w:jc w:val="both"/>
      </w:pPr>
      <w:r>
        <w:rPr>
          <w:rFonts w:hint="eastAsia"/>
          <w:color w:val="000000"/>
        </w:rPr>
        <w:t>Self-Questioning VLM [19] is an explicit minimal implementation, and the design is reduced to only one format constraint: the model must output according to "sub-question/sub-answer sequence + final answer", and the reward is in binary form:</w:t>
      </w:r>
    </w:p>
    <w:p w14:paraId="2AAE1E46">
      <w:pPr>
        <w:pStyle w:val="3"/>
        <w:spacing w:line="360" w:lineRule="auto"/>
        <w:jc w:val="both"/>
      </w:pPr>
      <m:oMathPara>
        <m:oMath>
          <m:eqArr>
            <m:eqArrPr>
              <m:maxDist m:val="1"/>
              <m:ctrlPr>
                <w:rPr>
                  <w:rFonts w:ascii="Cambria Math" w:hAnsi="Cambria Math"/>
                  <w:i/>
                </w:rPr>
              </m:ctrlPr>
            </m:eqArrPr>
            <m:e>
              <m:r>
                <m:rPr/>
                <w:rPr>
                  <w:rFonts w:ascii="Cambria Math" w:hAnsi="Cambria Math"/>
                </w:rPr>
                <m:t>R(y,</m:t>
              </m:r>
              <m:sSup>
                <m:sSupPr>
                  <m:ctrlPr>
                    <w:rPr>
                      <w:rFonts w:ascii="Cambria Math" w:hAnsi="Cambria Math"/>
                    </w:rPr>
                  </m:ctrlPr>
                </m:sSupPr>
                <m:e>
                  <m:r>
                    <m:rPr/>
                    <w:rPr>
                      <w:rFonts w:ascii="Cambria Math" w:hAnsi="Cambria Math"/>
                    </w:rPr>
                    <m:t>a</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
                          <m:rPr/>
                          <w:rPr>
                            <w:rFonts w:ascii="Cambria Math" w:hAnsi="Cambria Math"/>
                          </w:rPr>
                          <m:t>+1</m:t>
                        </m:r>
                        <m:ctrlPr>
                          <w:rPr>
                            <w:rFonts w:ascii="Cambria Math" w:hAnsi="Cambria Math"/>
                          </w:rPr>
                        </m:ctrlPr>
                      </m:e>
                      <m:e>
                        <m:r>
                          <m:rPr/>
                          <m:t>ifFormat</m:t>
                        </m:r>
                        <m:r>
                          <m:rPr/>
                          <w:rPr>
                            <w:rFonts w:ascii="Cambria Math" w:hAnsi="Cambria Math"/>
                          </w:rPr>
                          <m:t>(y)∧</m:t>
                        </m:r>
                        <m:r>
                          <m:rPr/>
                          <m:t>Correct</m:t>
                        </m:r>
                        <m:r>
                          <m:rPr/>
                          <w:rPr>
                            <w:rFonts w:ascii="Cambria Math" w:hAnsi="Cambria Math"/>
                          </w:rPr>
                          <m:t>(y,</m:t>
                        </m:r>
                        <m:sSup>
                          <m:sSupPr>
                            <m:ctrlPr>
                              <w:rPr>
                                <w:rFonts w:ascii="Cambria Math" w:hAnsi="Cambria Math"/>
                              </w:rPr>
                            </m:ctrlPr>
                          </m:sSupPr>
                          <m:e>
                            <m:r>
                              <m:rPr/>
                              <w:rPr>
                                <w:rFonts w:ascii="Cambria Math" w:hAnsi="Cambria Math"/>
                              </w:rPr>
                              <m:t>a</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ctrlPr>
                          <w:rPr>
                            <w:rFonts w:ascii="Cambria Math" w:hAnsi="Cambria Math"/>
                          </w:rPr>
                        </m:ctrlPr>
                      </m:e>
                    </m:mr>
                    <m:mr>
                      <m:e>
                        <m:r>
                          <m:rPr/>
                          <w:rPr>
                            <w:rFonts w:ascii="Cambria Math" w:hAnsi="Cambria Math"/>
                          </w:rPr>
                          <m:t>−1</m:t>
                        </m:r>
                        <m:ctrlPr>
                          <w:rPr>
                            <w:rFonts w:ascii="Cambria Math" w:hAnsi="Cambria Math"/>
                          </w:rPr>
                        </m:ctrlPr>
                      </m:e>
                      <m:e>
                        <m:r>
                          <m:rPr/>
                          <m:t>otherwise</m:t>
                        </m:r>
                        <m:r>
                          <m:rPr/>
                          <w:rPr>
                            <w:rFonts w:ascii="Cambria Math" w:hAnsi="Cambria Math"/>
                          </w:rPr>
                          <m:t>,</m:t>
                        </m:r>
                        <m:ctrlPr>
                          <w:rPr>
                            <w:rFonts w:ascii="Cambria Math" w:hAnsi="Cambria Math"/>
                          </w:rPr>
                        </m:ctrlPr>
                      </m:e>
                    </m:mr>
                  </m:m>
                  <m:ctrlPr>
                    <w:rPr>
                      <w:rFonts w:ascii="Cambria Math" w:hAnsi="Cambria Math"/>
                    </w:rPr>
                  </m:ctrlPr>
                </m:e>
              </m:d>
              <m:r>
                <m:rPr/>
                <w:rPr>
                  <w:rFonts w:ascii="Cambria Math" w:hAnsi="Cambria Math"/>
                </w:rPr>
                <m:t>#(7)</m:t>
              </m:r>
              <m:ctrlPr>
                <w:rPr>
                  <w:rFonts w:ascii="Cambria Math" w:hAnsi="Cambria Math"/>
                  <w:i/>
                </w:rPr>
              </m:ctrlPr>
            </m:e>
          </m:eqArr>
        </m:oMath>
      </m:oMathPara>
    </w:p>
    <w:p w14:paraId="1CDAE5CA">
      <w:pPr>
        <w:pStyle w:val="33"/>
        <w:spacing w:line="360" w:lineRule="auto"/>
        <w:ind w:firstLine="480" w:firstLineChars="200"/>
        <w:jc w:val="both"/>
      </w:pPr>
      <w:r>
        <w:rPr>
          <w:rFonts w:hint="eastAsia"/>
          <w:color w:val="000000"/>
        </w:rPr>
        <w:t>Sub-question quality is intentionally not checked. It is this "no checking" that forces the decomposition behavior: the model must explore on its own what to ask, the base model only achieves 46.8% on A-OKVQA, the standard RLVR control reaches 51.6%, and this method reaches 52.2%; the only difference between the control model and this method is the format requirement, 51.6% to 52.2% of the additional gain can be attributed to the sub-problem format constraints (46.8% to 51.6% of the main gain comes from RL itself). This "format + answer" binary reward is homologous to CR³ in Section 3.1, which only refines the format constraints into explicit sub-problem decomposition; its process signal is limited to the structure existence, and the model may cope with the format with meaningless questions.</w:t>
      </w:r>
    </w:p>
    <w:p w14:paraId="51622B87">
      <w:pPr>
        <w:pStyle w:val="3"/>
        <w:spacing w:line="360" w:lineRule="auto"/>
        <w:ind w:firstLine="480" w:firstLineChars="200"/>
        <w:jc w:val="both"/>
      </w:pPr>
      <w:r>
        <w:rPr>
          <w:rFonts w:hint="eastAsia"/>
          <w:color w:val="000000"/>
        </w:rPr>
        <w:t xml:space="preserve">H-GRPO [20] refines the process reward to step quality and explicitly couples visual evidence: structuring the reasoning into a sequence of "(sub-question, sub-answer, evidence box)" triples </w:t>
      </w: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color w:val="000000"/>
        </w:rPr>
        <w:t>, the prediction and reference triples are matched through the Hungarian bipartite graph, and the similarity matrix integrates the four components of evidence box compatibility, sub-question/sub-answer semantic similarity and box IoU:</w:t>
      </w:r>
    </w:p>
    <w:p w14:paraId="3FFFF610">
      <w:pPr>
        <w:pStyle w:val="3"/>
        <w:spacing w:line="360" w:lineRule="auto"/>
        <w:jc w:val="both"/>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4</m:t>
                  </m:r>
                  <m:ctrlPr>
                    <w:rPr>
                      <w:rFonts w:ascii="Cambria Math" w:hAnsi="Cambria Math"/>
                    </w:rPr>
                  </m:ctrlPr>
                </m:den>
              </m:f>
              <m:d>
                <m:dPr>
                  <m:ctrlPr>
                    <w:rPr>
                      <w:rFonts w:ascii="Cambria Math" w:hAnsi="Cambria Math"/>
                    </w:rPr>
                  </m:ctrlPr>
                </m:dPr>
                <m:e>
                  <m:r>
                    <m:rPr/>
                    <w:rPr>
                      <w:rFonts w:ascii="Cambria Math" w:hAnsi="Cambria Math"/>
                    </w:rPr>
                    <m:t>E(</m:t>
                  </m:r>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j</m:t>
                      </m:r>
                      <m:ctrlPr>
                        <w:rPr>
                          <w:rFonts w:ascii="Cambria Math" w:hAnsi="Cambria Math"/>
                        </w:rPr>
                      </m:ctrlPr>
                    </m:e>
                    <m:sub>
                      <m:r>
                        <m:rPr/>
                        <w:rPr>
                          <w:rFonts w:ascii="Cambria Math" w:hAnsi="Cambria Math"/>
                        </w:rPr>
                        <m:t>∗</m:t>
                      </m:r>
                      <m:ctrlPr>
                        <w:rPr>
                          <w:rFonts w:ascii="Cambria Math" w:hAnsi="Cambria Math"/>
                        </w:rPr>
                      </m:ctrlPr>
                    </m:sub>
                    <m:sup>
                      <m:r>
                        <m:rPr/>
                        <w:rPr>
                          <w:rFonts w:ascii="Cambria Math" w:hAnsi="Cambria Math"/>
                        </w:rPr>
                        <m:t>b</m:t>
                      </m:r>
                      <m:ctrlPr>
                        <w:rPr>
                          <w:rFonts w:ascii="Cambria Math" w:hAnsi="Cambria Math"/>
                        </w:rPr>
                      </m:ctrlPr>
                    </m:sup>
                  </m:sSubSup>
                  <m:r>
                    <m:rPr/>
                    <w:rPr>
                      <w:rFonts w:ascii="Cambria Math" w:hAnsi="Cambria Math"/>
                    </w:rPr>
                    <m:t>)+</m:t>
                  </m:r>
                  <m:sSub>
                    <m:sSubPr>
                      <m:ctrlPr>
                        <w:rPr>
                          <w:rFonts w:ascii="Cambria Math" w:hAnsi="Cambria Math"/>
                        </w:rPr>
                      </m:ctrlPr>
                    </m:sSubPr>
                    <m:e>
                      <m:r>
                        <m:rPr/>
                        <m:t>sim</m:t>
                      </m:r>
                      <m:ctrlPr>
                        <w:rPr>
                          <w:rFonts w:ascii="Cambria Math" w:hAnsi="Cambria Math"/>
                        </w:rPr>
                      </m:ctrlPr>
                    </m:e>
                    <m:sub>
                      <m:r>
                        <m:rPr/>
                        <w:rPr>
                          <w:rFonts w:ascii="Cambria Math" w:hAnsi="Cambria Math"/>
                        </w:rPr>
                        <m:t>q</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j</m:t>
                      </m:r>
                      <m:ctrlPr>
                        <w:rPr>
                          <w:rFonts w:ascii="Cambria Math" w:hAnsi="Cambria Math"/>
                        </w:rPr>
                      </m:ctrlPr>
                    </m:e>
                    <m:sub>
                      <m:r>
                        <m:rPr/>
                        <w:rPr>
                          <w:rFonts w:ascii="Cambria Math" w:hAnsi="Cambria Math"/>
                        </w:rPr>
                        <m:t>∗</m:t>
                      </m:r>
                      <m:ctrlPr>
                        <w:rPr>
                          <w:rFonts w:ascii="Cambria Math" w:hAnsi="Cambria Math"/>
                        </w:rPr>
                      </m:ctrlPr>
                    </m:sub>
                    <m:sup>
                      <m:r>
                        <m:rPr/>
                        <w:rPr>
                          <w:rFonts w:ascii="Cambria Math" w:hAnsi="Cambria Math"/>
                        </w:rPr>
                        <m:t>q</m:t>
                      </m:r>
                      <m:ctrlPr>
                        <w:rPr>
                          <w:rFonts w:ascii="Cambria Math" w:hAnsi="Cambria Math"/>
                        </w:rPr>
                      </m:ctrlPr>
                    </m:sup>
                  </m:sSubSup>
                  <m:r>
                    <m:rPr/>
                    <w:rPr>
                      <w:rFonts w:ascii="Cambria Math" w:hAnsi="Cambria Math"/>
                    </w:rPr>
                    <m:t>)+</m:t>
                  </m:r>
                  <m:sSub>
                    <m:sSubPr>
                      <m:ctrlPr>
                        <w:rPr>
                          <w:rFonts w:ascii="Cambria Math" w:hAnsi="Cambria Math"/>
                        </w:rPr>
                      </m:ctrlPr>
                    </m:sSubPr>
                    <m:e>
                      <m:r>
                        <m:rPr/>
                        <m:t>sim</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a</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j</m:t>
                      </m:r>
                      <m:ctrlPr>
                        <w:rPr>
                          <w:rFonts w:ascii="Cambria Math" w:hAnsi="Cambria Math"/>
                        </w:rPr>
                      </m:ctrlPr>
                    </m:e>
                    <m:sub>
                      <m:r>
                        <m:rPr/>
                        <w:rPr>
                          <w:rFonts w:ascii="Cambria Math" w:hAnsi="Cambria Math"/>
                        </w:rPr>
                        <m:t>∗</m:t>
                      </m:r>
                      <m:ctrlPr>
                        <w:rPr>
                          <w:rFonts w:ascii="Cambria Math" w:hAnsi="Cambria Math"/>
                        </w:rPr>
                      </m:ctrlPr>
                    </m:sub>
                    <m:sup>
                      <m:r>
                        <m:rPr/>
                        <w:rPr>
                          <w:rFonts w:ascii="Cambria Math" w:hAnsi="Cambria Math"/>
                        </w:rPr>
                        <m:t>a</m:t>
                      </m:r>
                      <m:ctrlPr>
                        <w:rPr>
                          <w:rFonts w:ascii="Cambria Math" w:hAnsi="Cambria Math"/>
                        </w:rPr>
                      </m:ctrlPr>
                    </m:sup>
                  </m:sSubSup>
                  <m:r>
                    <m:rPr/>
                    <w:rPr>
                      <w:rFonts w:ascii="Cambria Math" w:hAnsi="Cambria Math"/>
                    </w:rPr>
                    <m:t>)+</m:t>
                  </m:r>
                  <m:r>
                    <m:rPr/>
                    <m:t>IoU</m:t>
                  </m:r>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j</m:t>
                      </m:r>
                      <m:ctrlPr>
                        <w:rPr>
                          <w:rFonts w:ascii="Cambria Math" w:hAnsi="Cambria Math"/>
                        </w:rPr>
                      </m:ctrlPr>
                    </m:e>
                    <m:sub>
                      <m:r>
                        <m:rPr/>
                        <w:rPr>
                          <w:rFonts w:ascii="Cambria Math" w:hAnsi="Cambria Math"/>
                        </w:rPr>
                        <m:t>∗</m:t>
                      </m:r>
                      <m:ctrlPr>
                        <w:rPr>
                          <w:rFonts w:ascii="Cambria Math" w:hAnsi="Cambria Math"/>
                        </w:rPr>
                      </m:ctrlPr>
                    </m:sub>
                    <m:sup>
                      <m:r>
                        <m:rPr/>
                        <w:rPr>
                          <w:rFonts w:ascii="Cambria Math" w:hAnsi="Cambria Math"/>
                        </w:rPr>
                        <m:t>b</m:t>
                      </m:r>
                      <m:ctrlPr>
                        <w:rPr>
                          <w:rFonts w:ascii="Cambria Math" w:hAnsi="Cambria Math"/>
                        </w:rPr>
                      </m:ctrlPr>
                    </m:sup>
                  </m:sSubSup>
                  <m:r>
                    <m:rPr/>
                    <w:rPr>
                      <w:rFonts w:ascii="Cambria Math" w:hAnsi="Cambria Math"/>
                    </w:rPr>
                    <m:t>)</m:t>
                  </m:r>
                  <m:ctrlPr>
                    <w:rPr>
                      <w:rFonts w:ascii="Cambria Math" w:hAnsi="Cambria Math"/>
                    </w:rPr>
                  </m:ctrlPr>
                </m:e>
              </m:d>
              <m:r>
                <m:rPr/>
                <w:rPr>
                  <w:rFonts w:ascii="Cambria Math" w:hAnsi="Cambria Math"/>
                </w:rPr>
                <m:t>,#(8)</m:t>
              </m:r>
              <m:ctrlPr>
                <w:rPr>
                  <w:rFonts w:ascii="Cambria Math" w:hAnsi="Cambria Math"/>
                  <w:i/>
                </w:rPr>
              </m:ctrlPr>
            </m:e>
          </m:eqArr>
        </m:oMath>
      </m:oMathPara>
    </w:p>
    <w:p w14:paraId="15347FC9">
      <w:pPr>
        <w:pStyle w:val="33"/>
        <w:spacing w:line="360" w:lineRule="auto"/>
        <w:jc w:val="both"/>
      </w:pPr>
      <w:r>
        <w:rPr>
          <w:rFonts w:hint="eastAsia"/>
          <w:color w:val="000000"/>
        </w:rPr>
        <w:t xml:space="preserve">where </w:t>
      </w:r>
      <m:oMath>
        <m:r>
          <m:rPr/>
          <w:rPr>
            <w:rFonts w:ascii="Cambria Math" w:hAnsi="Cambria Math"/>
          </w:rPr>
          <m:t>E(</m:t>
        </m:r>
        <m:sSub>
          <m:sSubPr>
            <m:ctrlPr>
              <w:rPr>
                <w:rFonts w:ascii="Cambria Math" w:hAnsi="Cambria Math"/>
              </w:rPr>
            </m:ctrlPr>
          </m:sSubPr>
          <m:e>
            <m:acc>
              <m:accPr>
                <m:ctrlPr>
                  <w:rPr>
                    <w:rFonts w:ascii="Cambria Math" w:hAnsi="Cambria Math"/>
                  </w:rPr>
                </m:ctrlPr>
              </m:accPr>
              <m:e>
                <m:r>
                  <m:rPr/>
                  <w:rPr>
                    <w:rFonts w:ascii="Cambria Math" w:hAnsi="Cambria Math"/>
                  </w:rPr>
                  <m:t>b</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j</m:t>
            </m:r>
            <m:ctrlPr>
              <w:rPr>
                <w:rFonts w:ascii="Cambria Math" w:hAnsi="Cambria Math"/>
              </w:rPr>
            </m:ctrlPr>
          </m:e>
          <m:sub>
            <m:r>
              <m:rPr/>
              <w:rPr>
                <w:rFonts w:ascii="Cambria Math" w:hAnsi="Cambria Math"/>
              </w:rPr>
              <m:t>∗</m:t>
            </m:r>
            <m:ctrlPr>
              <w:rPr>
                <w:rFonts w:ascii="Cambria Math" w:hAnsi="Cambria Math"/>
              </w:rPr>
            </m:ctrlPr>
          </m:sub>
          <m:sup>
            <m:r>
              <m:rPr/>
              <w:rPr>
                <w:rFonts w:ascii="Cambria Math" w:hAnsi="Cambria Math"/>
              </w:rPr>
              <m:t>b</m:t>
            </m:r>
            <m:ctrlPr>
              <w:rPr>
                <w:rFonts w:ascii="Cambria Math" w:hAnsi="Cambria Math"/>
              </w:rPr>
            </m:ctrlPr>
          </m:sup>
        </m:sSubSup>
        <m:r>
          <m:rPr/>
          <w:rPr>
            <w:rFonts w:ascii="Cambria Math" w:hAnsi="Cambria Math"/>
          </w:rPr>
          <m:t>)</m:t>
        </m:r>
      </m:oMath>
      <w:r>
        <w:rPr>
          <w:rFonts w:hint="eastAsia"/>
          <w:color w:val="000000"/>
        </w:rPr>
        <w:t>,</w:t>
      </w:r>
      <m:oMath>
        <m:sSub>
          <m:sSubPr>
            <m:ctrlPr>
              <w:rPr>
                <w:rFonts w:ascii="Cambria Math" w:hAnsi="Cambria Math"/>
              </w:rPr>
            </m:ctrlPr>
          </m:sSubPr>
          <m:e>
            <m:r>
              <m:rPr/>
              <m:t>sim</m:t>
            </m:r>
            <m:ctrlPr>
              <w:rPr>
                <w:rFonts w:ascii="Cambria Math" w:hAnsi="Cambria Math"/>
              </w:rPr>
            </m:ctrlPr>
          </m:e>
          <m:sub>
            <m:r>
              <m:rPr/>
              <w:rPr>
                <w:rFonts w:ascii="Cambria Math" w:hAnsi="Cambria Math"/>
              </w:rPr>
              <m:t>q</m:t>
            </m:r>
            <m:ctrlPr>
              <w:rPr>
                <w:rFonts w:ascii="Cambria Math" w:hAnsi="Cambria Math"/>
              </w:rPr>
            </m:ctrlPr>
          </m:sub>
        </m:sSub>
      </m:oMath>
      <w:r>
        <w:rPr>
          <w:rFonts w:hint="eastAsia"/>
          <w:lang w:val="en-US" w:eastAsia="zh-CN"/>
        </w:rPr>
        <w:t>,</w:t>
      </w:r>
      <m:oMath>
        <m:sSub>
          <m:sSubPr>
            <m:ctrlPr>
              <w:rPr>
                <w:rFonts w:ascii="Cambria Math" w:hAnsi="Cambria Math"/>
              </w:rPr>
            </m:ctrlPr>
          </m:sSubPr>
          <m:e>
            <m:r>
              <m:rPr/>
              <m:t>sim</m:t>
            </m:r>
            <m:ctrlPr>
              <w:rPr>
                <w:rFonts w:ascii="Cambria Math" w:hAnsi="Cambria Math"/>
              </w:rPr>
            </m:ctrlPr>
          </m:e>
          <m:sub>
            <m:r>
              <m:rPr/>
              <w:rPr>
                <w:rFonts w:ascii="Cambria Math" w:hAnsi="Cambria Math"/>
              </w:rPr>
              <m:t>a</m:t>
            </m:r>
            <m:ctrlPr>
              <w:rPr>
                <w:rFonts w:ascii="Cambria Math" w:hAnsi="Cambria Math"/>
              </w:rPr>
            </m:ctrlPr>
          </m:sub>
        </m:sSub>
      </m:oMath>
      <w:r>
        <w:rPr>
          <w:rFonts w:hint="eastAsia"/>
          <w:color w:val="000000"/>
        </w:rPr>
        <w:t xml:space="preserve"> The evidence frame compatibility, semantic similarity of sub-questions and sub-answers are measured respectively, and IoU is the spatial overlap. The total reward is the sum of the format reward and "answer reward × Hungarian reward":</w:t>
      </w:r>
    </w:p>
    <w:p w14:paraId="00505C57">
      <w:pPr>
        <w:pStyle w:val="3"/>
        <w:spacing w:line="360" w:lineRule="auto"/>
        <w:jc w:val="both"/>
      </w:pPr>
      <m:oMathPara>
        <m:oMath>
          <m:eqArr>
            <m:eqArrPr>
              <m:maxDist m:val="1"/>
              <m:ctrlPr>
                <w:rPr>
                  <w:rFonts w:ascii="Cambria Math" w:hAnsi="Cambria Math"/>
                </w:rPr>
              </m:ctrlPr>
            </m:eqArrPr>
            <m:e>
              <m:r>
                <m:rPr/>
                <w:rPr>
                  <w:rFonts w:ascii="Cambria Math" w:hAnsi="Cambria Math"/>
                </w:rPr>
                <m:t>ℛ=α</m:t>
              </m:r>
              <m:sSub>
                <m:sSubPr>
                  <m:ctrlPr>
                    <w:rPr>
                      <w:rFonts w:ascii="Cambria Math" w:hAnsi="Cambria Math"/>
                    </w:rPr>
                  </m:ctrlPr>
                </m:sSubPr>
                <m:e>
                  <m:r>
                    <m:rPr/>
                    <w:rPr>
                      <w:rFonts w:ascii="Cambria Math" w:hAnsi="Cambria Math"/>
                    </w:rPr>
                    <m:t>ℛ</m:t>
                  </m:r>
                  <m:ctrlPr>
                    <w:rPr>
                      <w:rFonts w:ascii="Cambria Math" w:hAnsi="Cambria Math"/>
                    </w:rPr>
                  </m:ctrlPr>
                </m:e>
                <m:sub>
                  <m:r>
                    <m:rPr/>
                    <m:t>fmt</m:t>
                  </m:r>
                  <m:ctrlPr>
                    <w:rPr>
                      <w:rFonts w:ascii="Cambria Math" w:hAnsi="Cambria Math"/>
                    </w:rPr>
                  </m:ctrlPr>
                </m:sub>
              </m:sSub>
              <m:r>
                <m:rPr/>
                <w:rPr>
                  <w:rFonts w:ascii="Cambria Math" w:hAnsi="Cambria Math"/>
                </w:rPr>
                <m:t>+β</m:t>
              </m:r>
              <m:sSub>
                <m:sSubPr>
                  <m:ctrlPr>
                    <w:rPr>
                      <w:rFonts w:ascii="Cambria Math" w:hAnsi="Cambria Math"/>
                    </w:rPr>
                  </m:ctrlPr>
                </m:sSubPr>
                <m:e>
                  <m:r>
                    <m:rPr/>
                    <w:rPr>
                      <w:rFonts w:ascii="Cambria Math" w:hAnsi="Cambria Math"/>
                    </w:rPr>
                    <m:t>ℛ</m:t>
                  </m:r>
                  <m:ctrlPr>
                    <w:rPr>
                      <w:rFonts w:ascii="Cambria Math" w:hAnsi="Cambria Math"/>
                    </w:rPr>
                  </m:ctrlPr>
                </m:e>
                <m:sub>
                  <m:r>
                    <m:rPr/>
                    <m:t>ans</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ℛ</m:t>
                  </m:r>
                  <m:ctrlPr>
                    <w:rPr>
                      <w:rFonts w:ascii="Cambria Math" w:hAnsi="Cambria Math"/>
                    </w:rPr>
                  </m:ctrlPr>
                </m:e>
                <m:sub>
                  <m:r>
                    <m:rPr/>
                    <m:t>HS</m:t>
                  </m:r>
                  <m:ctrlPr>
                    <w:rPr>
                      <w:rFonts w:ascii="Cambria Math" w:hAnsi="Cambria Math"/>
                    </w:rPr>
                  </m:ctrlPr>
                </m:sub>
              </m:sSub>
              <m:r>
                <m:rPr/>
                <w:rPr>
                  <w:rFonts w:ascii="Cambria Math" w:hAnsi="Cambria Math"/>
                </w:rPr>
                <m:t>,#(9)</m:t>
              </m:r>
              <m:ctrlPr>
                <w:rPr>
                  <w:rFonts w:ascii="Cambria Math" w:hAnsi="Cambria Math"/>
                </w:rPr>
              </m:ctrlPr>
            </m:e>
          </m:eqArr>
        </m:oMath>
      </m:oMathPara>
    </w:p>
    <w:p w14:paraId="79491577">
      <w:pPr>
        <w:pStyle w:val="33"/>
        <w:spacing w:line="360" w:lineRule="auto"/>
        <w:jc w:val="both"/>
      </w:pPr>
      <w:r>
        <w:rPr>
          <w:rFonts w:hint="eastAsia"/>
          <w:color w:val="000000"/>
        </w:rPr>
        <w:t>Gating relationship guarantee: if the answer is correct but the intermediate steps and evidence grounding are not in place, the reward will be gated, thereby inhibiting the shortcut of "ignoring the image and only relying on the text to hallucinate". Mathematically, GRPO is a special case of H-GRPO diagonal matching, which confirms the conclusion that "result verification and process verification have the same origin" at the method level. Small models benefit the most (SmolVLM-2.2B reaches 73.4% in A-OKVQA), but the quality of the reference inference chain determines the upper limit of the reward (the reference chain is manually verified).</w:t>
      </w:r>
    </w:p>
    <w:p w14:paraId="2CFE6A8B">
      <w:pPr>
        <w:pStyle w:val="3"/>
        <w:spacing w:line="360" w:lineRule="auto"/>
        <w:ind w:firstLine="482" w:firstLineChars="200"/>
        <w:jc w:val="both"/>
      </w:pPr>
      <w:r>
        <w:rPr>
          <w:rFonts w:hint="eastAsia"/>
          <w:b/>
          <w:color w:val="000000"/>
        </w:rPr>
        <w:t>Section summary:</w:t>
      </w:r>
      <w:r>
        <w:rPr>
          <w:rFonts w:hint="eastAsia"/>
          <w:color w:val="000000"/>
        </w:rPr>
        <w:t xml:space="preserve"> The process signal construction paths of the three works are different, from the simplest format constraints to structured rewards that combine reference chain matching and visual evidence. Process signals are mostly self-generated by the model, and the supervision requirement is the lowest among the three categories; however, except for the evidence frame constraints of H-GRPO, process signals generally do not contain visual semantic structures. How to deeply integrate "process" and "visual" at the reward level is still an open question (see Section 4 for details).</w:t>
      </w:r>
    </w:p>
    <w:bookmarkEnd w:id="8"/>
    <w:p w14:paraId="123148FE">
      <w:pPr>
        <w:pStyle w:val="5"/>
        <w:spacing w:line="360" w:lineRule="auto"/>
        <w:jc w:val="both"/>
      </w:pPr>
      <w:bookmarkStart w:id="9" w:name="三类方法对比分析"/>
      <w:r>
        <w:rPr>
          <w:rFonts w:hint="eastAsia" w:eastAsia="宋体"/>
        </w:rPr>
        <w:t>3.4 Comparative analysis of three types of methods</w:t>
      </w:r>
    </w:p>
    <w:p w14:paraId="00DD21E1">
      <w:pPr>
        <w:pStyle w:val="33"/>
        <w:spacing w:line="360" w:lineRule="auto"/>
        <w:ind w:firstLine="480" w:firstLineChars="200"/>
        <w:jc w:val="both"/>
      </w:pPr>
      <w:r>
        <w:rPr>
          <w:rFonts w:hint="eastAsia"/>
          <w:color w:val="000000"/>
        </w:rPr>
        <w:t>Looking at the three directions together, the three types of methods are not discrete categories, nor are they technical routes that replace each other, but are complementary explorations under the same research problem, starting from the three levels of "whether it is correct", "whether it looks at the right evidence" and "whether it is reasonable reasoning", constituting different scales in the reward signal design space (as shown in Figure 1). Judging from the time of their introduction, the three types of methods do not show a strict progression: representative work in the direction of result verification and visual alignment appeared one after another from mid-2025 to 2026. The process optimization direction started with VisualPRM [12] (March 2025) as the precursor to process modeling, Self-Questioning [19] and H-GRPO [20] concentrated in mid-2026. The active periods of the three directions overlap with each other. In addition, there are still a few studies that directly target compositional reasoning for optimization. Most methods use explicit compositional benchmarks, spatial reasoning or general VQA benchmarks as evaluation carriers. This article is classified according to the incremental contribution of reward design (see the beginning of Section 3) rather than the evaluation carrier. The compositional reference value and evaluation limitations of each method are detailed in Section 4.3. "Evolution" refers to the dimensional expansion of the design space rather than the sequential elimination in time. Table 2 summarizes the comparison at the category level; Tables 3 and 4 provide the method-by-method reward granularity scale and experimental settings respectively. Even at the method level, the three directions can learn from each other: H-GRPO's "Answer Reward × Hungarian Gating" integrates result verification and process matching, and the object-level advantages of POLIA [17] also rely on the guidance of answer-level criteria, and categories are not closed drawers.</w:t>
      </w:r>
    </w:p>
    <w:p w14:paraId="33B862E2">
      <w:pPr>
        <w:pStyle w:val="12"/>
        <w:spacing w:line="360" w:lineRule="auto"/>
        <w:jc w:val="center"/>
        <w:rPr>
          <w:i w:val="0"/>
          <w:iCs/>
          <w:sz w:val="21"/>
          <w:szCs w:val="21"/>
        </w:rPr>
      </w:pPr>
      <w:r>
        <w:rPr>
          <w:rFonts w:hint="eastAsia"/>
          <w:b/>
          <w:bCs/>
          <w:i w:val="0"/>
          <w:iCs/>
          <w:sz w:val="21"/>
          <w:szCs w:val="21"/>
        </w:rPr>
        <w:t>Table 2: Method classification comparison table</w:t>
      </w:r>
    </w:p>
    <w:tbl>
      <w:tblPr>
        <w:tblStyle w:val="82"/>
        <w:tblW w:w="5000" w:type="pct"/>
        <w:jc w:val="center"/>
        <w:tblLayout w:type="fixed"/>
        <w:tblCellMar>
          <w:top w:w="0" w:type="dxa"/>
          <w:left w:w="108" w:type="dxa"/>
          <w:bottom w:w="0" w:type="dxa"/>
          <w:right w:w="108" w:type="dxa"/>
        </w:tblCellMar>
      </w:tblPr>
      <w:tblGrid>
        <w:gridCol w:w="1861"/>
        <w:gridCol w:w="2256"/>
        <w:gridCol w:w="2374"/>
        <w:gridCol w:w="2149"/>
      </w:tblGrid>
      <w:tr w14:paraId="05E4B059">
        <w:tblPrEx>
          <w:tblCellMar>
            <w:top w:w="0" w:type="dxa"/>
            <w:left w:w="108" w:type="dxa"/>
            <w:bottom w:w="0" w:type="dxa"/>
            <w:right w:w="108" w:type="dxa"/>
          </w:tblCellMar>
        </w:tblPrEx>
        <w:trPr>
          <w:tblHeader/>
          <w:jc w:val="center"/>
        </w:trPr>
        <w:tc>
          <w:tcPr>
            <w:tcW w:w="1861" w:type="dxa"/>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6B8E340E">
            <w:pPr>
              <w:pStyle w:val="52"/>
              <w:spacing w:line="360" w:lineRule="auto"/>
              <w:jc w:val="center"/>
              <w:rPr>
                <w:sz w:val="21"/>
                <w:szCs w:val="21"/>
              </w:rPr>
            </w:pPr>
            <w:r>
              <w:rPr>
                <w:rFonts w:hint="eastAsia"/>
                <w:b/>
                <w:sz w:val="21"/>
                <w:szCs w:val="21"/>
              </w:rPr>
              <w:t>Dimensions</w:t>
            </w:r>
          </w:p>
        </w:tc>
        <w:tc>
          <w:tcPr>
            <w:tcW w:w="2256" w:type="dxa"/>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6705CBB5">
            <w:pPr>
              <w:pStyle w:val="52"/>
              <w:spacing w:line="360" w:lineRule="auto"/>
              <w:jc w:val="center"/>
              <w:rPr>
                <w:sz w:val="21"/>
                <w:szCs w:val="21"/>
              </w:rPr>
            </w:pPr>
            <w:r>
              <w:rPr>
                <w:rFonts w:hint="eastAsia"/>
                <w:b/>
                <w:sz w:val="21"/>
                <w:szCs w:val="21"/>
              </w:rPr>
              <w:t>Verifier rewards</w:t>
            </w:r>
          </w:p>
        </w:tc>
        <w:tc>
          <w:tcPr>
            <w:tcW w:w="2374" w:type="dxa"/>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72F8450A">
            <w:pPr>
              <w:pStyle w:val="52"/>
              <w:spacing w:line="360" w:lineRule="auto"/>
              <w:jc w:val="center"/>
              <w:rPr>
                <w:sz w:val="21"/>
                <w:szCs w:val="21"/>
              </w:rPr>
            </w:pPr>
            <w:r>
              <w:rPr>
                <w:rFonts w:hint="eastAsia"/>
                <w:b/>
                <w:sz w:val="21"/>
                <w:szCs w:val="21"/>
              </w:rPr>
              <w:t>Visual alignment reward</w:t>
            </w:r>
          </w:p>
        </w:tc>
        <w:tc>
          <w:tcPr>
            <w:tcW w:w="2149" w:type="dxa"/>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2B288684">
            <w:pPr>
              <w:pStyle w:val="52"/>
              <w:spacing w:line="360" w:lineRule="auto"/>
              <w:jc w:val="center"/>
              <w:rPr>
                <w:sz w:val="21"/>
                <w:szCs w:val="21"/>
              </w:rPr>
            </w:pPr>
            <w:r>
              <w:rPr>
                <w:rFonts w:hint="eastAsia"/>
                <w:b/>
                <w:sz w:val="21"/>
                <w:szCs w:val="21"/>
              </w:rPr>
              <w:t>Reasoning process optimization</w:t>
            </w:r>
          </w:p>
        </w:tc>
      </w:tr>
      <w:tr w14:paraId="67C4E753">
        <w:tblPrEx>
          <w:tblCellMar>
            <w:top w:w="0" w:type="dxa"/>
            <w:left w:w="108" w:type="dxa"/>
            <w:bottom w:w="0" w:type="dxa"/>
            <w:right w:w="108" w:type="dxa"/>
          </w:tblCellMar>
        </w:tblPrEx>
        <w:trPr>
          <w:jc w:val="center"/>
        </w:trPr>
        <w:tc>
          <w:tcPr>
            <w:tcW w:w="1861" w:type="dxa"/>
            <w:tcBorders>
              <w:top w:val="single" w:color="808080" w:sz="4" w:space="0"/>
              <w:left w:val="single" w:color="808080" w:sz="4" w:space="0"/>
              <w:bottom w:val="single" w:color="808080" w:sz="4" w:space="0"/>
              <w:right w:val="single" w:color="808080" w:sz="4" w:space="0"/>
            </w:tcBorders>
            <w:vAlign w:val="center"/>
          </w:tcPr>
          <w:p w14:paraId="50F4AC0B">
            <w:pPr>
              <w:pStyle w:val="52"/>
              <w:spacing w:line="360" w:lineRule="auto"/>
              <w:jc w:val="left"/>
              <w:rPr>
                <w:sz w:val="21"/>
                <w:szCs w:val="21"/>
              </w:rPr>
            </w:pPr>
            <w:r>
              <w:rPr>
                <w:rFonts w:hint="eastAsia"/>
                <w:b/>
                <w:sz w:val="21"/>
                <w:szCs w:val="21"/>
              </w:rPr>
              <w:t>Reward signal source</w:t>
            </w:r>
          </w:p>
        </w:tc>
        <w:tc>
          <w:tcPr>
            <w:tcW w:w="2256" w:type="dxa"/>
            <w:tcBorders>
              <w:top w:val="single" w:color="808080" w:sz="4" w:space="0"/>
              <w:left w:val="single" w:color="808080" w:sz="4" w:space="0"/>
              <w:bottom w:val="single" w:color="808080" w:sz="4" w:space="0"/>
              <w:right w:val="single" w:color="808080" w:sz="4" w:space="0"/>
            </w:tcBorders>
            <w:vAlign w:val="center"/>
          </w:tcPr>
          <w:p w14:paraId="096C3211">
            <w:pPr>
              <w:pStyle w:val="52"/>
              <w:spacing w:line="360" w:lineRule="auto"/>
              <w:jc w:val="left"/>
              <w:rPr>
                <w:sz w:val="21"/>
                <w:szCs w:val="21"/>
              </w:rPr>
            </w:pPr>
            <w:r>
              <w:rPr>
                <w:rFonts w:hint="eastAsia"/>
                <w:sz w:val="21"/>
                <w:szCs w:val="21"/>
              </w:rPr>
              <w:t>Result verification (rules/graph structure/view consistency)</w:t>
            </w:r>
          </w:p>
        </w:tc>
        <w:tc>
          <w:tcPr>
            <w:tcW w:w="2374" w:type="dxa"/>
            <w:tcBorders>
              <w:top w:val="single" w:color="808080" w:sz="4" w:space="0"/>
              <w:left w:val="single" w:color="808080" w:sz="4" w:space="0"/>
              <w:bottom w:val="single" w:color="808080" w:sz="4" w:space="0"/>
              <w:right w:val="single" w:color="808080" w:sz="4" w:space="0"/>
            </w:tcBorders>
            <w:vAlign w:val="center"/>
          </w:tcPr>
          <w:p w14:paraId="7FC279CF">
            <w:pPr>
              <w:pStyle w:val="52"/>
              <w:spacing w:line="360" w:lineRule="auto"/>
              <w:jc w:val="left"/>
              <w:rPr>
                <w:sz w:val="21"/>
                <w:szCs w:val="21"/>
              </w:rPr>
            </w:pPr>
            <w:r>
              <w:rPr>
                <w:rFonts w:hint="eastAsia"/>
                <w:sz w:val="21"/>
                <w:szCs w:val="21"/>
              </w:rPr>
              <w:t>Answer-Visual semantic structure alignment</w:t>
            </w:r>
          </w:p>
        </w:tc>
        <w:tc>
          <w:tcPr>
            <w:tcW w:w="2149" w:type="dxa"/>
            <w:tcBorders>
              <w:top w:val="single" w:color="808080" w:sz="4" w:space="0"/>
              <w:left w:val="single" w:color="808080" w:sz="4" w:space="0"/>
              <w:bottom w:val="single" w:color="808080" w:sz="4" w:space="0"/>
              <w:right w:val="single" w:color="808080" w:sz="4" w:space="0"/>
            </w:tcBorders>
            <w:vAlign w:val="center"/>
          </w:tcPr>
          <w:p w14:paraId="7AE34156">
            <w:pPr>
              <w:pStyle w:val="52"/>
              <w:spacing w:line="360" w:lineRule="auto"/>
              <w:jc w:val="left"/>
              <w:rPr>
                <w:sz w:val="21"/>
                <w:szCs w:val="21"/>
              </w:rPr>
            </w:pPr>
            <w:r>
              <w:rPr>
                <w:rFonts w:hint="eastAsia"/>
                <w:sz w:val="21"/>
                <w:szCs w:val="21"/>
              </w:rPr>
              <w:t>Process Structure/Step Credit Assignment</w:t>
            </w:r>
          </w:p>
        </w:tc>
      </w:tr>
      <w:tr w14:paraId="4F54457B">
        <w:tblPrEx>
          <w:tblCellMar>
            <w:top w:w="0" w:type="dxa"/>
            <w:left w:w="108" w:type="dxa"/>
            <w:bottom w:w="0" w:type="dxa"/>
            <w:right w:w="108" w:type="dxa"/>
          </w:tblCellMar>
        </w:tblPrEx>
        <w:trPr>
          <w:jc w:val="center"/>
        </w:trPr>
        <w:tc>
          <w:tcPr>
            <w:tcW w:w="1861" w:type="dxa"/>
            <w:tcBorders>
              <w:top w:val="single" w:color="808080" w:sz="4" w:space="0"/>
              <w:left w:val="single" w:color="808080" w:sz="4" w:space="0"/>
              <w:bottom w:val="single" w:color="808080" w:sz="4" w:space="0"/>
              <w:right w:val="single" w:color="808080" w:sz="4" w:space="0"/>
            </w:tcBorders>
            <w:vAlign w:val="center"/>
          </w:tcPr>
          <w:p w14:paraId="1620B92B">
            <w:pPr>
              <w:pStyle w:val="52"/>
              <w:spacing w:line="360" w:lineRule="auto"/>
              <w:jc w:val="left"/>
              <w:rPr>
                <w:sz w:val="21"/>
                <w:szCs w:val="21"/>
              </w:rPr>
            </w:pPr>
            <w:r>
              <w:rPr>
                <w:rFonts w:hint="eastAsia"/>
                <w:b/>
                <w:sz w:val="21"/>
                <w:szCs w:val="21"/>
              </w:rPr>
              <w:t>Reward granularity (typical scale)</w:t>
            </w:r>
          </w:p>
        </w:tc>
        <w:tc>
          <w:tcPr>
            <w:tcW w:w="2256" w:type="dxa"/>
            <w:tcBorders>
              <w:top w:val="single" w:color="808080" w:sz="4" w:space="0"/>
              <w:left w:val="single" w:color="808080" w:sz="4" w:space="0"/>
              <w:bottom w:val="single" w:color="808080" w:sz="4" w:space="0"/>
              <w:right w:val="single" w:color="808080" w:sz="4" w:space="0"/>
            </w:tcBorders>
            <w:vAlign w:val="center"/>
          </w:tcPr>
          <w:p w14:paraId="256F4E2B">
            <w:pPr>
              <w:pStyle w:val="52"/>
              <w:spacing w:line="360" w:lineRule="auto"/>
              <w:jc w:val="left"/>
              <w:rPr>
                <w:sz w:val="21"/>
                <w:szCs w:val="21"/>
              </w:rPr>
            </w:pPr>
            <w:r>
              <w:rPr>
                <w:rFonts w:hint="eastAsia"/>
                <w:sz w:val="21"/>
                <w:szCs w:val="21"/>
              </w:rPr>
              <w:t>Answer Level → Structure/Consistency Level</w:t>
            </w:r>
          </w:p>
        </w:tc>
        <w:tc>
          <w:tcPr>
            <w:tcW w:w="2374" w:type="dxa"/>
            <w:tcBorders>
              <w:top w:val="single" w:color="808080" w:sz="4" w:space="0"/>
              <w:left w:val="single" w:color="808080" w:sz="4" w:space="0"/>
              <w:bottom w:val="single" w:color="808080" w:sz="4" w:space="0"/>
              <w:right w:val="single" w:color="808080" w:sz="4" w:space="0"/>
            </w:tcBorders>
            <w:vAlign w:val="center"/>
          </w:tcPr>
          <w:p w14:paraId="0BD55B47">
            <w:pPr>
              <w:pStyle w:val="52"/>
              <w:spacing w:line="360" w:lineRule="auto"/>
              <w:jc w:val="left"/>
              <w:rPr>
                <w:sz w:val="21"/>
                <w:szCs w:val="21"/>
              </w:rPr>
            </w:pPr>
            <w:r>
              <w:rPr>
                <w:rFonts w:hint="eastAsia"/>
                <w:sz w:val="21"/>
                <w:szCs w:val="21"/>
              </w:rPr>
              <w:t>Area level → object level → saliency level</w:t>
            </w:r>
          </w:p>
        </w:tc>
        <w:tc>
          <w:tcPr>
            <w:tcW w:w="2149" w:type="dxa"/>
            <w:tcBorders>
              <w:top w:val="single" w:color="808080" w:sz="4" w:space="0"/>
              <w:left w:val="single" w:color="808080" w:sz="4" w:space="0"/>
              <w:bottom w:val="single" w:color="808080" w:sz="4" w:space="0"/>
              <w:right w:val="single" w:color="808080" w:sz="4" w:space="0"/>
            </w:tcBorders>
            <w:vAlign w:val="center"/>
          </w:tcPr>
          <w:p w14:paraId="0E31A0FD">
            <w:pPr>
              <w:pStyle w:val="52"/>
              <w:spacing w:line="360" w:lineRule="auto"/>
              <w:jc w:val="left"/>
              <w:rPr>
                <w:sz w:val="21"/>
                <w:szCs w:val="21"/>
              </w:rPr>
            </w:pPr>
            <w:r>
              <w:rPr>
                <w:rFonts w:hint="eastAsia"/>
                <w:sz w:val="21"/>
                <w:szCs w:val="21"/>
              </w:rPr>
              <w:t>Sub-question level → step+evidence level</w:t>
            </w:r>
          </w:p>
        </w:tc>
      </w:tr>
      <w:tr w14:paraId="418B18E7">
        <w:tblPrEx>
          <w:tblCellMar>
            <w:top w:w="0" w:type="dxa"/>
            <w:left w:w="108" w:type="dxa"/>
            <w:bottom w:w="0" w:type="dxa"/>
            <w:right w:w="108" w:type="dxa"/>
          </w:tblCellMar>
        </w:tblPrEx>
        <w:trPr>
          <w:jc w:val="center"/>
        </w:trPr>
        <w:tc>
          <w:tcPr>
            <w:tcW w:w="1861" w:type="dxa"/>
            <w:tcBorders>
              <w:top w:val="single" w:color="808080" w:sz="4" w:space="0"/>
              <w:left w:val="single" w:color="808080" w:sz="4" w:space="0"/>
              <w:bottom w:val="single" w:color="808080" w:sz="4" w:space="0"/>
              <w:right w:val="single" w:color="808080" w:sz="4" w:space="0"/>
            </w:tcBorders>
            <w:vAlign w:val="center"/>
          </w:tcPr>
          <w:p w14:paraId="17626C01">
            <w:pPr>
              <w:pStyle w:val="52"/>
              <w:spacing w:line="360" w:lineRule="auto"/>
              <w:jc w:val="left"/>
              <w:rPr>
                <w:sz w:val="21"/>
                <w:szCs w:val="21"/>
              </w:rPr>
            </w:pPr>
            <w:r>
              <w:rPr>
                <w:rFonts w:hint="eastAsia"/>
                <w:b/>
                <w:sz w:val="21"/>
                <w:szCs w:val="21"/>
              </w:rPr>
              <w:t>Whether to touch the compositional binding</w:t>
            </w:r>
          </w:p>
        </w:tc>
        <w:tc>
          <w:tcPr>
            <w:tcW w:w="2256" w:type="dxa"/>
            <w:tcBorders>
              <w:top w:val="single" w:color="808080" w:sz="4" w:space="0"/>
              <w:left w:val="single" w:color="808080" w:sz="4" w:space="0"/>
              <w:bottom w:val="single" w:color="808080" w:sz="4" w:space="0"/>
              <w:right w:val="single" w:color="808080" w:sz="4" w:space="0"/>
            </w:tcBorders>
            <w:vAlign w:val="center"/>
          </w:tcPr>
          <w:p w14:paraId="71A50AC5">
            <w:pPr>
              <w:pStyle w:val="52"/>
              <w:spacing w:line="360" w:lineRule="auto"/>
              <w:jc w:val="left"/>
              <w:rPr>
                <w:sz w:val="21"/>
                <w:szCs w:val="21"/>
              </w:rPr>
            </w:pPr>
            <w:r>
              <w:rPr>
                <w:rFonts w:hint="eastAsia"/>
                <w:sz w:val="21"/>
                <w:szCs w:val="21"/>
              </w:rPr>
              <w:t>Indirect (verify binding results)</w:t>
            </w:r>
          </w:p>
        </w:tc>
        <w:tc>
          <w:tcPr>
            <w:tcW w:w="2374" w:type="dxa"/>
            <w:tcBorders>
              <w:top w:val="single" w:color="808080" w:sz="4" w:space="0"/>
              <w:left w:val="single" w:color="808080" w:sz="4" w:space="0"/>
              <w:bottom w:val="single" w:color="808080" w:sz="4" w:space="0"/>
              <w:right w:val="single" w:color="808080" w:sz="4" w:space="0"/>
            </w:tcBorders>
            <w:vAlign w:val="center"/>
          </w:tcPr>
          <w:p w14:paraId="5814C5A1">
            <w:pPr>
              <w:pStyle w:val="52"/>
              <w:spacing w:line="360" w:lineRule="auto"/>
              <w:jc w:val="left"/>
              <w:rPr>
                <w:sz w:val="21"/>
                <w:szCs w:val="21"/>
              </w:rPr>
            </w:pPr>
            <w:r>
              <w:rPr>
                <w:rFonts w:hint="eastAsia"/>
                <w:sz w:val="21"/>
                <w:szCs w:val="21"/>
              </w:rPr>
              <w:t>Direct (tied to visual evidence)</w:t>
            </w:r>
          </w:p>
        </w:tc>
        <w:tc>
          <w:tcPr>
            <w:tcW w:w="2149" w:type="dxa"/>
            <w:tcBorders>
              <w:top w:val="single" w:color="808080" w:sz="4" w:space="0"/>
              <w:left w:val="single" w:color="808080" w:sz="4" w:space="0"/>
              <w:bottom w:val="single" w:color="808080" w:sz="4" w:space="0"/>
              <w:right w:val="single" w:color="808080" w:sz="4" w:space="0"/>
            </w:tcBorders>
            <w:vAlign w:val="center"/>
          </w:tcPr>
          <w:p w14:paraId="46563E7A">
            <w:pPr>
              <w:pStyle w:val="52"/>
              <w:spacing w:line="360" w:lineRule="auto"/>
              <w:jc w:val="left"/>
              <w:rPr>
                <w:sz w:val="21"/>
                <w:szCs w:val="21"/>
              </w:rPr>
            </w:pPr>
            <w:r>
              <w:rPr>
                <w:rFonts w:hint="eastAsia"/>
                <w:sz w:val="21"/>
                <w:szCs w:val="21"/>
              </w:rPr>
              <w:t>Indirect (procedural correctness)</w:t>
            </w:r>
          </w:p>
        </w:tc>
      </w:tr>
      <w:tr w14:paraId="12D8BE16">
        <w:tblPrEx>
          <w:tblCellMar>
            <w:top w:w="0" w:type="dxa"/>
            <w:left w:w="108" w:type="dxa"/>
            <w:bottom w:w="0" w:type="dxa"/>
            <w:right w:w="108" w:type="dxa"/>
          </w:tblCellMar>
        </w:tblPrEx>
        <w:trPr>
          <w:jc w:val="center"/>
        </w:trPr>
        <w:tc>
          <w:tcPr>
            <w:tcW w:w="1861" w:type="dxa"/>
            <w:tcBorders>
              <w:top w:val="single" w:color="808080" w:sz="4" w:space="0"/>
              <w:left w:val="single" w:color="808080" w:sz="4" w:space="0"/>
              <w:bottom w:val="single" w:color="808080" w:sz="4" w:space="0"/>
              <w:right w:val="single" w:color="808080" w:sz="4" w:space="0"/>
            </w:tcBorders>
            <w:vAlign w:val="center"/>
          </w:tcPr>
          <w:p w14:paraId="362173F3">
            <w:pPr>
              <w:pStyle w:val="52"/>
              <w:spacing w:line="360" w:lineRule="auto"/>
              <w:jc w:val="left"/>
              <w:rPr>
                <w:sz w:val="21"/>
                <w:szCs w:val="21"/>
              </w:rPr>
            </w:pPr>
            <w:r>
              <w:rPr>
                <w:rFonts w:hint="eastAsia"/>
                <w:b/>
                <w:sz w:val="21"/>
                <w:szCs w:val="21"/>
              </w:rPr>
              <w:t>representative work</w:t>
            </w:r>
          </w:p>
        </w:tc>
        <w:tc>
          <w:tcPr>
            <w:tcW w:w="2256" w:type="dxa"/>
            <w:tcBorders>
              <w:top w:val="single" w:color="808080" w:sz="4" w:space="0"/>
              <w:left w:val="single" w:color="808080" w:sz="4" w:space="0"/>
              <w:bottom w:val="single" w:color="808080" w:sz="4" w:space="0"/>
              <w:right w:val="single" w:color="808080" w:sz="4" w:space="0"/>
            </w:tcBorders>
            <w:vAlign w:val="center"/>
          </w:tcPr>
          <w:p w14:paraId="79D27EB7">
            <w:pPr>
              <w:pStyle w:val="52"/>
              <w:spacing w:line="360" w:lineRule="auto"/>
              <w:jc w:val="left"/>
              <w:rPr>
                <w:sz w:val="21"/>
                <w:szCs w:val="21"/>
              </w:rPr>
            </w:pPr>
            <w:r>
              <w:rPr>
                <w:sz w:val="21"/>
                <w:szCs w:val="21"/>
              </w:rPr>
              <w:t>CR³ / SpatialThinker / SVQA-R1</w:t>
            </w:r>
          </w:p>
        </w:tc>
        <w:tc>
          <w:tcPr>
            <w:tcW w:w="2374" w:type="dxa"/>
            <w:tcBorders>
              <w:top w:val="single" w:color="808080" w:sz="4" w:space="0"/>
              <w:left w:val="single" w:color="808080" w:sz="4" w:space="0"/>
              <w:bottom w:val="single" w:color="808080" w:sz="4" w:space="0"/>
              <w:right w:val="single" w:color="808080" w:sz="4" w:space="0"/>
            </w:tcBorders>
            <w:vAlign w:val="center"/>
          </w:tcPr>
          <w:p w14:paraId="50442204">
            <w:pPr>
              <w:pStyle w:val="52"/>
              <w:spacing w:line="360" w:lineRule="auto"/>
              <w:jc w:val="left"/>
              <w:rPr>
                <w:sz w:val="21"/>
                <w:szCs w:val="21"/>
              </w:rPr>
            </w:pPr>
            <w:r>
              <w:rPr>
                <w:rFonts w:ascii="Times New Roman" w:eastAsia="宋体"/>
                <w:sz w:val="21"/>
                <w:szCs w:val="21"/>
              </w:rPr>
              <w:t>Ground-R1 / GRIT / POLIA / SAYO</w:t>
            </w:r>
          </w:p>
        </w:tc>
        <w:tc>
          <w:tcPr>
            <w:tcW w:w="2149" w:type="dxa"/>
            <w:tcBorders>
              <w:top w:val="single" w:color="808080" w:sz="4" w:space="0"/>
              <w:left w:val="single" w:color="808080" w:sz="4" w:space="0"/>
              <w:bottom w:val="single" w:color="808080" w:sz="4" w:space="0"/>
              <w:right w:val="single" w:color="808080" w:sz="4" w:space="0"/>
            </w:tcBorders>
            <w:vAlign w:val="center"/>
          </w:tcPr>
          <w:p w14:paraId="5708A9A3">
            <w:pPr>
              <w:pStyle w:val="52"/>
              <w:spacing w:line="360" w:lineRule="auto"/>
              <w:jc w:val="left"/>
              <w:rPr>
                <w:sz w:val="21"/>
                <w:szCs w:val="21"/>
              </w:rPr>
            </w:pPr>
            <w:r>
              <w:rPr>
                <w:rFonts w:ascii="Times New Roman" w:eastAsia="宋体"/>
                <w:sz w:val="21"/>
                <w:szCs w:val="21"/>
              </w:rPr>
              <w:t>Self-Questioning / H-GRPO</w:t>
            </w:r>
          </w:p>
        </w:tc>
      </w:tr>
      <w:tr w14:paraId="0A116712">
        <w:tblPrEx>
          <w:tblCellMar>
            <w:top w:w="0" w:type="dxa"/>
            <w:left w:w="108" w:type="dxa"/>
            <w:bottom w:w="0" w:type="dxa"/>
            <w:right w:w="108" w:type="dxa"/>
          </w:tblCellMar>
        </w:tblPrEx>
        <w:trPr>
          <w:jc w:val="center"/>
        </w:trPr>
        <w:tc>
          <w:tcPr>
            <w:tcW w:w="1861" w:type="dxa"/>
            <w:tcBorders>
              <w:top w:val="single" w:color="808080" w:sz="4" w:space="0"/>
              <w:left w:val="single" w:color="808080" w:sz="4" w:space="0"/>
              <w:bottom w:val="single" w:color="808080" w:sz="4" w:space="0"/>
              <w:right w:val="single" w:color="808080" w:sz="4" w:space="0"/>
            </w:tcBorders>
            <w:vAlign w:val="center"/>
          </w:tcPr>
          <w:p w14:paraId="4E9606D7">
            <w:pPr>
              <w:pStyle w:val="52"/>
              <w:spacing w:line="360" w:lineRule="auto"/>
              <w:jc w:val="left"/>
              <w:rPr>
                <w:sz w:val="21"/>
                <w:szCs w:val="21"/>
              </w:rPr>
            </w:pPr>
            <w:r>
              <w:rPr>
                <w:rFonts w:hint="eastAsia"/>
                <w:b/>
                <w:sz w:val="21"/>
                <w:szCs w:val="21"/>
              </w:rPr>
              <w:t>Main shortcomings</w:t>
            </w:r>
          </w:p>
        </w:tc>
        <w:tc>
          <w:tcPr>
            <w:tcW w:w="2256" w:type="dxa"/>
            <w:tcBorders>
              <w:top w:val="single" w:color="808080" w:sz="4" w:space="0"/>
              <w:left w:val="single" w:color="808080" w:sz="4" w:space="0"/>
              <w:bottom w:val="single" w:color="808080" w:sz="4" w:space="0"/>
              <w:right w:val="single" w:color="808080" w:sz="4" w:space="0"/>
            </w:tcBorders>
            <w:vAlign w:val="center"/>
          </w:tcPr>
          <w:p w14:paraId="5B12D7DC">
            <w:pPr>
              <w:pStyle w:val="52"/>
              <w:spacing w:line="360" w:lineRule="auto"/>
              <w:jc w:val="left"/>
              <w:rPr>
                <w:sz w:val="21"/>
                <w:szCs w:val="21"/>
              </w:rPr>
            </w:pPr>
            <w:r>
              <w:rPr>
                <w:rFonts w:hint="eastAsia"/>
                <w:sz w:val="21"/>
                <w:szCs w:val="21"/>
              </w:rPr>
              <w:t>Correctness is difficult to define</w:t>
            </w:r>
          </w:p>
        </w:tc>
        <w:tc>
          <w:tcPr>
            <w:tcW w:w="2374" w:type="dxa"/>
            <w:tcBorders>
              <w:top w:val="single" w:color="808080" w:sz="4" w:space="0"/>
              <w:left w:val="single" w:color="808080" w:sz="4" w:space="0"/>
              <w:bottom w:val="single" w:color="808080" w:sz="4" w:space="0"/>
              <w:right w:val="single" w:color="808080" w:sz="4" w:space="0"/>
            </w:tcBorders>
            <w:vAlign w:val="center"/>
          </w:tcPr>
          <w:p w14:paraId="0EBFF5E7">
            <w:pPr>
              <w:pStyle w:val="52"/>
              <w:spacing w:line="360" w:lineRule="auto"/>
              <w:jc w:val="left"/>
              <w:rPr>
                <w:sz w:val="21"/>
                <w:szCs w:val="21"/>
              </w:rPr>
            </w:pPr>
            <w:r>
              <w:rPr>
                <w:rFonts w:hint="eastAsia"/>
                <w:sz w:val="21"/>
                <w:szCs w:val="21"/>
              </w:rPr>
              <w:t>Evaluation does not explicitly cover compositional cases</w:t>
            </w:r>
          </w:p>
        </w:tc>
        <w:tc>
          <w:tcPr>
            <w:tcW w:w="2149" w:type="dxa"/>
            <w:tcBorders>
              <w:top w:val="single" w:color="808080" w:sz="4" w:space="0"/>
              <w:left w:val="single" w:color="808080" w:sz="4" w:space="0"/>
              <w:bottom w:val="single" w:color="808080" w:sz="4" w:space="0"/>
              <w:right w:val="single" w:color="808080" w:sz="4" w:space="0"/>
            </w:tcBorders>
            <w:vAlign w:val="center"/>
          </w:tcPr>
          <w:p w14:paraId="06A8FA23">
            <w:pPr>
              <w:pStyle w:val="52"/>
              <w:spacing w:line="360" w:lineRule="auto"/>
              <w:jc w:val="left"/>
              <w:rPr>
                <w:sz w:val="21"/>
                <w:szCs w:val="21"/>
              </w:rPr>
            </w:pPr>
            <w:r>
              <w:rPr>
                <w:rFonts w:hint="eastAsia"/>
                <w:sz w:val="21"/>
                <w:szCs w:val="21"/>
              </w:rPr>
              <w:t>Process signals are mostly plain text</w:t>
            </w:r>
          </w:p>
        </w:tc>
      </w:tr>
    </w:tbl>
    <w:p w14:paraId="1AFB7029">
      <w:pPr>
        <w:pStyle w:val="12"/>
        <w:spacing w:line="360" w:lineRule="auto"/>
        <w:jc w:val="center"/>
        <w:rPr>
          <w:i w:val="0"/>
          <w:iCs/>
          <w:sz w:val="21"/>
          <w:szCs w:val="21"/>
        </w:rPr>
      </w:pPr>
      <w:r>
        <w:rPr>
          <w:rFonts w:hint="eastAsia"/>
          <w:i w:val="0"/>
          <w:iCs/>
          <w:color w:val="000000"/>
          <w:sz w:val="21"/>
          <w:szCs w:val="21"/>
        </w:rPr>
        <w:t>Table 3: Design comparison of representative methods (reward granularity, incremental contribution layer, signaling mechanism and supervision requirements)</w:t>
      </w:r>
    </w:p>
    <w:tbl>
      <w:tblPr>
        <w:tblStyle w:val="82"/>
        <w:tblW w:w="4999" w:type="pct"/>
        <w:jc w:val="center"/>
        <w:tblLayout w:type="fixed"/>
        <w:tblCellMar>
          <w:top w:w="0" w:type="dxa"/>
          <w:left w:w="108" w:type="dxa"/>
          <w:bottom w:w="0" w:type="dxa"/>
          <w:right w:w="108" w:type="dxa"/>
        </w:tblCellMar>
      </w:tblPr>
      <w:tblGrid>
        <w:gridCol w:w="1454"/>
        <w:gridCol w:w="1770"/>
        <w:gridCol w:w="2077"/>
        <w:gridCol w:w="2138"/>
        <w:gridCol w:w="1200"/>
      </w:tblGrid>
      <w:tr w14:paraId="0276738E">
        <w:tblPrEx>
          <w:tblCellMar>
            <w:top w:w="0" w:type="dxa"/>
            <w:left w:w="108" w:type="dxa"/>
            <w:bottom w:w="0" w:type="dxa"/>
            <w:right w:w="108" w:type="dxa"/>
          </w:tblCellMar>
        </w:tblPrEx>
        <w:trPr>
          <w:tblHeader/>
          <w:jc w:val="center"/>
        </w:trPr>
        <w:tc>
          <w:tcPr>
            <w:tcW w:w="1454" w:type="dxa"/>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1D2766B2">
            <w:pPr>
              <w:pStyle w:val="52"/>
              <w:spacing w:line="360" w:lineRule="auto"/>
              <w:jc w:val="center"/>
              <w:rPr>
                <w:sz w:val="21"/>
                <w:szCs w:val="21"/>
              </w:rPr>
            </w:pPr>
            <w:r>
              <w:rPr>
                <w:rFonts w:hint="eastAsia"/>
                <w:b/>
                <w:sz w:val="21"/>
                <w:szCs w:val="21"/>
              </w:rPr>
              <w:t>Method</w:t>
            </w:r>
          </w:p>
        </w:tc>
        <w:tc>
          <w:tcPr>
            <w:tcW w:w="1770" w:type="dxa"/>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61206281">
            <w:pPr>
              <w:pStyle w:val="52"/>
              <w:spacing w:line="360" w:lineRule="auto"/>
              <w:jc w:val="center"/>
              <w:rPr>
                <w:sz w:val="21"/>
                <w:szCs w:val="21"/>
              </w:rPr>
            </w:pPr>
            <w:r>
              <w:rPr>
                <w:rFonts w:hint="eastAsia"/>
                <w:b/>
                <w:sz w:val="21"/>
                <w:szCs w:val="21"/>
              </w:rPr>
              <w:t>Reward granularity</w:t>
            </w:r>
          </w:p>
        </w:tc>
        <w:tc>
          <w:tcPr>
            <w:tcW w:w="2077" w:type="dxa"/>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2F055DC9">
            <w:pPr>
              <w:pStyle w:val="52"/>
              <w:spacing w:line="360" w:lineRule="auto"/>
              <w:jc w:val="center"/>
              <w:rPr>
                <w:sz w:val="21"/>
                <w:szCs w:val="21"/>
              </w:rPr>
            </w:pPr>
            <w:r>
              <w:rPr>
                <w:rFonts w:hint="eastAsia"/>
                <w:b/>
                <w:sz w:val="21"/>
                <w:szCs w:val="21"/>
              </w:rPr>
              <w:t>Signaling mechanism</w:t>
            </w:r>
          </w:p>
        </w:tc>
        <w:tc>
          <w:tcPr>
            <w:tcW w:w="2138" w:type="dxa"/>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2052AC73">
            <w:pPr>
              <w:pStyle w:val="52"/>
              <w:spacing w:line="360" w:lineRule="auto"/>
              <w:jc w:val="center"/>
              <w:rPr>
                <w:sz w:val="21"/>
                <w:szCs w:val="21"/>
              </w:rPr>
            </w:pPr>
            <w:r>
              <w:rPr>
                <w:rFonts w:hint="eastAsia"/>
                <w:b/>
                <w:sz w:val="21"/>
                <w:szCs w:val="21"/>
              </w:rPr>
              <w:t>Supervision needs</w:t>
            </w:r>
          </w:p>
        </w:tc>
        <w:tc>
          <w:tcPr>
            <w:tcW w:w="1200" w:type="dxa"/>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79530A0D">
            <w:pPr>
              <w:jc w:val="center"/>
              <w:rPr>
                <w:sz w:val="21"/>
                <w:szCs w:val="21"/>
              </w:rPr>
            </w:pPr>
            <w:r>
              <w:rPr>
                <w:rFonts w:hint="eastAsia"/>
                <w:b/>
                <w:sz w:val="21"/>
                <w:szCs w:val="21"/>
              </w:rPr>
              <w:t>Incremental contribution layer</w:t>
            </w:r>
          </w:p>
        </w:tc>
      </w:tr>
      <w:tr w14:paraId="33CA5FDF">
        <w:tblPrEx>
          <w:tblCellMar>
            <w:top w:w="0" w:type="dxa"/>
            <w:left w:w="108" w:type="dxa"/>
            <w:bottom w:w="0" w:type="dxa"/>
            <w:right w:w="108" w:type="dxa"/>
          </w:tblCellMar>
        </w:tblPrEx>
        <w:trPr>
          <w:jc w:val="center"/>
        </w:trPr>
        <w:tc>
          <w:tcPr>
            <w:tcW w:w="1454" w:type="dxa"/>
            <w:tcBorders>
              <w:top w:val="single" w:color="808080" w:sz="4" w:space="0"/>
              <w:left w:val="single" w:color="808080" w:sz="4" w:space="0"/>
              <w:bottom w:val="single" w:color="808080" w:sz="4" w:space="0"/>
              <w:right w:val="single" w:color="808080" w:sz="4" w:space="0"/>
            </w:tcBorders>
            <w:vAlign w:val="center"/>
          </w:tcPr>
          <w:p w14:paraId="468066BE">
            <w:pPr>
              <w:pStyle w:val="52"/>
              <w:spacing w:line="360" w:lineRule="auto"/>
              <w:jc w:val="left"/>
              <w:rPr>
                <w:sz w:val="21"/>
                <w:szCs w:val="21"/>
              </w:rPr>
            </w:pPr>
            <w:r>
              <w:rPr>
                <w:b/>
                <w:sz w:val="21"/>
                <w:szCs w:val="21"/>
              </w:rPr>
              <w:t>CR³</w:t>
            </w:r>
          </w:p>
        </w:tc>
        <w:tc>
          <w:tcPr>
            <w:tcW w:w="1770" w:type="dxa"/>
            <w:tcBorders>
              <w:top w:val="single" w:color="808080" w:sz="4" w:space="0"/>
              <w:left w:val="single" w:color="808080" w:sz="4" w:space="0"/>
              <w:bottom w:val="single" w:color="808080" w:sz="4" w:space="0"/>
              <w:right w:val="single" w:color="808080" w:sz="4" w:space="0"/>
            </w:tcBorders>
            <w:vAlign w:val="center"/>
          </w:tcPr>
          <w:p w14:paraId="7CC66859">
            <w:pPr>
              <w:pStyle w:val="52"/>
              <w:spacing w:line="360" w:lineRule="auto"/>
              <w:jc w:val="left"/>
              <w:rPr>
                <w:sz w:val="21"/>
                <w:szCs w:val="21"/>
              </w:rPr>
            </w:pPr>
            <w:r>
              <w:rPr>
                <w:rFonts w:hint="eastAsia"/>
                <w:sz w:val="21"/>
                <w:szCs w:val="21"/>
              </w:rPr>
              <w:t>answer level</w:t>
            </w:r>
          </w:p>
        </w:tc>
        <w:tc>
          <w:tcPr>
            <w:tcW w:w="2077" w:type="dxa"/>
            <w:tcBorders>
              <w:top w:val="single" w:color="808080" w:sz="4" w:space="0"/>
              <w:left w:val="single" w:color="808080" w:sz="4" w:space="0"/>
              <w:bottom w:val="single" w:color="808080" w:sz="4" w:space="0"/>
              <w:right w:val="single" w:color="808080" w:sz="4" w:space="0"/>
            </w:tcBorders>
            <w:vAlign w:val="center"/>
          </w:tcPr>
          <w:p w14:paraId="3801A27E">
            <w:pPr>
              <w:pStyle w:val="52"/>
              <w:spacing w:line="360" w:lineRule="auto"/>
              <w:jc w:val="left"/>
              <w:rPr>
                <w:sz w:val="21"/>
                <w:szCs w:val="21"/>
              </w:rPr>
            </w:pPr>
            <w:r>
              <w:rPr>
                <w:rFonts w:hint="eastAsia"/>
                <w:sz w:val="21"/>
                <w:szCs w:val="21"/>
              </w:rPr>
              <w:t>Binary rule verifier</w:t>
            </w:r>
          </w:p>
        </w:tc>
        <w:tc>
          <w:tcPr>
            <w:tcW w:w="2138" w:type="dxa"/>
            <w:tcBorders>
              <w:top w:val="single" w:color="808080" w:sz="4" w:space="0"/>
              <w:left w:val="single" w:color="808080" w:sz="4" w:space="0"/>
              <w:bottom w:val="single" w:color="808080" w:sz="4" w:space="0"/>
              <w:right w:val="single" w:color="808080" w:sz="4" w:space="0"/>
            </w:tcBorders>
            <w:vAlign w:val="center"/>
          </w:tcPr>
          <w:p w14:paraId="47EB0DB8">
            <w:pPr>
              <w:pStyle w:val="52"/>
              <w:spacing w:line="360" w:lineRule="auto"/>
              <w:jc w:val="left"/>
              <w:rPr>
                <w:sz w:val="21"/>
                <w:szCs w:val="21"/>
              </w:rPr>
            </w:pPr>
            <w:r>
              <w:rPr>
                <w:rFonts w:hint="eastAsia"/>
                <w:sz w:val="21"/>
                <w:szCs w:val="21"/>
              </w:rPr>
              <w:t>None</w:t>
            </w:r>
          </w:p>
        </w:tc>
        <w:tc>
          <w:tcPr>
            <w:tcW w:w="1200" w:type="dxa"/>
            <w:tcBorders>
              <w:top w:val="single" w:color="808080" w:sz="4" w:space="0"/>
              <w:left w:val="single" w:color="808080" w:sz="4" w:space="0"/>
              <w:bottom w:val="single" w:color="808080" w:sz="4" w:space="0"/>
              <w:right w:val="single" w:color="808080" w:sz="4" w:space="0"/>
            </w:tcBorders>
            <w:vAlign w:val="center"/>
          </w:tcPr>
          <w:p w14:paraId="0F9AE96B">
            <w:pPr>
              <w:jc w:val="left"/>
              <w:rPr>
                <w:sz w:val="21"/>
                <w:szCs w:val="21"/>
              </w:rPr>
            </w:pPr>
            <w:r>
              <w:rPr>
                <w:rFonts w:hint="eastAsia"/>
                <w:sz w:val="21"/>
                <w:szCs w:val="21"/>
              </w:rPr>
              <w:t>criterion</w:t>
            </w:r>
          </w:p>
        </w:tc>
      </w:tr>
      <w:tr w14:paraId="176CEBD7">
        <w:tblPrEx>
          <w:tblCellMar>
            <w:top w:w="0" w:type="dxa"/>
            <w:left w:w="108" w:type="dxa"/>
            <w:bottom w:w="0" w:type="dxa"/>
            <w:right w:w="108" w:type="dxa"/>
          </w:tblCellMar>
        </w:tblPrEx>
        <w:trPr>
          <w:jc w:val="center"/>
        </w:trPr>
        <w:tc>
          <w:tcPr>
            <w:tcW w:w="1454" w:type="dxa"/>
            <w:tcBorders>
              <w:top w:val="single" w:color="808080" w:sz="4" w:space="0"/>
              <w:left w:val="single" w:color="808080" w:sz="4" w:space="0"/>
              <w:bottom w:val="single" w:color="808080" w:sz="4" w:space="0"/>
              <w:right w:val="single" w:color="808080" w:sz="4" w:space="0"/>
            </w:tcBorders>
            <w:vAlign w:val="center"/>
          </w:tcPr>
          <w:p w14:paraId="2F99EB74">
            <w:pPr>
              <w:pStyle w:val="52"/>
              <w:spacing w:line="360" w:lineRule="auto"/>
              <w:jc w:val="left"/>
              <w:rPr>
                <w:sz w:val="21"/>
                <w:szCs w:val="21"/>
              </w:rPr>
            </w:pPr>
            <w:r>
              <w:rPr>
                <w:b/>
                <w:sz w:val="21"/>
                <w:szCs w:val="21"/>
              </w:rPr>
              <w:t>SpatialThinker</w:t>
            </w:r>
          </w:p>
        </w:tc>
        <w:tc>
          <w:tcPr>
            <w:tcW w:w="1770" w:type="dxa"/>
            <w:tcBorders>
              <w:top w:val="single" w:color="808080" w:sz="4" w:space="0"/>
              <w:left w:val="single" w:color="808080" w:sz="4" w:space="0"/>
              <w:bottom w:val="single" w:color="808080" w:sz="4" w:space="0"/>
              <w:right w:val="single" w:color="808080" w:sz="4" w:space="0"/>
            </w:tcBorders>
            <w:vAlign w:val="center"/>
          </w:tcPr>
          <w:p w14:paraId="4973C423">
            <w:pPr>
              <w:pStyle w:val="52"/>
              <w:spacing w:line="360" w:lineRule="auto"/>
              <w:jc w:val="left"/>
              <w:rPr>
                <w:sz w:val="21"/>
                <w:szCs w:val="21"/>
              </w:rPr>
            </w:pPr>
            <w:r>
              <w:rPr>
                <w:rFonts w:hint="eastAsia"/>
                <w:sz w:val="21"/>
                <w:szCs w:val="21"/>
              </w:rPr>
              <w:t>scene graph structure level</w:t>
            </w:r>
          </w:p>
        </w:tc>
        <w:tc>
          <w:tcPr>
            <w:tcW w:w="2077" w:type="dxa"/>
            <w:tcBorders>
              <w:top w:val="single" w:color="808080" w:sz="4" w:space="0"/>
              <w:left w:val="single" w:color="808080" w:sz="4" w:space="0"/>
              <w:bottom w:val="single" w:color="808080" w:sz="4" w:space="0"/>
              <w:right w:val="single" w:color="808080" w:sz="4" w:space="0"/>
            </w:tcBorders>
            <w:vAlign w:val="center"/>
          </w:tcPr>
          <w:p w14:paraId="00385F78">
            <w:pPr>
              <w:pStyle w:val="52"/>
              <w:spacing w:line="360" w:lineRule="auto"/>
              <w:jc w:val="left"/>
              <w:rPr>
                <w:sz w:val="21"/>
                <w:szCs w:val="21"/>
              </w:rPr>
            </w:pPr>
            <w:r>
              <w:rPr>
                <w:rFonts w:hint="eastAsia"/>
                <w:sz w:val="21"/>
                <w:szCs w:val="21"/>
              </w:rPr>
              <w:t>Lexicographically gated multi-component rewards</w:t>
            </w:r>
          </w:p>
        </w:tc>
        <w:tc>
          <w:tcPr>
            <w:tcW w:w="2138" w:type="dxa"/>
            <w:tcBorders>
              <w:top w:val="single" w:color="808080" w:sz="4" w:space="0"/>
              <w:left w:val="single" w:color="808080" w:sz="4" w:space="0"/>
              <w:bottom w:val="single" w:color="808080" w:sz="4" w:space="0"/>
              <w:right w:val="single" w:color="808080" w:sz="4" w:space="0"/>
            </w:tcBorders>
            <w:vAlign w:val="center"/>
          </w:tcPr>
          <w:p w14:paraId="0115B282">
            <w:pPr>
              <w:pStyle w:val="52"/>
              <w:spacing w:line="360" w:lineRule="auto"/>
              <w:jc w:val="left"/>
              <w:rPr>
                <w:sz w:val="21"/>
                <w:szCs w:val="21"/>
              </w:rPr>
            </w:pPr>
            <w:r>
              <w:rPr>
                <w:rFonts w:hint="eastAsia"/>
                <w:sz w:val="21"/>
                <w:szCs w:val="21"/>
              </w:rPr>
              <w:t>High (STVQA-7K based on manual scene-graph annotation synthesis)</w:t>
            </w:r>
          </w:p>
        </w:tc>
        <w:tc>
          <w:tcPr>
            <w:tcW w:w="1200" w:type="dxa"/>
            <w:tcBorders>
              <w:top w:val="single" w:color="808080" w:sz="4" w:space="0"/>
              <w:left w:val="single" w:color="808080" w:sz="4" w:space="0"/>
              <w:bottom w:val="single" w:color="808080" w:sz="4" w:space="0"/>
              <w:right w:val="single" w:color="808080" w:sz="4" w:space="0"/>
            </w:tcBorders>
            <w:vAlign w:val="center"/>
          </w:tcPr>
          <w:p w14:paraId="2FB1C8D9">
            <w:pPr>
              <w:jc w:val="left"/>
              <w:rPr>
                <w:sz w:val="21"/>
                <w:szCs w:val="21"/>
              </w:rPr>
            </w:pPr>
            <w:r>
              <w:rPr>
                <w:rFonts w:hint="eastAsia"/>
                <w:sz w:val="21"/>
                <w:szCs w:val="21"/>
              </w:rPr>
              <w:t>criterion</w:t>
            </w:r>
          </w:p>
        </w:tc>
      </w:tr>
      <w:tr w14:paraId="551873B0">
        <w:tblPrEx>
          <w:tblCellMar>
            <w:top w:w="0" w:type="dxa"/>
            <w:left w:w="108" w:type="dxa"/>
            <w:bottom w:w="0" w:type="dxa"/>
            <w:right w:w="108" w:type="dxa"/>
          </w:tblCellMar>
        </w:tblPrEx>
        <w:trPr>
          <w:jc w:val="center"/>
        </w:trPr>
        <w:tc>
          <w:tcPr>
            <w:tcW w:w="1454" w:type="dxa"/>
            <w:tcBorders>
              <w:top w:val="single" w:color="808080" w:sz="4" w:space="0"/>
              <w:left w:val="single" w:color="808080" w:sz="4" w:space="0"/>
              <w:bottom w:val="single" w:color="808080" w:sz="4" w:space="0"/>
              <w:right w:val="single" w:color="808080" w:sz="4" w:space="0"/>
            </w:tcBorders>
            <w:vAlign w:val="center"/>
          </w:tcPr>
          <w:p w14:paraId="3037CEC7">
            <w:pPr>
              <w:pStyle w:val="52"/>
              <w:spacing w:line="360" w:lineRule="auto"/>
              <w:jc w:val="left"/>
              <w:rPr>
                <w:sz w:val="21"/>
                <w:szCs w:val="21"/>
              </w:rPr>
            </w:pPr>
            <w:r>
              <w:rPr>
                <w:b/>
                <w:sz w:val="21"/>
                <w:szCs w:val="21"/>
              </w:rPr>
              <w:t>SVQA-R1</w:t>
            </w:r>
          </w:p>
        </w:tc>
        <w:tc>
          <w:tcPr>
            <w:tcW w:w="1770" w:type="dxa"/>
            <w:tcBorders>
              <w:top w:val="single" w:color="808080" w:sz="4" w:space="0"/>
              <w:left w:val="single" w:color="808080" w:sz="4" w:space="0"/>
              <w:bottom w:val="single" w:color="808080" w:sz="4" w:space="0"/>
              <w:right w:val="single" w:color="808080" w:sz="4" w:space="0"/>
            </w:tcBorders>
            <w:vAlign w:val="center"/>
          </w:tcPr>
          <w:p w14:paraId="569E1CF3">
            <w:pPr>
              <w:pStyle w:val="52"/>
              <w:spacing w:line="360" w:lineRule="auto"/>
              <w:jc w:val="left"/>
              <w:rPr>
                <w:sz w:val="21"/>
                <w:szCs w:val="21"/>
              </w:rPr>
            </w:pPr>
            <w:r>
              <w:rPr>
                <w:rFonts w:hint="eastAsia"/>
                <w:sz w:val="21"/>
                <w:szCs w:val="21"/>
              </w:rPr>
              <w:t>Answer consistency level</w:t>
            </w:r>
          </w:p>
        </w:tc>
        <w:tc>
          <w:tcPr>
            <w:tcW w:w="2077" w:type="dxa"/>
            <w:tcBorders>
              <w:top w:val="single" w:color="808080" w:sz="4" w:space="0"/>
              <w:left w:val="single" w:color="808080" w:sz="4" w:space="0"/>
              <w:bottom w:val="single" w:color="808080" w:sz="4" w:space="0"/>
              <w:right w:val="single" w:color="808080" w:sz="4" w:space="0"/>
            </w:tcBorders>
            <w:vAlign w:val="center"/>
          </w:tcPr>
          <w:p w14:paraId="1F207B7B">
            <w:pPr>
              <w:pStyle w:val="52"/>
              <w:spacing w:line="360" w:lineRule="auto"/>
              <w:jc w:val="left"/>
              <w:rPr>
                <w:sz w:val="21"/>
                <w:szCs w:val="21"/>
              </w:rPr>
            </w:pPr>
            <w:r>
              <w:rPr>
                <w:rFonts w:hint="eastAsia"/>
                <w:sz w:val="21"/>
                <w:szCs w:val="21"/>
              </w:rPr>
              <w:t>Cross-view consistency penalty</w:t>
            </w:r>
          </w:p>
        </w:tc>
        <w:tc>
          <w:tcPr>
            <w:tcW w:w="2138" w:type="dxa"/>
            <w:tcBorders>
              <w:top w:val="single" w:color="808080" w:sz="4" w:space="0"/>
              <w:left w:val="single" w:color="808080" w:sz="4" w:space="0"/>
              <w:bottom w:val="single" w:color="808080" w:sz="4" w:space="0"/>
              <w:right w:val="single" w:color="808080" w:sz="4" w:space="0"/>
            </w:tcBorders>
            <w:vAlign w:val="center"/>
          </w:tcPr>
          <w:p w14:paraId="5C740351">
            <w:pPr>
              <w:pStyle w:val="52"/>
              <w:spacing w:line="360" w:lineRule="auto"/>
              <w:jc w:val="left"/>
              <w:rPr>
                <w:sz w:val="21"/>
                <w:szCs w:val="21"/>
              </w:rPr>
            </w:pPr>
            <w:r>
              <w:rPr>
                <w:rFonts w:hint="eastAsia"/>
                <w:sz w:val="21"/>
                <w:szCs w:val="21"/>
              </w:rPr>
              <w:t>None (self-supervised)</w:t>
            </w:r>
          </w:p>
        </w:tc>
        <w:tc>
          <w:tcPr>
            <w:tcW w:w="1200" w:type="dxa"/>
            <w:tcBorders>
              <w:top w:val="single" w:color="808080" w:sz="4" w:space="0"/>
              <w:left w:val="single" w:color="808080" w:sz="4" w:space="0"/>
              <w:bottom w:val="single" w:color="808080" w:sz="4" w:space="0"/>
              <w:right w:val="single" w:color="808080" w:sz="4" w:space="0"/>
            </w:tcBorders>
            <w:vAlign w:val="center"/>
          </w:tcPr>
          <w:p w14:paraId="2E873863">
            <w:pPr>
              <w:jc w:val="left"/>
              <w:rPr>
                <w:sz w:val="21"/>
                <w:szCs w:val="21"/>
              </w:rPr>
            </w:pPr>
            <w:r>
              <w:rPr>
                <w:rFonts w:hint="eastAsia"/>
                <w:sz w:val="21"/>
                <w:szCs w:val="21"/>
              </w:rPr>
              <w:t>criterion</w:t>
            </w:r>
          </w:p>
        </w:tc>
      </w:tr>
      <w:tr w14:paraId="60E44B45">
        <w:tblPrEx>
          <w:tblCellMar>
            <w:top w:w="0" w:type="dxa"/>
            <w:left w:w="108" w:type="dxa"/>
            <w:bottom w:w="0" w:type="dxa"/>
            <w:right w:w="108" w:type="dxa"/>
          </w:tblCellMar>
        </w:tblPrEx>
        <w:trPr>
          <w:jc w:val="center"/>
        </w:trPr>
        <w:tc>
          <w:tcPr>
            <w:tcW w:w="1454" w:type="dxa"/>
            <w:tcBorders>
              <w:top w:val="single" w:color="808080" w:sz="4" w:space="0"/>
              <w:left w:val="single" w:color="808080" w:sz="4" w:space="0"/>
              <w:bottom w:val="single" w:color="808080" w:sz="4" w:space="0"/>
              <w:right w:val="single" w:color="808080" w:sz="4" w:space="0"/>
            </w:tcBorders>
            <w:vAlign w:val="center"/>
          </w:tcPr>
          <w:p w14:paraId="130AA507">
            <w:pPr>
              <w:pStyle w:val="52"/>
              <w:spacing w:line="360" w:lineRule="auto"/>
              <w:jc w:val="left"/>
              <w:rPr>
                <w:sz w:val="21"/>
                <w:szCs w:val="21"/>
              </w:rPr>
            </w:pPr>
            <w:r>
              <w:rPr>
                <w:b/>
                <w:sz w:val="21"/>
                <w:szCs w:val="21"/>
              </w:rPr>
              <w:t>Ground-R1</w:t>
            </w:r>
          </w:p>
        </w:tc>
        <w:tc>
          <w:tcPr>
            <w:tcW w:w="1770" w:type="dxa"/>
            <w:tcBorders>
              <w:top w:val="single" w:color="808080" w:sz="4" w:space="0"/>
              <w:left w:val="single" w:color="808080" w:sz="4" w:space="0"/>
              <w:bottom w:val="single" w:color="808080" w:sz="4" w:space="0"/>
              <w:right w:val="single" w:color="808080" w:sz="4" w:space="0"/>
            </w:tcBorders>
            <w:vAlign w:val="center"/>
          </w:tcPr>
          <w:p w14:paraId="39F22060">
            <w:pPr>
              <w:pStyle w:val="52"/>
              <w:spacing w:line="360" w:lineRule="auto"/>
              <w:jc w:val="left"/>
              <w:rPr>
                <w:sz w:val="21"/>
                <w:szCs w:val="21"/>
              </w:rPr>
            </w:pPr>
            <w:r>
              <w:rPr>
                <w:rFonts w:hint="eastAsia"/>
                <w:sz w:val="21"/>
                <w:szCs w:val="21"/>
              </w:rPr>
              <w:t>evidence area level</w:t>
            </w:r>
          </w:p>
        </w:tc>
        <w:tc>
          <w:tcPr>
            <w:tcW w:w="2077" w:type="dxa"/>
            <w:tcBorders>
              <w:top w:val="single" w:color="808080" w:sz="4" w:space="0"/>
              <w:left w:val="single" w:color="808080" w:sz="4" w:space="0"/>
              <w:bottom w:val="single" w:color="808080" w:sz="4" w:space="0"/>
              <w:right w:val="single" w:color="808080" w:sz="4" w:space="0"/>
            </w:tcBorders>
            <w:vAlign w:val="center"/>
          </w:tcPr>
          <w:p w14:paraId="3F317263">
            <w:pPr>
              <w:pStyle w:val="52"/>
              <w:spacing w:line="360" w:lineRule="auto"/>
              <w:jc w:val="left"/>
              <w:rPr>
                <w:sz w:val="21"/>
                <w:szCs w:val="21"/>
              </w:rPr>
            </w:pPr>
            <w:r>
              <w:rPr>
                <w:rFonts w:hint="eastAsia"/>
                <w:sz w:val="21"/>
                <w:szCs w:val="21"/>
              </w:rPr>
              <w:t>Two-stage format + answer reward</w:t>
            </w:r>
          </w:p>
        </w:tc>
        <w:tc>
          <w:tcPr>
            <w:tcW w:w="2138" w:type="dxa"/>
            <w:tcBorders>
              <w:top w:val="single" w:color="808080" w:sz="4" w:space="0"/>
              <w:left w:val="single" w:color="808080" w:sz="4" w:space="0"/>
              <w:bottom w:val="single" w:color="808080" w:sz="4" w:space="0"/>
              <w:right w:val="single" w:color="808080" w:sz="4" w:space="0"/>
            </w:tcBorders>
            <w:vAlign w:val="center"/>
          </w:tcPr>
          <w:p w14:paraId="7ED56682">
            <w:pPr>
              <w:pStyle w:val="52"/>
              <w:spacing w:line="360" w:lineRule="auto"/>
              <w:jc w:val="left"/>
              <w:rPr>
                <w:sz w:val="21"/>
                <w:szCs w:val="21"/>
              </w:rPr>
            </w:pPr>
            <w:r>
              <w:rPr>
                <w:rFonts w:hint="eastAsia"/>
                <w:sz w:val="21"/>
                <w:szCs w:val="21"/>
              </w:rPr>
              <w:t>Low (formatting only, no boxed annotations)</w:t>
            </w:r>
          </w:p>
        </w:tc>
        <w:tc>
          <w:tcPr>
            <w:tcW w:w="1200" w:type="dxa"/>
            <w:tcBorders>
              <w:top w:val="single" w:color="808080" w:sz="4" w:space="0"/>
              <w:left w:val="single" w:color="808080" w:sz="4" w:space="0"/>
              <w:bottom w:val="single" w:color="808080" w:sz="4" w:space="0"/>
              <w:right w:val="single" w:color="808080" w:sz="4" w:space="0"/>
            </w:tcBorders>
            <w:vAlign w:val="center"/>
          </w:tcPr>
          <w:p w14:paraId="4C43D878">
            <w:pPr>
              <w:jc w:val="left"/>
              <w:rPr>
                <w:sz w:val="21"/>
                <w:szCs w:val="21"/>
              </w:rPr>
            </w:pPr>
            <w:r>
              <w:rPr>
                <w:rFonts w:hint="eastAsia"/>
                <w:sz w:val="21"/>
                <w:szCs w:val="21"/>
              </w:rPr>
              <w:t>signal source</w:t>
            </w:r>
          </w:p>
        </w:tc>
      </w:tr>
      <w:tr w14:paraId="669E2003">
        <w:tblPrEx>
          <w:tblCellMar>
            <w:top w:w="0" w:type="dxa"/>
            <w:left w:w="108" w:type="dxa"/>
            <w:bottom w:w="0" w:type="dxa"/>
            <w:right w:w="108" w:type="dxa"/>
          </w:tblCellMar>
        </w:tblPrEx>
        <w:trPr>
          <w:jc w:val="center"/>
        </w:trPr>
        <w:tc>
          <w:tcPr>
            <w:tcW w:w="1454" w:type="dxa"/>
            <w:tcBorders>
              <w:top w:val="single" w:color="808080" w:sz="4" w:space="0"/>
              <w:left w:val="single" w:color="808080" w:sz="4" w:space="0"/>
              <w:bottom w:val="single" w:color="808080" w:sz="4" w:space="0"/>
              <w:right w:val="single" w:color="808080" w:sz="4" w:space="0"/>
            </w:tcBorders>
            <w:vAlign w:val="center"/>
          </w:tcPr>
          <w:p w14:paraId="69EE3249">
            <w:pPr>
              <w:pStyle w:val="52"/>
              <w:spacing w:line="360" w:lineRule="auto"/>
              <w:jc w:val="left"/>
              <w:rPr>
                <w:sz w:val="21"/>
                <w:szCs w:val="21"/>
              </w:rPr>
            </w:pPr>
            <w:r>
              <w:rPr>
                <w:b/>
                <w:sz w:val="21"/>
                <w:szCs w:val="21"/>
              </w:rPr>
              <w:t>GRIT</w:t>
            </w:r>
          </w:p>
        </w:tc>
        <w:tc>
          <w:tcPr>
            <w:tcW w:w="1770" w:type="dxa"/>
            <w:tcBorders>
              <w:top w:val="single" w:color="808080" w:sz="4" w:space="0"/>
              <w:left w:val="single" w:color="808080" w:sz="4" w:space="0"/>
              <w:bottom w:val="single" w:color="808080" w:sz="4" w:space="0"/>
              <w:right w:val="single" w:color="808080" w:sz="4" w:space="0"/>
            </w:tcBorders>
            <w:vAlign w:val="center"/>
          </w:tcPr>
          <w:p w14:paraId="684E12CD">
            <w:pPr>
              <w:pStyle w:val="52"/>
              <w:spacing w:line="360" w:lineRule="auto"/>
              <w:jc w:val="left"/>
              <w:rPr>
                <w:sz w:val="21"/>
                <w:szCs w:val="21"/>
              </w:rPr>
            </w:pPr>
            <w:r>
              <w:rPr>
                <w:rFonts w:hint="eastAsia"/>
                <w:sz w:val="21"/>
                <w:szCs w:val="21"/>
              </w:rPr>
              <w:t>Regional level (embedded in the chain-of-thought)</w:t>
            </w:r>
          </w:p>
        </w:tc>
        <w:tc>
          <w:tcPr>
            <w:tcW w:w="2077" w:type="dxa"/>
            <w:tcBorders>
              <w:top w:val="single" w:color="808080" w:sz="4" w:space="0"/>
              <w:left w:val="single" w:color="808080" w:sz="4" w:space="0"/>
              <w:bottom w:val="single" w:color="808080" w:sz="4" w:space="0"/>
              <w:right w:val="single" w:color="808080" w:sz="4" w:space="0"/>
            </w:tcBorders>
            <w:vAlign w:val="center"/>
          </w:tcPr>
          <w:p w14:paraId="0B1ABB1F">
            <w:pPr>
              <w:pStyle w:val="52"/>
              <w:spacing w:line="360" w:lineRule="auto"/>
              <w:jc w:val="left"/>
              <w:rPr>
                <w:sz w:val="21"/>
                <w:szCs w:val="21"/>
              </w:rPr>
            </w:pPr>
            <w:r>
              <w:rPr>
                <w:rFonts w:hint="eastAsia"/>
                <w:sz w:val="21"/>
                <w:szCs w:val="21"/>
              </w:rPr>
              <w:t>Format + count reward</w:t>
            </w:r>
          </w:p>
        </w:tc>
        <w:tc>
          <w:tcPr>
            <w:tcW w:w="2138" w:type="dxa"/>
            <w:tcBorders>
              <w:top w:val="single" w:color="808080" w:sz="4" w:space="0"/>
              <w:left w:val="single" w:color="808080" w:sz="4" w:space="0"/>
              <w:bottom w:val="single" w:color="808080" w:sz="4" w:space="0"/>
              <w:right w:val="single" w:color="808080" w:sz="4" w:space="0"/>
            </w:tcBorders>
            <w:vAlign w:val="center"/>
          </w:tcPr>
          <w:p w14:paraId="66528C0D">
            <w:pPr>
              <w:pStyle w:val="52"/>
              <w:spacing w:line="360" w:lineRule="auto"/>
              <w:jc w:val="left"/>
              <w:rPr>
                <w:sz w:val="21"/>
                <w:szCs w:val="21"/>
              </w:rPr>
            </w:pPr>
            <w:r>
              <w:rPr>
                <w:rFonts w:hint="eastAsia"/>
                <w:sz w:val="21"/>
                <w:szCs w:val="21"/>
              </w:rPr>
              <w:t>Very low (20 Q&amp;A triples)</w:t>
            </w:r>
          </w:p>
        </w:tc>
        <w:tc>
          <w:tcPr>
            <w:tcW w:w="1200" w:type="dxa"/>
            <w:tcBorders>
              <w:top w:val="single" w:color="808080" w:sz="4" w:space="0"/>
              <w:left w:val="single" w:color="808080" w:sz="4" w:space="0"/>
              <w:bottom w:val="single" w:color="808080" w:sz="4" w:space="0"/>
              <w:right w:val="single" w:color="808080" w:sz="4" w:space="0"/>
            </w:tcBorders>
            <w:vAlign w:val="center"/>
          </w:tcPr>
          <w:p w14:paraId="371B9D09">
            <w:pPr>
              <w:jc w:val="left"/>
              <w:rPr>
                <w:sz w:val="21"/>
                <w:szCs w:val="21"/>
              </w:rPr>
            </w:pPr>
            <w:r>
              <w:rPr>
                <w:rFonts w:hint="eastAsia"/>
                <w:sz w:val="21"/>
                <w:szCs w:val="21"/>
              </w:rPr>
              <w:t>signal source</w:t>
            </w:r>
          </w:p>
        </w:tc>
      </w:tr>
      <w:tr w14:paraId="4A5A7522">
        <w:tblPrEx>
          <w:tblCellMar>
            <w:top w:w="0" w:type="dxa"/>
            <w:left w:w="108" w:type="dxa"/>
            <w:bottom w:w="0" w:type="dxa"/>
            <w:right w:w="108" w:type="dxa"/>
          </w:tblCellMar>
        </w:tblPrEx>
        <w:trPr>
          <w:jc w:val="center"/>
        </w:trPr>
        <w:tc>
          <w:tcPr>
            <w:tcW w:w="1454" w:type="dxa"/>
            <w:tcBorders>
              <w:top w:val="single" w:color="808080" w:sz="4" w:space="0"/>
              <w:left w:val="single" w:color="808080" w:sz="4" w:space="0"/>
              <w:bottom w:val="single" w:color="808080" w:sz="4" w:space="0"/>
              <w:right w:val="single" w:color="808080" w:sz="4" w:space="0"/>
            </w:tcBorders>
            <w:vAlign w:val="center"/>
          </w:tcPr>
          <w:p w14:paraId="15A12E42">
            <w:pPr>
              <w:pStyle w:val="52"/>
              <w:spacing w:line="360" w:lineRule="auto"/>
              <w:jc w:val="left"/>
              <w:rPr>
                <w:sz w:val="21"/>
                <w:szCs w:val="21"/>
              </w:rPr>
            </w:pPr>
            <w:r>
              <w:rPr>
                <w:b/>
                <w:sz w:val="21"/>
                <w:szCs w:val="21"/>
              </w:rPr>
              <w:t>POLIA</w:t>
            </w:r>
          </w:p>
        </w:tc>
        <w:tc>
          <w:tcPr>
            <w:tcW w:w="1770" w:type="dxa"/>
            <w:tcBorders>
              <w:top w:val="single" w:color="808080" w:sz="4" w:space="0"/>
              <w:left w:val="single" w:color="808080" w:sz="4" w:space="0"/>
              <w:bottom w:val="single" w:color="808080" w:sz="4" w:space="0"/>
              <w:right w:val="single" w:color="808080" w:sz="4" w:space="0"/>
            </w:tcBorders>
            <w:vAlign w:val="center"/>
          </w:tcPr>
          <w:p w14:paraId="1E03C210">
            <w:pPr>
              <w:pStyle w:val="52"/>
              <w:spacing w:line="360" w:lineRule="auto"/>
              <w:jc w:val="left"/>
              <w:rPr>
                <w:sz w:val="21"/>
                <w:szCs w:val="21"/>
              </w:rPr>
            </w:pPr>
            <w:r>
              <w:rPr>
                <w:rFonts w:hint="eastAsia"/>
                <w:sz w:val="21"/>
                <w:szCs w:val="21"/>
              </w:rPr>
              <w:t>object level</w:t>
            </w:r>
          </w:p>
        </w:tc>
        <w:tc>
          <w:tcPr>
            <w:tcW w:w="2077" w:type="dxa"/>
            <w:tcBorders>
              <w:top w:val="single" w:color="808080" w:sz="4" w:space="0"/>
              <w:left w:val="single" w:color="808080" w:sz="4" w:space="0"/>
              <w:bottom w:val="single" w:color="808080" w:sz="4" w:space="0"/>
              <w:right w:val="single" w:color="808080" w:sz="4" w:space="0"/>
            </w:tcBorders>
            <w:vAlign w:val="center"/>
          </w:tcPr>
          <w:p w14:paraId="1F4DBA75">
            <w:pPr>
              <w:pStyle w:val="52"/>
              <w:spacing w:line="360" w:lineRule="auto"/>
              <w:jc w:val="left"/>
              <w:rPr>
                <w:sz w:val="21"/>
                <w:szCs w:val="21"/>
              </w:rPr>
            </w:pPr>
            <w:r>
              <w:rPr>
                <w:rFonts w:hint="eastAsia"/>
                <w:sz w:val="21"/>
                <w:szCs w:val="21"/>
              </w:rPr>
              <w:t>Intrinsic advantage of Confidence Correction at the Object Level</w:t>
            </w:r>
          </w:p>
        </w:tc>
        <w:tc>
          <w:tcPr>
            <w:tcW w:w="2138" w:type="dxa"/>
            <w:tcBorders>
              <w:top w:val="single" w:color="808080" w:sz="4" w:space="0"/>
              <w:left w:val="single" w:color="808080" w:sz="4" w:space="0"/>
              <w:bottom w:val="single" w:color="808080" w:sz="4" w:space="0"/>
              <w:right w:val="single" w:color="808080" w:sz="4" w:space="0"/>
            </w:tcBorders>
            <w:vAlign w:val="center"/>
          </w:tcPr>
          <w:p w14:paraId="6B85D617">
            <w:pPr>
              <w:pStyle w:val="52"/>
              <w:spacing w:line="360" w:lineRule="auto"/>
              <w:jc w:val="left"/>
              <w:rPr>
                <w:sz w:val="21"/>
                <w:szCs w:val="21"/>
              </w:rPr>
            </w:pPr>
            <w:r>
              <w:rPr>
                <w:rFonts w:hint="eastAsia"/>
                <w:sz w:val="21"/>
                <w:szCs w:val="21"/>
              </w:rPr>
              <w:t>Low (using dataset object annotation)</w:t>
            </w:r>
          </w:p>
        </w:tc>
        <w:tc>
          <w:tcPr>
            <w:tcW w:w="1200" w:type="dxa"/>
            <w:tcBorders>
              <w:top w:val="single" w:color="808080" w:sz="4" w:space="0"/>
              <w:left w:val="single" w:color="808080" w:sz="4" w:space="0"/>
              <w:bottom w:val="single" w:color="808080" w:sz="4" w:space="0"/>
              <w:right w:val="single" w:color="808080" w:sz="4" w:space="0"/>
            </w:tcBorders>
            <w:vAlign w:val="center"/>
          </w:tcPr>
          <w:p w14:paraId="5B8C6B62">
            <w:pPr>
              <w:jc w:val="left"/>
              <w:rPr>
                <w:sz w:val="21"/>
                <w:szCs w:val="21"/>
              </w:rPr>
            </w:pPr>
            <w:r>
              <w:rPr>
                <w:rFonts w:hint="eastAsia"/>
                <w:sz w:val="21"/>
                <w:szCs w:val="21"/>
              </w:rPr>
              <w:t>Signal</w:t>
            </w:r>
          </w:p>
        </w:tc>
      </w:tr>
      <w:tr w14:paraId="19FA0300">
        <w:tblPrEx>
          <w:tblCellMar>
            <w:top w:w="0" w:type="dxa"/>
            <w:left w:w="108" w:type="dxa"/>
            <w:bottom w:w="0" w:type="dxa"/>
            <w:right w:w="108" w:type="dxa"/>
          </w:tblCellMar>
        </w:tblPrEx>
        <w:trPr>
          <w:jc w:val="center"/>
        </w:trPr>
        <w:tc>
          <w:tcPr>
            <w:tcW w:w="1454" w:type="dxa"/>
            <w:tcBorders>
              <w:top w:val="single" w:color="808080" w:sz="4" w:space="0"/>
              <w:left w:val="single" w:color="808080" w:sz="4" w:space="0"/>
              <w:bottom w:val="single" w:color="808080" w:sz="4" w:space="0"/>
              <w:right w:val="single" w:color="808080" w:sz="4" w:space="0"/>
            </w:tcBorders>
            <w:vAlign w:val="center"/>
          </w:tcPr>
          <w:p w14:paraId="3822AFAD">
            <w:pPr>
              <w:pStyle w:val="52"/>
              <w:spacing w:line="360" w:lineRule="auto"/>
              <w:jc w:val="left"/>
              <w:rPr>
                <w:sz w:val="21"/>
                <w:szCs w:val="21"/>
              </w:rPr>
            </w:pPr>
            <w:r>
              <w:rPr>
                <w:b/>
                <w:sz w:val="21"/>
                <w:szCs w:val="21"/>
              </w:rPr>
              <w:t>Self-Questioning</w:t>
            </w:r>
          </w:p>
        </w:tc>
        <w:tc>
          <w:tcPr>
            <w:tcW w:w="1770" w:type="dxa"/>
            <w:tcBorders>
              <w:top w:val="single" w:color="808080" w:sz="4" w:space="0"/>
              <w:left w:val="single" w:color="808080" w:sz="4" w:space="0"/>
              <w:bottom w:val="single" w:color="808080" w:sz="4" w:space="0"/>
              <w:right w:val="single" w:color="808080" w:sz="4" w:space="0"/>
            </w:tcBorders>
            <w:vAlign w:val="center"/>
          </w:tcPr>
          <w:p w14:paraId="54BE9191">
            <w:pPr>
              <w:pStyle w:val="52"/>
              <w:spacing w:line="360" w:lineRule="auto"/>
              <w:jc w:val="left"/>
              <w:rPr>
                <w:sz w:val="21"/>
                <w:szCs w:val="21"/>
              </w:rPr>
            </w:pPr>
            <w:r>
              <w:rPr>
                <w:rFonts w:hint="eastAsia"/>
                <w:sz w:val="21"/>
                <w:szCs w:val="21"/>
              </w:rPr>
              <w:t>Subquestion Structure Level</w:t>
            </w:r>
          </w:p>
        </w:tc>
        <w:tc>
          <w:tcPr>
            <w:tcW w:w="2077" w:type="dxa"/>
            <w:tcBorders>
              <w:top w:val="single" w:color="808080" w:sz="4" w:space="0"/>
              <w:left w:val="single" w:color="808080" w:sz="4" w:space="0"/>
              <w:bottom w:val="single" w:color="808080" w:sz="4" w:space="0"/>
              <w:right w:val="single" w:color="808080" w:sz="4" w:space="0"/>
            </w:tcBorders>
            <w:vAlign w:val="center"/>
          </w:tcPr>
          <w:p w14:paraId="4497BA41">
            <w:pPr>
              <w:pStyle w:val="52"/>
              <w:spacing w:line="360" w:lineRule="auto"/>
              <w:jc w:val="left"/>
              <w:rPr>
                <w:sz w:val="21"/>
                <w:szCs w:val="21"/>
              </w:rPr>
            </w:pPr>
            <w:r>
              <w:rPr>
                <w:rFonts w:hint="eastAsia"/>
                <w:sz w:val="21"/>
                <w:szCs w:val="21"/>
              </w:rPr>
              <w:t>Binary Format + Correctness Reward</w:t>
            </w:r>
          </w:p>
        </w:tc>
        <w:tc>
          <w:tcPr>
            <w:tcW w:w="2138" w:type="dxa"/>
            <w:tcBorders>
              <w:top w:val="single" w:color="808080" w:sz="4" w:space="0"/>
              <w:left w:val="single" w:color="808080" w:sz="4" w:space="0"/>
              <w:bottom w:val="single" w:color="808080" w:sz="4" w:space="0"/>
              <w:right w:val="single" w:color="808080" w:sz="4" w:space="0"/>
            </w:tcBorders>
            <w:vAlign w:val="center"/>
          </w:tcPr>
          <w:p w14:paraId="2CC7BCC4">
            <w:pPr>
              <w:pStyle w:val="52"/>
              <w:spacing w:line="360" w:lineRule="auto"/>
              <w:jc w:val="left"/>
              <w:rPr>
                <w:sz w:val="21"/>
                <w:szCs w:val="21"/>
              </w:rPr>
            </w:pPr>
            <w:r>
              <w:rPr>
                <w:rFonts w:hint="eastAsia"/>
                <w:sz w:val="21"/>
                <w:szCs w:val="21"/>
              </w:rPr>
              <w:t>None</w:t>
            </w:r>
          </w:p>
        </w:tc>
        <w:tc>
          <w:tcPr>
            <w:tcW w:w="1200" w:type="dxa"/>
            <w:tcBorders>
              <w:top w:val="single" w:color="808080" w:sz="4" w:space="0"/>
              <w:left w:val="single" w:color="808080" w:sz="4" w:space="0"/>
              <w:bottom w:val="single" w:color="808080" w:sz="4" w:space="0"/>
              <w:right w:val="single" w:color="808080" w:sz="4" w:space="0"/>
            </w:tcBorders>
            <w:vAlign w:val="center"/>
          </w:tcPr>
          <w:p w14:paraId="668E10C7">
            <w:pPr>
              <w:jc w:val="left"/>
              <w:rPr>
                <w:sz w:val="21"/>
                <w:szCs w:val="21"/>
              </w:rPr>
            </w:pPr>
            <w:r>
              <w:rPr>
                <w:rFonts w:hint="eastAsia"/>
                <w:sz w:val="21"/>
                <w:szCs w:val="21"/>
              </w:rPr>
              <w:t>Objects</w:t>
            </w:r>
          </w:p>
        </w:tc>
      </w:tr>
      <w:tr w14:paraId="444DC4D4">
        <w:tblPrEx>
          <w:tblCellMar>
            <w:top w:w="0" w:type="dxa"/>
            <w:left w:w="108" w:type="dxa"/>
            <w:bottom w:w="0" w:type="dxa"/>
            <w:right w:w="108" w:type="dxa"/>
          </w:tblCellMar>
        </w:tblPrEx>
        <w:trPr>
          <w:jc w:val="center"/>
        </w:trPr>
        <w:tc>
          <w:tcPr>
            <w:tcW w:w="1454" w:type="dxa"/>
            <w:tcBorders>
              <w:top w:val="single" w:color="808080" w:sz="4" w:space="0"/>
              <w:left w:val="single" w:color="808080" w:sz="4" w:space="0"/>
              <w:bottom w:val="single" w:color="808080" w:sz="4" w:space="0"/>
              <w:right w:val="single" w:color="808080" w:sz="4" w:space="0"/>
            </w:tcBorders>
            <w:vAlign w:val="center"/>
          </w:tcPr>
          <w:p w14:paraId="2468E765">
            <w:pPr>
              <w:pStyle w:val="52"/>
              <w:spacing w:line="360" w:lineRule="auto"/>
              <w:jc w:val="left"/>
              <w:rPr>
                <w:sz w:val="21"/>
                <w:szCs w:val="21"/>
              </w:rPr>
            </w:pPr>
            <w:r>
              <w:rPr>
                <w:b/>
                <w:sz w:val="21"/>
                <w:szCs w:val="21"/>
              </w:rPr>
              <w:t>H-GRPO</w:t>
            </w:r>
          </w:p>
        </w:tc>
        <w:tc>
          <w:tcPr>
            <w:tcW w:w="1770" w:type="dxa"/>
            <w:tcBorders>
              <w:top w:val="single" w:color="808080" w:sz="4" w:space="0"/>
              <w:left w:val="single" w:color="808080" w:sz="4" w:space="0"/>
              <w:bottom w:val="single" w:color="808080" w:sz="4" w:space="0"/>
              <w:right w:val="single" w:color="808080" w:sz="4" w:space="0"/>
            </w:tcBorders>
            <w:vAlign w:val="center"/>
          </w:tcPr>
          <w:p w14:paraId="3577E8EC">
            <w:pPr>
              <w:pStyle w:val="52"/>
              <w:spacing w:line="360" w:lineRule="auto"/>
              <w:jc w:val="left"/>
              <w:rPr>
                <w:sz w:val="21"/>
                <w:szCs w:val="21"/>
              </w:rPr>
            </w:pPr>
            <w:r>
              <w:rPr>
                <w:rFonts w:hint="eastAsia"/>
                <w:sz w:val="21"/>
                <w:szCs w:val="21"/>
              </w:rPr>
              <w:t>Reasoning Steps + Evidence Level</w:t>
            </w:r>
          </w:p>
        </w:tc>
        <w:tc>
          <w:tcPr>
            <w:tcW w:w="2077" w:type="dxa"/>
            <w:tcBorders>
              <w:top w:val="single" w:color="808080" w:sz="4" w:space="0"/>
              <w:left w:val="single" w:color="808080" w:sz="4" w:space="0"/>
              <w:bottom w:val="single" w:color="808080" w:sz="4" w:space="0"/>
              <w:right w:val="single" w:color="808080" w:sz="4" w:space="0"/>
            </w:tcBorders>
            <w:vAlign w:val="center"/>
          </w:tcPr>
          <w:p w14:paraId="63B196E9">
            <w:pPr>
              <w:pStyle w:val="52"/>
              <w:spacing w:line="360" w:lineRule="auto"/>
              <w:jc w:val="left"/>
              <w:rPr>
                <w:sz w:val="21"/>
                <w:szCs w:val="21"/>
              </w:rPr>
            </w:pPr>
            <w:r>
              <w:rPr>
                <w:rFonts w:hint="eastAsia"/>
                <w:sz w:val="21"/>
                <w:szCs w:val="21"/>
              </w:rPr>
              <w:t>Hungarian Gated Process Reward</w:t>
            </w:r>
          </w:p>
        </w:tc>
        <w:tc>
          <w:tcPr>
            <w:tcW w:w="2138" w:type="dxa"/>
            <w:tcBorders>
              <w:top w:val="single" w:color="808080" w:sz="4" w:space="0"/>
              <w:left w:val="single" w:color="808080" w:sz="4" w:space="0"/>
              <w:bottom w:val="single" w:color="808080" w:sz="4" w:space="0"/>
              <w:right w:val="single" w:color="808080" w:sz="4" w:space="0"/>
            </w:tcBorders>
            <w:vAlign w:val="center"/>
          </w:tcPr>
          <w:p w14:paraId="7D46F2A6">
            <w:pPr>
              <w:pStyle w:val="52"/>
              <w:spacing w:line="360" w:lineRule="auto"/>
              <w:jc w:val="left"/>
              <w:rPr>
                <w:sz w:val="21"/>
                <w:szCs w:val="21"/>
              </w:rPr>
            </w:pPr>
            <w:r>
              <w:rPr>
                <w:rFonts w:hint="eastAsia"/>
                <w:sz w:val="21"/>
                <w:szCs w:val="21"/>
              </w:rPr>
              <w:t>None</w:t>
            </w:r>
          </w:p>
        </w:tc>
        <w:tc>
          <w:tcPr>
            <w:tcW w:w="1200" w:type="dxa"/>
            <w:tcBorders>
              <w:top w:val="single" w:color="808080" w:sz="4" w:space="0"/>
              <w:left w:val="single" w:color="808080" w:sz="4" w:space="0"/>
              <w:bottom w:val="single" w:color="808080" w:sz="4" w:space="0"/>
              <w:right w:val="single" w:color="808080" w:sz="4" w:space="0"/>
            </w:tcBorders>
            <w:vAlign w:val="center"/>
          </w:tcPr>
          <w:p w14:paraId="0A487D0A">
            <w:pPr>
              <w:jc w:val="left"/>
              <w:rPr>
                <w:sz w:val="21"/>
                <w:szCs w:val="21"/>
              </w:rPr>
            </w:pPr>
            <w:r>
              <w:rPr>
                <w:rFonts w:hint="eastAsia"/>
                <w:sz w:val="21"/>
                <w:szCs w:val="21"/>
              </w:rPr>
              <w:t>Objects</w:t>
            </w:r>
          </w:p>
        </w:tc>
      </w:tr>
    </w:tbl>
    <w:p w14:paraId="1D9CB177">
      <w:pPr>
        <w:pStyle w:val="12"/>
        <w:spacing w:line="360" w:lineRule="auto"/>
        <w:jc w:val="center"/>
        <w:rPr>
          <w:i w:val="0"/>
          <w:iCs/>
          <w:sz w:val="21"/>
          <w:szCs w:val="21"/>
        </w:rPr>
      </w:pPr>
      <w:r>
        <w:rPr>
          <w:rFonts w:hint="eastAsia"/>
          <w:i w:val="0"/>
          <w:iCs/>
          <w:color w:val="000000"/>
          <w:sz w:val="21"/>
          <w:szCs w:val="21"/>
        </w:rPr>
        <w:t>Table 4: Comparison of experimental settings and results of representative methods (base model, benchmark, key data/design and representative results)</w:t>
      </w:r>
    </w:p>
    <w:tbl>
      <w:tblPr>
        <w:tblStyle w:val="82"/>
        <w:tblW w:w="5000" w:type="pct"/>
        <w:jc w:val="center"/>
        <w:tblLayout w:type="fixed"/>
        <w:tblCellMar>
          <w:top w:w="0" w:type="dxa"/>
          <w:left w:w="108" w:type="dxa"/>
          <w:bottom w:w="0" w:type="dxa"/>
          <w:right w:w="108" w:type="dxa"/>
        </w:tblCellMar>
      </w:tblPr>
      <w:tblGrid>
        <w:gridCol w:w="1086"/>
        <w:gridCol w:w="1518"/>
        <w:gridCol w:w="1934"/>
        <w:gridCol w:w="1649"/>
        <w:gridCol w:w="2454"/>
      </w:tblGrid>
      <w:tr w14:paraId="2EEE7D9C">
        <w:tblPrEx>
          <w:tblCellMar>
            <w:top w:w="0" w:type="dxa"/>
            <w:left w:w="108" w:type="dxa"/>
            <w:bottom w:w="0" w:type="dxa"/>
            <w:right w:w="108" w:type="dxa"/>
          </w:tblCellMar>
        </w:tblPrEx>
        <w:trPr>
          <w:tblHeader/>
          <w:jc w:val="center"/>
        </w:trPr>
        <w:tc>
          <w:tcPr>
            <w:tcW w:w="628" w:type="pct"/>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758B1F7C">
            <w:pPr>
              <w:pStyle w:val="52"/>
              <w:spacing w:line="360" w:lineRule="auto"/>
              <w:jc w:val="center"/>
              <w:rPr>
                <w:sz w:val="21"/>
                <w:szCs w:val="21"/>
              </w:rPr>
            </w:pPr>
            <w:r>
              <w:rPr>
                <w:rFonts w:hint="eastAsia"/>
                <w:b/>
                <w:sz w:val="21"/>
                <w:szCs w:val="21"/>
              </w:rPr>
              <w:t>Method</w:t>
            </w:r>
          </w:p>
        </w:tc>
        <w:tc>
          <w:tcPr>
            <w:tcW w:w="878" w:type="pct"/>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41220875">
            <w:pPr>
              <w:pStyle w:val="52"/>
              <w:spacing w:line="360" w:lineRule="auto"/>
              <w:jc w:val="center"/>
              <w:rPr>
                <w:sz w:val="21"/>
                <w:szCs w:val="21"/>
              </w:rPr>
            </w:pPr>
            <w:r>
              <w:rPr>
                <w:rFonts w:hint="eastAsia"/>
                <w:b/>
                <w:sz w:val="21"/>
                <w:szCs w:val="21"/>
              </w:rPr>
              <w:t>Base model</w:t>
            </w:r>
          </w:p>
        </w:tc>
        <w:tc>
          <w:tcPr>
            <w:tcW w:w="1119" w:type="pct"/>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06710B2F">
            <w:pPr>
              <w:pStyle w:val="52"/>
              <w:spacing w:line="360" w:lineRule="auto"/>
              <w:jc w:val="center"/>
              <w:rPr>
                <w:sz w:val="21"/>
                <w:szCs w:val="21"/>
              </w:rPr>
            </w:pPr>
            <w:r>
              <w:rPr>
                <w:rFonts w:hint="eastAsia"/>
                <w:b/>
                <w:sz w:val="21"/>
                <w:szCs w:val="21"/>
              </w:rPr>
              <w:t>Benchmark</w:t>
            </w:r>
          </w:p>
        </w:tc>
        <w:tc>
          <w:tcPr>
            <w:tcW w:w="954" w:type="pct"/>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15412D45">
            <w:pPr>
              <w:pStyle w:val="52"/>
              <w:spacing w:line="360" w:lineRule="auto"/>
              <w:jc w:val="center"/>
              <w:rPr>
                <w:sz w:val="21"/>
                <w:szCs w:val="21"/>
              </w:rPr>
            </w:pPr>
            <w:r>
              <w:rPr>
                <w:rFonts w:hint="eastAsia"/>
                <w:b/>
                <w:sz w:val="21"/>
                <w:szCs w:val="21"/>
              </w:rPr>
              <w:t>Key Data/Design</w:t>
            </w:r>
          </w:p>
        </w:tc>
        <w:tc>
          <w:tcPr>
            <w:tcW w:w="1419" w:type="pct"/>
            <w:tcBorders>
              <w:top w:val="single" w:color="808080" w:sz="4" w:space="0"/>
              <w:left w:val="single" w:color="808080" w:sz="4" w:space="0"/>
              <w:bottom w:val="single" w:color="808080" w:sz="4" w:space="0"/>
              <w:right w:val="single" w:color="808080" w:sz="4" w:space="0"/>
              <w:insideH w:val="single" w:sz="0" w:space="0"/>
            </w:tcBorders>
            <w:shd w:val="clear" w:color="auto" w:fill="D9E2F3"/>
            <w:vAlign w:val="center"/>
          </w:tcPr>
          <w:p w14:paraId="6F234031">
            <w:pPr>
              <w:pStyle w:val="52"/>
              <w:spacing w:line="360" w:lineRule="auto"/>
              <w:jc w:val="center"/>
              <w:rPr>
                <w:sz w:val="21"/>
                <w:szCs w:val="21"/>
              </w:rPr>
            </w:pPr>
            <w:r>
              <w:rPr>
                <w:rFonts w:hint="eastAsia"/>
                <w:b/>
                <w:sz w:val="21"/>
                <w:szCs w:val="21"/>
              </w:rPr>
              <w:t>Representative results</w:t>
            </w:r>
          </w:p>
        </w:tc>
      </w:tr>
      <w:tr w14:paraId="04D03183">
        <w:tblPrEx>
          <w:tblCellMar>
            <w:top w:w="0" w:type="dxa"/>
            <w:left w:w="108" w:type="dxa"/>
            <w:bottom w:w="0" w:type="dxa"/>
            <w:right w:w="108" w:type="dxa"/>
          </w:tblCellMar>
        </w:tblPrEx>
        <w:trPr>
          <w:jc w:val="center"/>
        </w:trPr>
        <w:tc>
          <w:tcPr>
            <w:tcW w:w="628" w:type="pct"/>
            <w:tcBorders>
              <w:top w:val="single" w:color="808080" w:sz="4" w:space="0"/>
              <w:left w:val="single" w:color="808080" w:sz="4" w:space="0"/>
              <w:bottom w:val="single" w:color="808080" w:sz="4" w:space="0"/>
              <w:right w:val="single" w:color="808080" w:sz="4" w:space="0"/>
            </w:tcBorders>
            <w:vAlign w:val="center"/>
          </w:tcPr>
          <w:p w14:paraId="257C4274">
            <w:pPr>
              <w:pStyle w:val="52"/>
              <w:spacing w:line="360" w:lineRule="auto"/>
              <w:jc w:val="left"/>
              <w:rPr>
                <w:sz w:val="21"/>
                <w:szCs w:val="21"/>
              </w:rPr>
            </w:pPr>
            <w:r>
              <w:rPr>
                <w:b/>
                <w:sz w:val="21"/>
                <w:szCs w:val="21"/>
              </w:rPr>
              <w:t>CR³</w:t>
            </w:r>
          </w:p>
        </w:tc>
        <w:tc>
          <w:tcPr>
            <w:tcW w:w="878" w:type="pct"/>
            <w:tcBorders>
              <w:top w:val="single" w:color="808080" w:sz="4" w:space="0"/>
              <w:left w:val="single" w:color="808080" w:sz="4" w:space="0"/>
              <w:bottom w:val="single" w:color="808080" w:sz="4" w:space="0"/>
              <w:right w:val="single" w:color="808080" w:sz="4" w:space="0"/>
            </w:tcBorders>
            <w:vAlign w:val="center"/>
          </w:tcPr>
          <w:p w14:paraId="4B1718AC">
            <w:pPr>
              <w:pStyle w:val="52"/>
              <w:spacing w:line="360" w:lineRule="auto"/>
              <w:jc w:val="left"/>
              <w:rPr>
                <w:sz w:val="21"/>
                <w:szCs w:val="21"/>
              </w:rPr>
            </w:pPr>
            <w:r>
              <w:rPr>
                <w:sz w:val="21"/>
                <w:szCs w:val="21"/>
              </w:rPr>
              <w:t>Qwen2.5-VL-7B / InternVL3-8B</w:t>
            </w:r>
          </w:p>
        </w:tc>
        <w:tc>
          <w:tcPr>
            <w:tcW w:w="1119" w:type="pct"/>
            <w:tcBorders>
              <w:top w:val="single" w:color="808080" w:sz="4" w:space="0"/>
              <w:left w:val="single" w:color="808080" w:sz="4" w:space="0"/>
              <w:bottom w:val="single" w:color="808080" w:sz="4" w:space="0"/>
              <w:right w:val="single" w:color="808080" w:sz="4" w:space="0"/>
            </w:tcBorders>
            <w:vAlign w:val="center"/>
          </w:tcPr>
          <w:p w14:paraId="1556FF94">
            <w:pPr>
              <w:pStyle w:val="52"/>
              <w:spacing w:line="360" w:lineRule="auto"/>
              <w:jc w:val="left"/>
              <w:rPr>
                <w:sz w:val="21"/>
                <w:szCs w:val="21"/>
              </w:rPr>
            </w:pPr>
            <w:r>
              <w:rPr>
                <w:sz w:val="21"/>
                <w:szCs w:val="21"/>
              </w:rPr>
              <w:t>MMVP/Winoground/Cola</w:t>
            </w:r>
          </w:p>
        </w:tc>
        <w:tc>
          <w:tcPr>
            <w:tcW w:w="954" w:type="pct"/>
            <w:tcBorders>
              <w:top w:val="single" w:color="808080" w:sz="4" w:space="0"/>
              <w:left w:val="single" w:color="808080" w:sz="4" w:space="0"/>
              <w:bottom w:val="single" w:color="808080" w:sz="4" w:space="0"/>
              <w:right w:val="single" w:color="808080" w:sz="4" w:space="0"/>
            </w:tcBorders>
            <w:vAlign w:val="center"/>
          </w:tcPr>
          <w:p w14:paraId="268A7697">
            <w:pPr>
              <w:pStyle w:val="52"/>
              <w:spacing w:line="360" w:lineRule="auto"/>
              <w:jc w:val="left"/>
              <w:rPr>
                <w:sz w:val="21"/>
                <w:szCs w:val="21"/>
              </w:rPr>
            </w:pPr>
            <w:r>
              <w:rPr>
                <w:rFonts w:hint="eastAsia"/>
                <w:sz w:val="21"/>
                <w:szCs w:val="21"/>
              </w:rPr>
              <w:t>Semantic + visual double screening: 185,000 → 18,900 hard negative samples</w:t>
            </w:r>
          </w:p>
        </w:tc>
        <w:tc>
          <w:tcPr>
            <w:tcW w:w="1419" w:type="pct"/>
            <w:tcBorders>
              <w:top w:val="single" w:color="808080" w:sz="4" w:space="0"/>
              <w:left w:val="single" w:color="808080" w:sz="4" w:space="0"/>
              <w:bottom w:val="single" w:color="808080" w:sz="4" w:space="0"/>
              <w:right w:val="single" w:color="808080" w:sz="4" w:space="0"/>
            </w:tcBorders>
            <w:vAlign w:val="center"/>
          </w:tcPr>
          <w:p w14:paraId="329D38C9">
            <w:pPr>
              <w:pStyle w:val="52"/>
              <w:spacing w:line="360" w:lineRule="auto"/>
              <w:jc w:val="left"/>
              <w:rPr>
                <w:sz w:val="21"/>
                <w:szCs w:val="21"/>
              </w:rPr>
            </w:pPr>
            <w:r>
              <w:rPr>
                <w:rFonts w:hint="eastAsia"/>
                <w:sz w:val="21"/>
                <w:szCs w:val="21"/>
                <w:lang w:val="en-US" w:eastAsia="zh-CN"/>
              </w:rPr>
              <w:t>9 points above original baseline average and 5 points above SFT</w:t>
            </w:r>
          </w:p>
        </w:tc>
      </w:tr>
      <w:tr w14:paraId="340110D2">
        <w:tblPrEx>
          <w:tblCellMar>
            <w:top w:w="0" w:type="dxa"/>
            <w:left w:w="108" w:type="dxa"/>
            <w:bottom w:w="0" w:type="dxa"/>
            <w:right w:w="108" w:type="dxa"/>
          </w:tblCellMar>
        </w:tblPrEx>
        <w:trPr>
          <w:jc w:val="center"/>
        </w:trPr>
        <w:tc>
          <w:tcPr>
            <w:tcW w:w="628" w:type="pct"/>
            <w:tcBorders>
              <w:top w:val="single" w:color="808080" w:sz="4" w:space="0"/>
              <w:left w:val="single" w:color="808080" w:sz="4" w:space="0"/>
              <w:bottom w:val="single" w:color="808080" w:sz="4" w:space="0"/>
              <w:right w:val="single" w:color="808080" w:sz="4" w:space="0"/>
            </w:tcBorders>
            <w:vAlign w:val="center"/>
          </w:tcPr>
          <w:p w14:paraId="7503798A">
            <w:pPr>
              <w:pStyle w:val="52"/>
              <w:spacing w:line="360" w:lineRule="auto"/>
              <w:jc w:val="left"/>
              <w:rPr>
                <w:sz w:val="21"/>
                <w:szCs w:val="21"/>
              </w:rPr>
            </w:pPr>
            <w:r>
              <w:rPr>
                <w:b/>
                <w:sz w:val="21"/>
                <w:szCs w:val="21"/>
              </w:rPr>
              <w:t>SpatialThinker</w:t>
            </w:r>
          </w:p>
        </w:tc>
        <w:tc>
          <w:tcPr>
            <w:tcW w:w="878" w:type="pct"/>
            <w:tcBorders>
              <w:top w:val="single" w:color="808080" w:sz="4" w:space="0"/>
              <w:left w:val="single" w:color="808080" w:sz="4" w:space="0"/>
              <w:bottom w:val="single" w:color="808080" w:sz="4" w:space="0"/>
              <w:right w:val="single" w:color="808080" w:sz="4" w:space="0"/>
            </w:tcBorders>
            <w:vAlign w:val="center"/>
          </w:tcPr>
          <w:p w14:paraId="4D6F0694">
            <w:pPr>
              <w:pStyle w:val="52"/>
              <w:spacing w:line="360" w:lineRule="auto"/>
              <w:jc w:val="left"/>
              <w:rPr>
                <w:sz w:val="21"/>
                <w:szCs w:val="21"/>
              </w:rPr>
            </w:pPr>
            <w:r>
              <w:rPr>
                <w:sz w:val="21"/>
                <w:szCs w:val="21"/>
              </w:rPr>
              <w:t>7B</w:t>
            </w:r>
          </w:p>
        </w:tc>
        <w:tc>
          <w:tcPr>
            <w:tcW w:w="1119" w:type="pct"/>
            <w:tcBorders>
              <w:top w:val="single" w:color="808080" w:sz="4" w:space="0"/>
              <w:left w:val="single" w:color="808080" w:sz="4" w:space="0"/>
              <w:bottom w:val="single" w:color="808080" w:sz="4" w:space="0"/>
              <w:right w:val="single" w:color="808080" w:sz="4" w:space="0"/>
            </w:tcBorders>
            <w:vAlign w:val="center"/>
          </w:tcPr>
          <w:p w14:paraId="44A4FEF2">
            <w:pPr>
              <w:pStyle w:val="52"/>
              <w:spacing w:line="360" w:lineRule="auto"/>
              <w:jc w:val="left"/>
              <w:rPr>
                <w:sz w:val="21"/>
                <w:szCs w:val="21"/>
              </w:rPr>
            </w:pPr>
            <w:r>
              <w:rPr>
                <w:sz w:val="21"/>
                <w:szCs w:val="21"/>
              </w:rPr>
              <w:t>14 Benchmark</w:t>
            </w:r>
          </w:p>
        </w:tc>
        <w:tc>
          <w:tcPr>
            <w:tcW w:w="954" w:type="pct"/>
            <w:tcBorders>
              <w:top w:val="single" w:color="808080" w:sz="4" w:space="0"/>
              <w:left w:val="single" w:color="808080" w:sz="4" w:space="0"/>
              <w:bottom w:val="single" w:color="808080" w:sz="4" w:space="0"/>
              <w:right w:val="single" w:color="808080" w:sz="4" w:space="0"/>
            </w:tcBorders>
            <w:vAlign w:val="center"/>
          </w:tcPr>
          <w:p w14:paraId="151E121C">
            <w:pPr>
              <w:pStyle w:val="52"/>
              <w:spacing w:line="360" w:lineRule="auto"/>
              <w:jc w:val="left"/>
              <w:rPr>
                <w:sz w:val="21"/>
                <w:szCs w:val="21"/>
              </w:rPr>
            </w:pPr>
            <w:r>
              <w:rPr>
                <w:sz w:val="21"/>
                <w:szCs w:val="21"/>
              </w:rPr>
              <w:t>Hungarian Match + CIoU Dense Gradient</w:t>
            </w:r>
          </w:p>
        </w:tc>
        <w:tc>
          <w:tcPr>
            <w:tcW w:w="1419" w:type="pct"/>
            <w:tcBorders>
              <w:top w:val="single" w:color="808080" w:sz="4" w:space="0"/>
              <w:left w:val="single" w:color="808080" w:sz="4" w:space="0"/>
              <w:bottom w:val="single" w:color="808080" w:sz="4" w:space="0"/>
              <w:right w:val="single" w:color="808080" w:sz="4" w:space="0"/>
            </w:tcBorders>
            <w:vAlign w:val="center"/>
          </w:tcPr>
          <w:p w14:paraId="7C2411C5">
            <w:pPr>
              <w:pStyle w:val="52"/>
              <w:spacing w:line="360" w:lineRule="auto"/>
              <w:jc w:val="left"/>
              <w:rPr>
                <w:sz w:val="21"/>
                <w:szCs w:val="21"/>
              </w:rPr>
            </w:pPr>
            <w:r>
              <w:rPr>
                <w:rFonts w:hint="eastAsia"/>
                <w:sz w:val="21"/>
                <w:szCs w:val="21"/>
              </w:rPr>
              <w:t>14 Benchmark average exceeds GPT-4o by 4.7 percentage points</w:t>
            </w:r>
          </w:p>
        </w:tc>
      </w:tr>
      <w:tr w14:paraId="597F95AA">
        <w:tblPrEx>
          <w:tblCellMar>
            <w:top w:w="0" w:type="dxa"/>
            <w:left w:w="108" w:type="dxa"/>
            <w:bottom w:w="0" w:type="dxa"/>
            <w:right w:w="108" w:type="dxa"/>
          </w:tblCellMar>
        </w:tblPrEx>
        <w:trPr>
          <w:jc w:val="center"/>
        </w:trPr>
        <w:tc>
          <w:tcPr>
            <w:tcW w:w="628" w:type="pct"/>
            <w:tcBorders>
              <w:top w:val="single" w:color="808080" w:sz="4" w:space="0"/>
              <w:left w:val="single" w:color="808080" w:sz="4" w:space="0"/>
              <w:bottom w:val="single" w:color="808080" w:sz="4" w:space="0"/>
              <w:right w:val="single" w:color="808080" w:sz="4" w:space="0"/>
            </w:tcBorders>
            <w:vAlign w:val="center"/>
          </w:tcPr>
          <w:p w14:paraId="2E325157">
            <w:pPr>
              <w:pStyle w:val="52"/>
              <w:spacing w:line="360" w:lineRule="auto"/>
              <w:jc w:val="left"/>
              <w:rPr>
                <w:sz w:val="21"/>
                <w:szCs w:val="21"/>
              </w:rPr>
            </w:pPr>
            <w:r>
              <w:rPr>
                <w:b/>
                <w:sz w:val="21"/>
                <w:szCs w:val="21"/>
              </w:rPr>
              <w:t>SVQA-R1</w:t>
            </w:r>
          </w:p>
        </w:tc>
        <w:tc>
          <w:tcPr>
            <w:tcW w:w="878" w:type="pct"/>
            <w:tcBorders>
              <w:top w:val="single" w:color="808080" w:sz="4" w:space="0"/>
              <w:left w:val="single" w:color="808080" w:sz="4" w:space="0"/>
              <w:bottom w:val="single" w:color="808080" w:sz="4" w:space="0"/>
              <w:right w:val="single" w:color="808080" w:sz="4" w:space="0"/>
            </w:tcBorders>
            <w:vAlign w:val="center"/>
          </w:tcPr>
          <w:p w14:paraId="35553711">
            <w:pPr>
              <w:pStyle w:val="52"/>
              <w:spacing w:line="360" w:lineRule="auto"/>
              <w:jc w:val="left"/>
              <w:rPr>
                <w:sz w:val="21"/>
                <w:szCs w:val="21"/>
              </w:rPr>
            </w:pPr>
            <w:r>
              <w:rPr>
                <w:sz w:val="21"/>
                <w:szCs w:val="21"/>
              </w:rPr>
              <w:t>3B</w:t>
            </w:r>
          </w:p>
        </w:tc>
        <w:tc>
          <w:tcPr>
            <w:tcW w:w="1119" w:type="pct"/>
            <w:tcBorders>
              <w:top w:val="single" w:color="808080" w:sz="4" w:space="0"/>
              <w:left w:val="single" w:color="808080" w:sz="4" w:space="0"/>
              <w:bottom w:val="single" w:color="808080" w:sz="4" w:space="0"/>
              <w:right w:val="single" w:color="808080" w:sz="4" w:space="0"/>
            </w:tcBorders>
            <w:vAlign w:val="center"/>
          </w:tcPr>
          <w:p w14:paraId="425CF49E">
            <w:pPr>
              <w:pStyle w:val="52"/>
              <w:spacing w:line="360" w:lineRule="auto"/>
              <w:jc w:val="left"/>
              <w:rPr>
                <w:sz w:val="21"/>
                <w:szCs w:val="21"/>
              </w:rPr>
            </w:pPr>
            <w:r>
              <w:rPr>
                <w:sz w:val="21"/>
                <w:szCs w:val="21"/>
              </w:rPr>
              <w:t>Q-Spatial++</w:t>
            </w:r>
          </w:p>
        </w:tc>
        <w:tc>
          <w:tcPr>
            <w:tcW w:w="954" w:type="pct"/>
            <w:tcBorders>
              <w:top w:val="single" w:color="808080" w:sz="4" w:space="0"/>
              <w:left w:val="single" w:color="808080" w:sz="4" w:space="0"/>
              <w:bottom w:val="single" w:color="808080" w:sz="4" w:space="0"/>
              <w:right w:val="single" w:color="808080" w:sz="4" w:space="0"/>
            </w:tcBorders>
            <w:vAlign w:val="center"/>
          </w:tcPr>
          <w:p w14:paraId="041AEAB4">
            <w:pPr>
              <w:pStyle w:val="52"/>
              <w:spacing w:line="360" w:lineRule="auto"/>
              <w:jc w:val="left"/>
              <w:rPr>
                <w:sz w:val="21"/>
                <w:szCs w:val="21"/>
              </w:rPr>
            </w:pPr>
            <w:r>
              <w:rPr>
                <w:rFonts w:hint="eastAsia"/>
                <w:sz w:val="21"/>
                <w:szCs w:val="21"/>
              </w:rPr>
              <w:t>Mirror-flip Q&amp;A pairs</w:t>
            </w:r>
          </w:p>
        </w:tc>
        <w:tc>
          <w:tcPr>
            <w:tcW w:w="1419" w:type="pct"/>
            <w:tcBorders>
              <w:top w:val="single" w:color="808080" w:sz="4" w:space="0"/>
              <w:left w:val="single" w:color="808080" w:sz="4" w:space="0"/>
              <w:bottom w:val="single" w:color="808080" w:sz="4" w:space="0"/>
              <w:right w:val="single" w:color="808080" w:sz="4" w:space="0"/>
            </w:tcBorders>
            <w:vAlign w:val="center"/>
          </w:tcPr>
          <w:p w14:paraId="47909045">
            <w:pPr>
              <w:pStyle w:val="52"/>
              <w:spacing w:line="360" w:lineRule="auto"/>
              <w:jc w:val="left"/>
              <w:rPr>
                <w:sz w:val="21"/>
                <w:szCs w:val="21"/>
              </w:rPr>
            </w:pPr>
            <w:r>
              <w:rPr>
                <w:rFonts w:hint="eastAsia"/>
                <w:sz w:val="21"/>
                <w:szCs w:val="21"/>
              </w:rPr>
              <w:t>Over 30 percentage points higher than SFT (CoT)</w:t>
            </w:r>
          </w:p>
        </w:tc>
      </w:tr>
      <w:tr w14:paraId="4F9F7DBF">
        <w:tblPrEx>
          <w:tblCellMar>
            <w:top w:w="0" w:type="dxa"/>
            <w:left w:w="108" w:type="dxa"/>
            <w:bottom w:w="0" w:type="dxa"/>
            <w:right w:w="108" w:type="dxa"/>
          </w:tblCellMar>
        </w:tblPrEx>
        <w:trPr>
          <w:jc w:val="center"/>
        </w:trPr>
        <w:tc>
          <w:tcPr>
            <w:tcW w:w="628" w:type="pct"/>
            <w:tcBorders>
              <w:top w:val="single" w:color="808080" w:sz="4" w:space="0"/>
              <w:left w:val="single" w:color="808080" w:sz="4" w:space="0"/>
              <w:bottom w:val="single" w:color="808080" w:sz="4" w:space="0"/>
              <w:right w:val="single" w:color="808080" w:sz="4" w:space="0"/>
            </w:tcBorders>
            <w:vAlign w:val="center"/>
          </w:tcPr>
          <w:p w14:paraId="5CDA70AA">
            <w:pPr>
              <w:pStyle w:val="52"/>
              <w:spacing w:line="360" w:lineRule="auto"/>
              <w:jc w:val="left"/>
              <w:rPr>
                <w:sz w:val="21"/>
                <w:szCs w:val="21"/>
              </w:rPr>
            </w:pPr>
            <w:r>
              <w:rPr>
                <w:b/>
                <w:sz w:val="21"/>
                <w:szCs w:val="21"/>
              </w:rPr>
              <w:t>Ground-R1</w:t>
            </w:r>
          </w:p>
        </w:tc>
        <w:tc>
          <w:tcPr>
            <w:tcW w:w="878" w:type="pct"/>
            <w:tcBorders>
              <w:top w:val="single" w:color="808080" w:sz="4" w:space="0"/>
              <w:left w:val="single" w:color="808080" w:sz="4" w:space="0"/>
              <w:bottom w:val="single" w:color="808080" w:sz="4" w:space="0"/>
              <w:right w:val="single" w:color="808080" w:sz="4" w:space="0"/>
            </w:tcBorders>
            <w:vAlign w:val="center"/>
          </w:tcPr>
          <w:p w14:paraId="7D24F1EE">
            <w:pPr>
              <w:pStyle w:val="52"/>
              <w:spacing w:line="360" w:lineRule="auto"/>
              <w:jc w:val="left"/>
              <w:rPr>
                <w:sz w:val="21"/>
                <w:szCs w:val="21"/>
              </w:rPr>
            </w:pPr>
            <w:r>
              <w:rPr>
                <w:sz w:val="21"/>
                <w:szCs w:val="21"/>
              </w:rPr>
              <w:t>Qwen2.5-VL-7B</w:t>
            </w:r>
          </w:p>
        </w:tc>
        <w:tc>
          <w:tcPr>
            <w:tcW w:w="1119" w:type="pct"/>
            <w:tcBorders>
              <w:top w:val="single" w:color="808080" w:sz="4" w:space="0"/>
              <w:left w:val="single" w:color="808080" w:sz="4" w:space="0"/>
              <w:bottom w:val="single" w:color="808080" w:sz="4" w:space="0"/>
              <w:right w:val="single" w:color="808080" w:sz="4" w:space="0"/>
            </w:tcBorders>
            <w:vAlign w:val="center"/>
          </w:tcPr>
          <w:p w14:paraId="3BFF593D">
            <w:pPr>
              <w:pStyle w:val="52"/>
              <w:spacing w:line="360" w:lineRule="auto"/>
              <w:jc w:val="left"/>
              <w:rPr>
                <w:sz w:val="21"/>
                <w:szCs w:val="21"/>
              </w:rPr>
            </w:pPr>
            <w:r>
              <w:rPr>
                <w:rFonts w:hint="eastAsia"/>
                <w:sz w:val="21"/>
                <w:szCs w:val="21"/>
              </w:rPr>
              <w:t>general LVLM + High Resolution + grounding</w:t>
            </w:r>
          </w:p>
        </w:tc>
        <w:tc>
          <w:tcPr>
            <w:tcW w:w="954" w:type="pct"/>
            <w:tcBorders>
              <w:top w:val="single" w:color="808080" w:sz="4" w:space="0"/>
              <w:left w:val="single" w:color="808080" w:sz="4" w:space="0"/>
              <w:bottom w:val="single" w:color="808080" w:sz="4" w:space="0"/>
              <w:right w:val="single" w:color="808080" w:sz="4" w:space="0"/>
            </w:tcBorders>
            <w:vAlign w:val="center"/>
          </w:tcPr>
          <w:p w14:paraId="7A944CC1">
            <w:pPr>
              <w:pStyle w:val="52"/>
              <w:spacing w:line="360" w:lineRule="auto"/>
              <w:jc w:val="left"/>
              <w:rPr>
                <w:sz w:val="21"/>
                <w:szCs w:val="21"/>
              </w:rPr>
            </w:pPr>
            <w:r>
              <w:rPr>
                <w:rFonts w:hint="eastAsia"/>
                <w:sz w:val="21"/>
                <w:szCs w:val="21"/>
              </w:rPr>
              <w:t>Two-stage rollout + scale binning normalization</w:t>
            </w:r>
          </w:p>
        </w:tc>
        <w:tc>
          <w:tcPr>
            <w:tcW w:w="1419" w:type="pct"/>
            <w:tcBorders>
              <w:top w:val="single" w:color="808080" w:sz="4" w:space="0"/>
              <w:left w:val="single" w:color="808080" w:sz="4" w:space="0"/>
              <w:bottom w:val="single" w:color="808080" w:sz="4" w:space="0"/>
              <w:right w:val="single" w:color="808080" w:sz="4" w:space="0"/>
            </w:tcBorders>
            <w:vAlign w:val="center"/>
          </w:tcPr>
          <w:p w14:paraId="10453E6C">
            <w:pPr>
              <w:pStyle w:val="52"/>
              <w:spacing w:line="360" w:lineRule="auto"/>
              <w:jc w:val="left"/>
              <w:rPr>
                <w:sz w:val="21"/>
                <w:szCs w:val="21"/>
              </w:rPr>
            </w:pPr>
            <w:r>
              <w:rPr>
                <w:rFonts w:hint="eastAsia"/>
                <w:sz w:val="21"/>
                <w:szCs w:val="21"/>
              </w:rPr>
              <w:t>vs. standard GRPO: V* +2.1, HR-4K +1.2 percentage points</w:t>
            </w:r>
          </w:p>
        </w:tc>
      </w:tr>
      <w:tr w14:paraId="6954CC54">
        <w:tblPrEx>
          <w:tblCellMar>
            <w:top w:w="0" w:type="dxa"/>
            <w:left w:w="108" w:type="dxa"/>
            <w:bottom w:w="0" w:type="dxa"/>
            <w:right w:w="108" w:type="dxa"/>
          </w:tblCellMar>
        </w:tblPrEx>
        <w:trPr>
          <w:jc w:val="center"/>
        </w:trPr>
        <w:tc>
          <w:tcPr>
            <w:tcW w:w="628" w:type="pct"/>
            <w:tcBorders>
              <w:top w:val="single" w:color="808080" w:sz="4" w:space="0"/>
              <w:left w:val="single" w:color="808080" w:sz="4" w:space="0"/>
              <w:bottom w:val="single" w:color="808080" w:sz="4" w:space="0"/>
              <w:right w:val="single" w:color="808080" w:sz="4" w:space="0"/>
            </w:tcBorders>
            <w:vAlign w:val="center"/>
          </w:tcPr>
          <w:p w14:paraId="295C9C27">
            <w:pPr>
              <w:pStyle w:val="52"/>
              <w:spacing w:line="360" w:lineRule="auto"/>
              <w:jc w:val="left"/>
              <w:rPr>
                <w:sz w:val="21"/>
                <w:szCs w:val="21"/>
              </w:rPr>
            </w:pPr>
            <w:r>
              <w:rPr>
                <w:b/>
                <w:sz w:val="21"/>
                <w:szCs w:val="21"/>
              </w:rPr>
              <w:t>GRIT</w:t>
            </w:r>
          </w:p>
        </w:tc>
        <w:tc>
          <w:tcPr>
            <w:tcW w:w="878" w:type="pct"/>
            <w:tcBorders>
              <w:top w:val="single" w:color="808080" w:sz="4" w:space="0"/>
              <w:left w:val="single" w:color="808080" w:sz="4" w:space="0"/>
              <w:bottom w:val="single" w:color="808080" w:sz="4" w:space="0"/>
              <w:right w:val="single" w:color="808080" w:sz="4" w:space="0"/>
            </w:tcBorders>
            <w:vAlign w:val="center"/>
          </w:tcPr>
          <w:p w14:paraId="2FD2443E">
            <w:pPr>
              <w:pStyle w:val="52"/>
              <w:spacing w:line="360" w:lineRule="auto"/>
              <w:jc w:val="left"/>
              <w:rPr>
                <w:sz w:val="21"/>
                <w:szCs w:val="21"/>
              </w:rPr>
            </w:pPr>
            <w:r>
              <w:rPr>
                <w:sz w:val="21"/>
                <w:szCs w:val="21"/>
              </w:rPr>
              <w:t>Qwen2.5-VL-3B / InternVL3-2B</w:t>
            </w:r>
          </w:p>
        </w:tc>
        <w:tc>
          <w:tcPr>
            <w:tcW w:w="1119" w:type="pct"/>
            <w:tcBorders>
              <w:top w:val="single" w:color="808080" w:sz="4" w:space="0"/>
              <w:left w:val="single" w:color="808080" w:sz="4" w:space="0"/>
              <w:bottom w:val="single" w:color="808080" w:sz="4" w:space="0"/>
              <w:right w:val="single" w:color="808080" w:sz="4" w:space="0"/>
            </w:tcBorders>
            <w:vAlign w:val="center"/>
          </w:tcPr>
          <w:p w14:paraId="7EE84E2F">
            <w:pPr>
              <w:pStyle w:val="52"/>
              <w:spacing w:line="360" w:lineRule="auto"/>
              <w:jc w:val="left"/>
              <w:rPr>
                <w:sz w:val="21"/>
                <w:szCs w:val="21"/>
              </w:rPr>
            </w:pPr>
            <w:r>
              <w:rPr>
                <w:rFonts w:hint="eastAsia"/>
                <w:sz w:val="21"/>
                <w:szCs w:val="21"/>
              </w:rPr>
              <w:t>VSR/TallyQA/GQA/MathVista/MME/OVDEval (six data sets, seven test sets)</w:t>
            </w:r>
          </w:p>
        </w:tc>
        <w:tc>
          <w:tcPr>
            <w:tcW w:w="954" w:type="pct"/>
            <w:tcBorders>
              <w:top w:val="single" w:color="808080" w:sz="4" w:space="0"/>
              <w:left w:val="single" w:color="808080" w:sz="4" w:space="0"/>
              <w:bottom w:val="single" w:color="808080" w:sz="4" w:space="0"/>
              <w:right w:val="single" w:color="808080" w:sz="4" w:space="0"/>
            </w:tcBorders>
            <w:vAlign w:val="center"/>
          </w:tcPr>
          <w:p w14:paraId="36AA36D3">
            <w:pPr>
              <w:pStyle w:val="52"/>
              <w:spacing w:line="360" w:lineRule="auto"/>
              <w:jc w:val="left"/>
              <w:rPr>
                <w:sz w:val="21"/>
                <w:szCs w:val="21"/>
              </w:rPr>
            </w:pPr>
            <w:r>
              <w:rPr>
                <w:rFonts w:hint="eastAsia"/>
                <w:sz w:val="21"/>
                <w:szCs w:val="21"/>
              </w:rPr>
              <w:t>bbox coordinates embedded chain-of-thoughts (20 Q&amp;A triples only)</w:t>
            </w:r>
          </w:p>
        </w:tc>
        <w:tc>
          <w:tcPr>
            <w:tcW w:w="1419" w:type="pct"/>
            <w:tcBorders>
              <w:top w:val="single" w:color="808080" w:sz="4" w:space="0"/>
              <w:left w:val="single" w:color="808080" w:sz="4" w:space="0"/>
              <w:bottom w:val="single" w:color="808080" w:sz="4" w:space="0"/>
              <w:right w:val="single" w:color="808080" w:sz="4" w:space="0"/>
            </w:tcBorders>
            <w:vAlign w:val="center"/>
          </w:tcPr>
          <w:p w14:paraId="73882502">
            <w:pPr>
              <w:pStyle w:val="52"/>
              <w:spacing w:line="360" w:lineRule="auto"/>
              <w:jc w:val="left"/>
              <w:rPr>
                <w:sz w:val="21"/>
                <w:szCs w:val="21"/>
              </w:rPr>
            </w:pPr>
            <w:r>
              <w:rPr>
                <w:rFonts w:hint="eastAsia" w:ascii="Times New Roman" w:eastAsia="宋体"/>
                <w:sz w:val="21"/>
                <w:szCs w:val="21"/>
              </w:rPr>
              <w:t>grounded IoU 0.349 → 0.387</w:t>
            </w:r>
          </w:p>
        </w:tc>
      </w:tr>
      <w:tr w14:paraId="54CBE239">
        <w:tblPrEx>
          <w:tblCellMar>
            <w:top w:w="0" w:type="dxa"/>
            <w:left w:w="108" w:type="dxa"/>
            <w:bottom w:w="0" w:type="dxa"/>
            <w:right w:w="108" w:type="dxa"/>
          </w:tblCellMar>
        </w:tblPrEx>
        <w:trPr>
          <w:jc w:val="center"/>
        </w:trPr>
        <w:tc>
          <w:tcPr>
            <w:tcW w:w="628" w:type="pct"/>
            <w:tcBorders>
              <w:top w:val="single" w:color="808080" w:sz="4" w:space="0"/>
              <w:left w:val="single" w:color="808080" w:sz="4" w:space="0"/>
              <w:bottom w:val="single" w:color="808080" w:sz="4" w:space="0"/>
              <w:right w:val="single" w:color="808080" w:sz="4" w:space="0"/>
            </w:tcBorders>
            <w:vAlign w:val="center"/>
          </w:tcPr>
          <w:p w14:paraId="1C6FCF35">
            <w:pPr>
              <w:pStyle w:val="52"/>
              <w:spacing w:line="360" w:lineRule="auto"/>
              <w:jc w:val="left"/>
              <w:rPr>
                <w:sz w:val="21"/>
                <w:szCs w:val="21"/>
              </w:rPr>
            </w:pPr>
            <w:r>
              <w:rPr>
                <w:b/>
                <w:sz w:val="21"/>
                <w:szCs w:val="21"/>
              </w:rPr>
              <w:t>POLIA</w:t>
            </w:r>
          </w:p>
        </w:tc>
        <w:tc>
          <w:tcPr>
            <w:tcW w:w="878" w:type="pct"/>
            <w:tcBorders>
              <w:top w:val="single" w:color="808080" w:sz="4" w:space="0"/>
              <w:left w:val="single" w:color="808080" w:sz="4" w:space="0"/>
              <w:bottom w:val="single" w:color="808080" w:sz="4" w:space="0"/>
              <w:right w:val="single" w:color="808080" w:sz="4" w:space="0"/>
            </w:tcBorders>
            <w:vAlign w:val="center"/>
          </w:tcPr>
          <w:p w14:paraId="1423DCBF">
            <w:pPr>
              <w:pStyle w:val="52"/>
              <w:spacing w:line="360" w:lineRule="auto"/>
              <w:jc w:val="left"/>
              <w:rPr>
                <w:sz w:val="21"/>
                <w:szCs w:val="21"/>
              </w:rPr>
            </w:pPr>
            <w:r>
              <w:rPr>
                <w:sz w:val="21"/>
                <w:szCs w:val="21"/>
              </w:rPr>
              <w:t>Qwen2.5-VL-7B</w:t>
            </w:r>
          </w:p>
        </w:tc>
        <w:tc>
          <w:tcPr>
            <w:tcW w:w="1119" w:type="pct"/>
            <w:tcBorders>
              <w:top w:val="single" w:color="808080" w:sz="4" w:space="0"/>
              <w:left w:val="single" w:color="808080" w:sz="4" w:space="0"/>
              <w:bottom w:val="single" w:color="808080" w:sz="4" w:space="0"/>
              <w:right w:val="single" w:color="808080" w:sz="4" w:space="0"/>
            </w:tcBorders>
            <w:vAlign w:val="center"/>
          </w:tcPr>
          <w:p w14:paraId="124BF19F">
            <w:pPr>
              <w:pStyle w:val="52"/>
              <w:spacing w:line="360" w:lineRule="auto"/>
              <w:jc w:val="left"/>
              <w:rPr>
                <w:sz w:val="21"/>
                <w:szCs w:val="21"/>
              </w:rPr>
            </w:pPr>
            <w:r>
              <w:rPr>
                <w:rFonts w:hint="eastAsia"/>
                <w:sz w:val="21"/>
                <w:szCs w:val="21"/>
              </w:rPr>
              <w:t>7 benchmarks incl. VSR</w:t>
            </w:r>
          </w:p>
        </w:tc>
        <w:tc>
          <w:tcPr>
            <w:tcW w:w="954" w:type="pct"/>
            <w:tcBorders>
              <w:top w:val="single" w:color="808080" w:sz="4" w:space="0"/>
              <w:left w:val="single" w:color="808080" w:sz="4" w:space="0"/>
              <w:bottom w:val="single" w:color="808080" w:sz="4" w:space="0"/>
              <w:right w:val="single" w:color="808080" w:sz="4" w:space="0"/>
            </w:tcBorders>
            <w:vAlign w:val="center"/>
          </w:tcPr>
          <w:p w14:paraId="1AE35001">
            <w:pPr>
              <w:pStyle w:val="52"/>
              <w:spacing w:line="360" w:lineRule="auto"/>
              <w:jc w:val="left"/>
              <w:rPr>
                <w:sz w:val="21"/>
                <w:szCs w:val="21"/>
              </w:rPr>
            </w:pPr>
            <w:r>
              <w:rPr>
                <w:rFonts w:hint="eastAsia"/>
                <w:sz w:val="21"/>
                <w:szCs w:val="21"/>
              </w:rPr>
              <w:t xml:space="preserve">Two-level advantage </w:t>
            </w:r>
            <m:oMath>
              <m:sSub>
                <m:sSubPr>
                  <m:ctrlPr>
                    <w:rPr>
                      <w:rFonts w:hint="default" w:ascii="Cambria Math" w:hAnsi="Cambria Math"/>
                      <w:sz w:val="21"/>
                      <w:szCs w:val="21"/>
                    </w:rPr>
                  </m:ctrlPr>
                </m:sSubPr>
                <m:e>
                  <m:r>
                    <m:rPr/>
                    <w:rPr>
                      <w:rFonts w:hint="default" w:ascii="Cambria Math" w:hAnsi="Cambria Math"/>
                      <w:sz w:val="21"/>
                      <w:szCs w:val="21"/>
                    </w:rPr>
                    <m:t>A</m:t>
                  </m:r>
                  <m:ctrlPr>
                    <w:rPr>
                      <w:rFonts w:ascii="Cambria Math" w:hAnsi="Cambria Math"/>
                      <w:sz w:val="21"/>
                      <w:szCs w:val="21"/>
                    </w:rPr>
                  </m:ctrlPr>
                </m:e>
                <m:sub>
                  <m:r>
                    <m:rPr/>
                    <w:rPr>
                      <w:rFonts w:hint="default" w:ascii="Cambria Math" w:hAnsi="Cambria Math"/>
                      <w:sz w:val="21"/>
                      <w:szCs w:val="21"/>
                    </w:rPr>
                    <m:t>ext</m:t>
                  </m:r>
                  <m:ctrlPr>
                    <w:rPr>
                      <w:rFonts w:ascii="Cambria Math" w:hAnsi="Cambria Math"/>
                      <w:sz w:val="21"/>
                      <w:szCs w:val="21"/>
                    </w:rPr>
                  </m:ctrlPr>
                </m:sub>
              </m:sSub>
              <m:r>
                <m:rPr/>
                <w:rPr>
                  <w:rFonts w:hint="default" w:ascii="Cambria Math" w:hAnsi="Cambria Math"/>
                  <w:sz w:val="21"/>
                  <w:szCs w:val="21"/>
                </w:rPr>
                <m:t>+ω</m:t>
              </m:r>
              <m:sSub>
                <m:sSubPr>
                  <m:ctrlPr>
                    <w:rPr>
                      <w:rFonts w:hint="default" w:ascii="Cambria Math" w:hAnsi="Cambria Math"/>
                      <w:sz w:val="21"/>
                      <w:szCs w:val="21"/>
                    </w:rPr>
                  </m:ctrlPr>
                </m:sSubPr>
                <m:e>
                  <m:r>
                    <m:rPr/>
                    <w:rPr>
                      <w:rFonts w:hint="default" w:ascii="Cambria Math" w:hAnsi="Cambria Math"/>
                      <w:sz w:val="21"/>
                      <w:szCs w:val="21"/>
                    </w:rPr>
                    <m:t>A</m:t>
                  </m:r>
                  <m:ctrlPr>
                    <w:rPr>
                      <w:rFonts w:ascii="Cambria Math" w:hAnsi="Cambria Math"/>
                      <w:sz w:val="21"/>
                      <w:szCs w:val="21"/>
                    </w:rPr>
                  </m:ctrlPr>
                </m:e>
                <m:sub>
                  <m:r>
                    <m:rPr/>
                    <w:rPr>
                      <w:rFonts w:hint="default" w:ascii="Cambria Math" w:hAnsi="Cambria Math"/>
                      <w:sz w:val="21"/>
                      <w:szCs w:val="21"/>
                    </w:rPr>
                    <m:t>int</m:t>
                  </m:r>
                  <m:ctrlPr>
                    <w:rPr>
                      <w:rFonts w:ascii="Cambria Math" w:hAnsi="Cambria Math"/>
                      <w:sz w:val="21"/>
                      <w:szCs w:val="21"/>
                    </w:rPr>
                  </m:ctrlPr>
                </m:sub>
              </m:sSub>
            </m:oMath>
          </w:p>
        </w:tc>
        <w:tc>
          <w:tcPr>
            <w:tcW w:w="1419" w:type="pct"/>
            <w:tcBorders>
              <w:top w:val="single" w:color="808080" w:sz="4" w:space="0"/>
              <w:left w:val="single" w:color="808080" w:sz="4" w:space="0"/>
              <w:bottom w:val="single" w:color="808080" w:sz="4" w:space="0"/>
              <w:right w:val="single" w:color="808080" w:sz="4" w:space="0"/>
            </w:tcBorders>
            <w:vAlign w:val="center"/>
          </w:tcPr>
          <w:p w14:paraId="6B6B06CB">
            <w:pPr>
              <w:pStyle w:val="52"/>
              <w:spacing w:line="360" w:lineRule="auto"/>
              <w:jc w:val="left"/>
              <w:rPr>
                <w:sz w:val="21"/>
                <w:szCs w:val="21"/>
              </w:rPr>
            </w:pPr>
            <w:r>
              <w:rPr>
                <w:rFonts w:hint="eastAsia"/>
                <w:sz w:val="21"/>
                <w:szCs w:val="21"/>
              </w:rPr>
              <w:t>GRPO Baseline 59.0 → 81.3</w:t>
            </w:r>
          </w:p>
        </w:tc>
      </w:tr>
      <w:tr w14:paraId="14F546CD">
        <w:tblPrEx>
          <w:tblCellMar>
            <w:top w:w="0" w:type="dxa"/>
            <w:left w:w="108" w:type="dxa"/>
            <w:bottom w:w="0" w:type="dxa"/>
            <w:right w:w="108" w:type="dxa"/>
          </w:tblCellMar>
        </w:tblPrEx>
        <w:trPr>
          <w:jc w:val="center"/>
        </w:trPr>
        <w:tc>
          <w:tcPr>
            <w:tcW w:w="628" w:type="pct"/>
            <w:tcBorders>
              <w:top w:val="single" w:color="808080" w:sz="4" w:space="0"/>
              <w:left w:val="single" w:color="808080" w:sz="4" w:space="0"/>
              <w:bottom w:val="single" w:color="808080" w:sz="4" w:space="0"/>
              <w:right w:val="single" w:color="808080" w:sz="4" w:space="0"/>
            </w:tcBorders>
            <w:vAlign w:val="center"/>
          </w:tcPr>
          <w:p w14:paraId="0A17BF36">
            <w:pPr>
              <w:pStyle w:val="52"/>
              <w:spacing w:line="360" w:lineRule="auto"/>
              <w:jc w:val="left"/>
              <w:rPr>
                <w:sz w:val="21"/>
                <w:szCs w:val="21"/>
              </w:rPr>
            </w:pPr>
            <w:r>
              <w:rPr>
                <w:b/>
                <w:sz w:val="21"/>
                <w:szCs w:val="21"/>
              </w:rPr>
              <w:t>Self-Questioning</w:t>
            </w:r>
          </w:p>
        </w:tc>
        <w:tc>
          <w:tcPr>
            <w:tcW w:w="878" w:type="pct"/>
            <w:tcBorders>
              <w:top w:val="single" w:color="808080" w:sz="4" w:space="0"/>
              <w:left w:val="single" w:color="808080" w:sz="4" w:space="0"/>
              <w:bottom w:val="single" w:color="808080" w:sz="4" w:space="0"/>
              <w:right w:val="single" w:color="808080" w:sz="4" w:space="0"/>
            </w:tcBorders>
            <w:vAlign w:val="center"/>
          </w:tcPr>
          <w:p w14:paraId="646C83C8">
            <w:pPr>
              <w:pStyle w:val="52"/>
              <w:spacing w:line="360" w:lineRule="auto"/>
              <w:jc w:val="left"/>
              <w:rPr>
                <w:sz w:val="21"/>
                <w:szCs w:val="21"/>
              </w:rPr>
            </w:pPr>
            <w:r>
              <w:rPr>
                <w:sz w:val="21"/>
                <w:szCs w:val="21"/>
              </w:rPr>
              <w:t>Qwen2.5-VL-3B</w:t>
            </w:r>
          </w:p>
        </w:tc>
        <w:tc>
          <w:tcPr>
            <w:tcW w:w="1119" w:type="pct"/>
            <w:tcBorders>
              <w:top w:val="single" w:color="808080" w:sz="4" w:space="0"/>
              <w:left w:val="single" w:color="808080" w:sz="4" w:space="0"/>
              <w:bottom w:val="single" w:color="808080" w:sz="4" w:space="0"/>
              <w:right w:val="single" w:color="808080" w:sz="4" w:space="0"/>
            </w:tcBorders>
            <w:vAlign w:val="center"/>
          </w:tcPr>
          <w:p w14:paraId="0548CF12">
            <w:pPr>
              <w:pStyle w:val="52"/>
              <w:spacing w:line="360" w:lineRule="auto"/>
              <w:jc w:val="left"/>
              <w:rPr>
                <w:sz w:val="21"/>
                <w:szCs w:val="21"/>
              </w:rPr>
            </w:pPr>
            <w:r>
              <w:rPr>
                <w:sz w:val="21"/>
                <w:szCs w:val="21"/>
              </w:rPr>
              <w:t>A-OKVQA</w:t>
            </w:r>
          </w:p>
        </w:tc>
        <w:tc>
          <w:tcPr>
            <w:tcW w:w="954" w:type="pct"/>
            <w:tcBorders>
              <w:top w:val="single" w:color="808080" w:sz="4" w:space="0"/>
              <w:left w:val="single" w:color="808080" w:sz="4" w:space="0"/>
              <w:bottom w:val="single" w:color="808080" w:sz="4" w:space="0"/>
              <w:right w:val="single" w:color="808080" w:sz="4" w:space="0"/>
            </w:tcBorders>
            <w:vAlign w:val="center"/>
          </w:tcPr>
          <w:p w14:paraId="6BBE8853">
            <w:pPr>
              <w:pStyle w:val="52"/>
              <w:spacing w:line="360" w:lineRule="auto"/>
              <w:jc w:val="left"/>
              <w:rPr>
                <w:sz w:val="21"/>
                <w:szCs w:val="21"/>
              </w:rPr>
            </w:pPr>
            <w:r>
              <w:rPr>
                <w:rFonts w:hint="eastAsia"/>
                <w:sz w:val="21"/>
                <w:szCs w:val="21"/>
              </w:rPr>
              <w:t>Sub-question quality deliberately not checked</w:t>
            </w:r>
          </w:p>
        </w:tc>
        <w:tc>
          <w:tcPr>
            <w:tcW w:w="1419" w:type="pct"/>
            <w:tcBorders>
              <w:top w:val="single" w:color="808080" w:sz="4" w:space="0"/>
              <w:left w:val="single" w:color="808080" w:sz="4" w:space="0"/>
              <w:bottom w:val="single" w:color="808080" w:sz="4" w:space="0"/>
              <w:right w:val="single" w:color="808080" w:sz="4" w:space="0"/>
            </w:tcBorders>
            <w:vAlign w:val="center"/>
          </w:tcPr>
          <w:p w14:paraId="353A6813">
            <w:pPr>
              <w:pStyle w:val="52"/>
              <w:spacing w:line="360" w:lineRule="auto"/>
              <w:jc w:val="left"/>
              <w:rPr>
                <w:sz w:val="21"/>
                <w:szCs w:val="21"/>
              </w:rPr>
            </w:pPr>
            <w:r>
              <w:rPr>
                <w:rFonts w:hint="eastAsia"/>
                <w:sz w:val="21"/>
                <w:szCs w:val="21"/>
              </w:rPr>
              <w:t>52.2 (Base 46.8/Standard RL 51.6)</w:t>
            </w:r>
          </w:p>
        </w:tc>
      </w:tr>
      <w:tr w14:paraId="67E6E17C">
        <w:tblPrEx>
          <w:tblCellMar>
            <w:top w:w="0" w:type="dxa"/>
            <w:left w:w="108" w:type="dxa"/>
            <w:bottom w:w="0" w:type="dxa"/>
            <w:right w:w="108" w:type="dxa"/>
          </w:tblCellMar>
        </w:tblPrEx>
        <w:trPr>
          <w:jc w:val="center"/>
        </w:trPr>
        <w:tc>
          <w:tcPr>
            <w:tcW w:w="628" w:type="pct"/>
            <w:tcBorders>
              <w:top w:val="single" w:color="808080" w:sz="4" w:space="0"/>
              <w:left w:val="single" w:color="808080" w:sz="4" w:space="0"/>
              <w:bottom w:val="single" w:color="808080" w:sz="4" w:space="0"/>
              <w:right w:val="single" w:color="808080" w:sz="4" w:space="0"/>
            </w:tcBorders>
            <w:vAlign w:val="center"/>
          </w:tcPr>
          <w:p w14:paraId="0BBC7CB8">
            <w:pPr>
              <w:pStyle w:val="52"/>
              <w:spacing w:line="360" w:lineRule="auto"/>
              <w:jc w:val="left"/>
              <w:rPr>
                <w:sz w:val="21"/>
                <w:szCs w:val="21"/>
              </w:rPr>
            </w:pPr>
            <w:r>
              <w:rPr>
                <w:b/>
                <w:sz w:val="21"/>
                <w:szCs w:val="21"/>
              </w:rPr>
              <w:t>H-GRPO</w:t>
            </w:r>
          </w:p>
        </w:tc>
        <w:tc>
          <w:tcPr>
            <w:tcW w:w="878" w:type="pct"/>
            <w:tcBorders>
              <w:top w:val="single" w:color="808080" w:sz="4" w:space="0"/>
              <w:left w:val="single" w:color="808080" w:sz="4" w:space="0"/>
              <w:bottom w:val="single" w:color="808080" w:sz="4" w:space="0"/>
              <w:right w:val="single" w:color="808080" w:sz="4" w:space="0"/>
            </w:tcBorders>
            <w:vAlign w:val="center"/>
          </w:tcPr>
          <w:p w14:paraId="2757AB9C">
            <w:pPr>
              <w:pStyle w:val="52"/>
              <w:spacing w:line="360" w:lineRule="auto"/>
              <w:jc w:val="left"/>
              <w:rPr>
                <w:sz w:val="21"/>
                <w:szCs w:val="21"/>
              </w:rPr>
            </w:pPr>
            <w:r>
              <w:rPr>
                <w:sz w:val="21"/>
                <w:szCs w:val="21"/>
              </w:rPr>
              <w:t>SmolVLM-2.2B / Qwen2.5-VL-3B</w:t>
            </w:r>
          </w:p>
        </w:tc>
        <w:tc>
          <w:tcPr>
            <w:tcW w:w="1119" w:type="pct"/>
            <w:tcBorders>
              <w:top w:val="single" w:color="808080" w:sz="4" w:space="0"/>
              <w:left w:val="single" w:color="808080" w:sz="4" w:space="0"/>
              <w:bottom w:val="single" w:color="808080" w:sz="4" w:space="0"/>
              <w:right w:val="single" w:color="808080" w:sz="4" w:space="0"/>
            </w:tcBorders>
            <w:vAlign w:val="center"/>
          </w:tcPr>
          <w:p w14:paraId="54689C21">
            <w:pPr>
              <w:pStyle w:val="52"/>
              <w:spacing w:line="360" w:lineRule="auto"/>
              <w:jc w:val="left"/>
              <w:rPr>
                <w:sz w:val="21"/>
                <w:szCs w:val="21"/>
              </w:rPr>
            </w:pPr>
            <w:r>
              <w:rPr>
                <w:rFonts w:hint="eastAsia"/>
                <w:sz w:val="21"/>
                <w:szCs w:val="21"/>
              </w:rPr>
              <w:t>A-OKVQA/Visual7W vs. OOD Benchmark (MMMU/RealWorldQA/RoboSpatial/MMStar)</w:t>
            </w:r>
          </w:p>
        </w:tc>
        <w:tc>
          <w:tcPr>
            <w:tcW w:w="954" w:type="pct"/>
            <w:tcBorders>
              <w:top w:val="single" w:color="808080" w:sz="4" w:space="0"/>
              <w:left w:val="single" w:color="808080" w:sz="4" w:space="0"/>
              <w:bottom w:val="single" w:color="808080" w:sz="4" w:space="0"/>
              <w:right w:val="single" w:color="808080" w:sz="4" w:space="0"/>
            </w:tcBorders>
            <w:vAlign w:val="center"/>
          </w:tcPr>
          <w:p w14:paraId="1108479B">
            <w:pPr>
              <w:pStyle w:val="52"/>
              <w:spacing w:line="360" w:lineRule="auto"/>
              <w:jc w:val="left"/>
              <w:rPr>
                <w:sz w:val="21"/>
                <w:szCs w:val="21"/>
              </w:rPr>
            </w:pPr>
            <w:r>
              <w:rPr>
                <w:rFonts w:hint="eastAsia"/>
                <w:sz w:val="21"/>
                <w:szCs w:val="21"/>
              </w:rPr>
              <w:t>Triple sequence (subquestion/subanswer/evidence box) matching</w:t>
            </w:r>
          </w:p>
        </w:tc>
        <w:tc>
          <w:tcPr>
            <w:tcW w:w="1419" w:type="pct"/>
            <w:tcBorders>
              <w:top w:val="single" w:color="808080" w:sz="4" w:space="0"/>
              <w:left w:val="single" w:color="808080" w:sz="4" w:space="0"/>
              <w:bottom w:val="single" w:color="808080" w:sz="4" w:space="0"/>
              <w:right w:val="single" w:color="808080" w:sz="4" w:space="0"/>
            </w:tcBorders>
            <w:vAlign w:val="center"/>
          </w:tcPr>
          <w:p w14:paraId="7F18B655">
            <w:pPr>
              <w:pStyle w:val="52"/>
              <w:spacing w:line="360" w:lineRule="auto"/>
              <w:jc w:val="left"/>
              <w:rPr>
                <w:sz w:val="21"/>
                <w:szCs w:val="21"/>
              </w:rPr>
            </w:pPr>
            <w:r>
              <w:rPr>
                <w:sz w:val="21"/>
                <w:szCs w:val="21"/>
              </w:rPr>
              <w:t>SmolVLM-2.2B A-OKVQA 73.4%</w:t>
            </w:r>
          </w:p>
        </w:tc>
      </w:tr>
    </w:tbl>
    <w:p w14:paraId="6955F313">
      <w:pPr>
        <w:pStyle w:val="3"/>
        <w:spacing w:line="360" w:lineRule="auto"/>
        <w:jc w:val="both"/>
      </w:pPr>
      <w:r>
        <w:rPr>
          <w:rFonts w:hint="eastAsia"/>
          <w:color w:val="000000"/>
        </w:rPr>
        <w:t>Note: all values in the table are reported by the original papers; 'improvement' and 'exceeds' both refer to absolute percentage points (including SVQA-R1's +30 points); GIoU is the grounded IoU. Because the base models, training data, and evaluation protocols differ across methods, the values cannot be directly compared horizontally (see Section 4.3).</w:t>
      </w:r>
    </w:p>
    <w:p w14:paraId="5E7529BF">
      <w:pPr>
        <w:pStyle w:val="87"/>
        <w:spacing w:line="360" w:lineRule="auto"/>
        <w:jc w:val="both"/>
      </w:pPr>
      <w:r>
        <w:drawing>
          <wp:inline distT="0" distB="0" distL="114300" distR="114300">
            <wp:extent cx="5334000" cy="2858135"/>
            <wp:effectExtent l="0" t="0" r="0" b="8890"/>
            <wp:docPr id="2" name="Picture" descr="图 1：奖励信号设计空间演化示意图（草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图 1：奖励信号设计空间演化示意图（草稿）"/>
                    <pic:cNvPicPr>
                      <a:picLocks noChangeAspect="1" noChangeArrowheads="1"/>
                    </pic:cNvPicPr>
                  </pic:nvPicPr>
                  <pic:blipFill>
                    <a:blip r:embed="rId5"/>
                    <a:stretch>
                      <a:fillRect/>
                    </a:stretch>
                  </pic:blipFill>
                  <pic:spPr>
                    <a:xfrm>
                      <a:off x="0" y="0"/>
                      <a:ext cx="5334000" cy="2858476"/>
                    </a:xfrm>
                    <a:prstGeom prst="rect">
                      <a:avLst/>
                    </a:prstGeom>
                    <a:noFill/>
                    <a:ln w="9525">
                      <a:noFill/>
                    </a:ln>
                  </pic:spPr>
                </pic:pic>
              </a:graphicData>
            </a:graphic>
          </wp:inline>
        </w:drawing>
      </w:r>
    </w:p>
    <w:p w14:paraId="7AF7AAF0">
      <w:pPr>
        <w:pStyle w:val="37"/>
        <w:spacing w:line="360" w:lineRule="auto"/>
        <w:jc w:val="center"/>
        <w:rPr>
          <w:i w:val="0"/>
          <w:iCs/>
          <w:sz w:val="21"/>
          <w:szCs w:val="21"/>
        </w:rPr>
      </w:pPr>
      <w:r>
        <w:rPr>
          <w:rFonts w:hint="eastAsia"/>
          <w:i w:val="0"/>
          <w:iCs/>
          <w:sz w:val="21"/>
          <w:szCs w:val="21"/>
        </w:rPr>
        <w:t>Figure 1: Schematic diagram of the evolution of the reward signal design space</w:t>
      </w:r>
    </w:p>
    <w:bookmarkEnd w:id="5"/>
    <w:bookmarkEnd w:id="9"/>
    <w:p w14:paraId="13C3A140">
      <w:pPr>
        <w:pStyle w:val="4"/>
        <w:spacing w:line="360" w:lineRule="auto"/>
        <w:jc w:val="both"/>
        <w:rPr>
          <w:rFonts w:eastAsia="宋体"/>
        </w:rPr>
      </w:pPr>
      <w:bookmarkStart w:id="10" w:name="discussion"/>
      <w:r>
        <w:rPr>
          <w:rFonts w:ascii="Times New Roman" w:hAnsi="Times New Roman" w:eastAsia="宋体"/>
        </w:rPr>
        <w:t>4. Discussion</w:t>
      </w:r>
    </w:p>
    <w:p w14:paraId="34DC53B1">
      <w:pPr>
        <w:pStyle w:val="5"/>
        <w:spacing w:line="360" w:lineRule="auto"/>
        <w:jc w:val="both"/>
      </w:pPr>
      <w:bookmarkStart w:id="11" w:name="奖励信号连续谱"/>
      <w:r>
        <w:rPr>
          <w:rFonts w:hint="eastAsia" w:eastAsia="宋体"/>
        </w:rPr>
        <w:t>4.1 Continuous Spectrum of Reward Signals</w:t>
      </w:r>
    </w:p>
    <w:p w14:paraId="6CC812F8">
      <w:pPr>
        <w:pStyle w:val="33"/>
        <w:spacing w:line="360" w:lineRule="auto"/>
        <w:ind w:firstLine="480" w:firstLineChars="200"/>
        <w:jc w:val="both"/>
      </w:pPr>
      <w:r>
        <w:rPr>
          <w:rFonts w:hint="eastAsia"/>
          <w:color w:val="000000"/>
        </w:rPr>
        <w:t>The three-way classification in Section 3.4 is convenient for description, but the granularity scale in Table 3 reveals a more essential fact: the three types of methods are not discrete categories but a continuous spectrum within the same reward design space. This judgment is supported mathematically: as stated in Section 2.2, under the token-level policy gradient with a single update, the standard GRPO objective is equivalent to the PRM-aware objective [11], so the result reward is already performing process-level credit assignment implicitly. A continuous hybrid form also appears at the method level: H-GRPO simultaneously contains both result verification and process matching signals, POLIA's external and internal advantages share a single loss function, and SVQA-R1's consistency penalty lies between a verifier and self-supervised alignment. The so-called 'evolution' is not a temporal succession with elimination, but a dimensional expansion of the reward design space: along the inference-expansion dimension it extends from the answer level (CR3) through the structure level (SpatialThinker) to the step level (H-GRPO), and along the visual-anchoring dimension it is refined from the region level (Ground-R1) to the object level (POLIA); the two dimensions are independent and not directly comparable, and each scale is still developing in parallel.</w:t>
      </w:r>
    </w:p>
    <w:bookmarkEnd w:id="11"/>
    <w:p w14:paraId="00A1E46C">
      <w:pPr>
        <w:pStyle w:val="5"/>
        <w:spacing w:line="360" w:lineRule="auto"/>
        <w:jc w:val="both"/>
      </w:pPr>
      <w:bookmarkStart w:id="12" w:name="组合正确性正变得可验证"/>
      <w:r>
        <w:rPr>
          <w:rFonts w:hint="eastAsia" w:eastAsia="宋体"/>
        </w:rPr>
        <w:t>4.2 Compositional correctness is becoming verifiable</w:t>
      </w:r>
    </w:p>
    <w:p w14:paraId="6B036517">
      <w:pPr>
        <w:pStyle w:val="33"/>
        <w:spacing w:line="360" w:lineRule="auto"/>
        <w:ind w:firstLine="480" w:firstLineChars="200"/>
        <w:jc w:val="both"/>
      </w:pPr>
      <w:r>
        <w:rPr>
          <w:rFonts w:hint="eastAsia"/>
          <w:color w:val="000000"/>
        </w:rPr>
        <w:t>The verifier methods in 3.1 are built on the premise that correctness can be defined, and this premise is being reinforced by the way the benchmarks are built. MM-CondChain [21] demonstrates the complete paradigm of programmatic verification of the correctness of compositional reasoning: multi-layered compositional conditions are constructed and mechanically verified using an executable program; its 975 evaluation samples (each containing a True-path/False-path pair) are generated by a programmatic pipeline and mechanically verified, the scores are all reproducible, and the strongest model scores only 53.33 points (Path F1), indicating that verifiable evaluation of deep compositional reasoning is not only possible, but that the current model is far from saturated. However, the consistency of the logic layer is verified programmatically, and the perceived facts in the natural image domain still rely on MLLM extraction; when the perception ability of MLLM is insufficient, the extracted "visual facts" themselves carry noise, and the verifier with it as input will only amplify the noise. This precisely delineates the applicable radius of the verifiable reward: when correctness can be decomposed into discrete logical structures, the reward can be fully regularized; when binding relies on open perception judgments, it can only return to manual labeling or self-supervised approximations.</w:t>
      </w:r>
    </w:p>
    <w:bookmarkEnd w:id="12"/>
    <w:p w14:paraId="4052C8E2">
      <w:pPr>
        <w:pStyle w:val="5"/>
        <w:spacing w:line="360" w:lineRule="auto"/>
        <w:jc w:val="both"/>
      </w:pPr>
      <w:bookmarkStart w:id="13" w:name="基准碎片化与-swap-试金石"/>
      <w:r>
        <w:rPr>
          <w:rFonts w:hint="eastAsia" w:eastAsia="宋体"/>
        </w:rPr>
        <w:t>4.3 Benchmark Fragmentation and Swap Touchstone</w:t>
      </w:r>
    </w:p>
    <w:p w14:paraId="69BD97E3">
      <w:pPr>
        <w:pStyle w:val="33"/>
        <w:spacing w:line="360" w:lineRule="auto"/>
        <w:ind w:firstLine="480" w:firstLineChars="200"/>
        <w:jc w:val="both"/>
      </w:pPr>
      <w:r>
        <w:rPr>
          <w:rFonts w:hint="eastAsia"/>
          <w:color w:val="000000"/>
        </w:rPr>
        <w:t>The three types of methods are evaluated separately: CR³ reports MMVP, Winoground, Cola, SpatialThinker spanning 14 benchmarks, SVQA-R1 focuses Q-Spatial++, Ground-R1 is validated on general/high resolution and grounding benchmarks, POLIA is validated on 7 benchmarks such as VSR, H-GRPO relies on A-OKVQA/Visual7W and OOD benchmarks, and the results of any two method papers are difficult to directly compare horizontally. The existing consensus points to a subtask that can serve as a unifying touchstone: SugarCrepe's Swap, which exchanges two concepts of the same category without introducing a new one, is the purest binding test [3]. Swap does not rely on scene-graph, is highly discriminative, and has a simple training interface with RL (rules can be determined). Therefore, it is recommended to directly use the official Swap subset of SugarCrepe as a unified additional benchmark.</w:t>
      </w:r>
    </w:p>
    <w:bookmarkEnd w:id="13"/>
    <w:p w14:paraId="16396216">
      <w:pPr>
        <w:pStyle w:val="5"/>
        <w:spacing w:line="360" w:lineRule="auto"/>
        <w:jc w:val="both"/>
      </w:pPr>
      <w:bookmarkStart w:id="14" w:name="开放问题"/>
      <w:r>
        <w:rPr>
          <w:rFonts w:eastAsia="宋体"/>
        </w:rPr>
        <w:t>4.4 Open Questions</w:t>
      </w:r>
    </w:p>
    <w:p w14:paraId="649E9299">
      <w:pPr>
        <w:pStyle w:val="33"/>
        <w:spacing w:line="360" w:lineRule="auto"/>
        <w:ind w:firstLine="480" w:firstLineChars="200"/>
        <w:jc w:val="both"/>
      </w:pPr>
      <w:r>
        <w:rPr>
          <w:rFonts w:hint="eastAsia"/>
          <w:color w:val="000000"/>
        </w:rPr>
        <w:t>Three open questions run through the text. First, the text bias is still not cured: H-GRPO's motivation is precisely the shortcut of "ignoring the image can be scored only by the text" [20], and the result verification method cannot distinguish between "really looked at the image" and "just guessed correctly". Although the visual alignment reward touches this point, its evaluation is mostly on the general VQA, and the coverage of the explicit compositional benchmark is still insufficient. Second, there is a structural conflict between "no unique answer" and "verifiable reward" for compositional reasoning: the verifier can only verify the structured side, which limits the upper limit of the three types of methods at the same time. Third, external labeling costs: SpatialThinker relies on STVQA-7K synthesized based on Visual Genome manual scene-graph labeling. POLIA requires dataset object labeling. Ground-R1 proves the feasibility of box-free supervision, but the cost is that "looking at the right place" cannot be directly verified.</w:t>
      </w:r>
    </w:p>
    <w:bookmarkEnd w:id="10"/>
    <w:bookmarkEnd w:id="14"/>
    <w:p w14:paraId="643A9F6F">
      <w:pPr>
        <w:pStyle w:val="4"/>
        <w:spacing w:line="360" w:lineRule="auto"/>
        <w:jc w:val="both"/>
        <w:rPr>
          <w:rFonts w:eastAsia="宋体"/>
        </w:rPr>
      </w:pPr>
      <w:bookmarkStart w:id="15" w:name="future-directions"/>
      <w:r>
        <w:rPr>
          <w:rFonts w:hint="eastAsia" w:ascii="Times New Roman" w:hAnsi="Times New Roman" w:eastAsia="宋体"/>
        </w:rPr>
        <w:t>5. Future directions</w:t>
      </w:r>
    </w:p>
    <w:p w14:paraId="7BD77729">
      <w:pPr>
        <w:pStyle w:val="33"/>
        <w:spacing w:line="360" w:lineRule="auto"/>
        <w:ind w:firstLine="480" w:firstLineChars="200"/>
        <w:jc w:val="both"/>
      </w:pPr>
      <w:r>
        <w:rPr>
          <w:rFonts w:hint="eastAsia"/>
          <w:color w:val="000000"/>
        </w:rPr>
        <w:t>Decomposed verifiable rewards. AlphaGRPO's DVReward decomposes complex requests into atomized verifiable sub-problems, which are then evaluated item by item by a generic MLLM [22]. The direct inspiration of this idea for compositional reasoning is to decompose the compositional prompts into verifiable sub-rewards (object existence, attribute matching, relationship establishment), so that the rewards can be judged item by item along the compositional structure. At present, the triple matching of H-GRPO has a prototype, but the sub-reward still relies on the reference chain rather than procedural judgment; the text fact checking has a precedent (FactScore atomic fact decomposition [23]), and the migration to the visual binding sub-reward is a natural extension.</w:t>
      </w:r>
    </w:p>
    <w:p w14:paraId="27182568">
      <w:pPr>
        <w:pStyle w:val="3"/>
        <w:spacing w:line="360" w:lineRule="auto"/>
        <w:ind w:firstLine="480" w:firstLineChars="200"/>
        <w:jc w:val="both"/>
      </w:pPr>
      <w:r>
        <w:rPr>
          <w:rFonts w:hint="eastAsia"/>
          <w:color w:val="000000"/>
        </w:rPr>
        <w:t>A unified reward framework. Section 3.4 shows that the three types of signals have penetrated each other at the methodological level; the next more systematic direction is explicit weighted fusion, that is, result verification ensures correctness, visual alignment constraint evidence, and process signals shape the inference structure, and multimodal PRM [12] is used as a unified carrier. However, it is prudent to note that multimodal PRM is based on mathematical reasoning (5 of the 7 benchmarks are mathematical), and whether it has the perception and alignment capabilities required to judge the correctness of compositional binding has yet to be verified; therefore, "incorporating compositional binding into the step definition of multimodal PRM" itself is a premise that has yet to be verified, rather than an off-the-shelf solution.</w:t>
      </w:r>
    </w:p>
    <w:p w14:paraId="5DFBE44A">
      <w:pPr>
        <w:pStyle w:val="3"/>
        <w:spacing w:line="360" w:lineRule="auto"/>
        <w:ind w:firstLine="480" w:firstLineChars="200"/>
        <w:jc w:val="both"/>
      </w:pPr>
      <w:r>
        <w:rPr>
          <w:rFonts w:hint="eastAsia"/>
          <w:color w:val="000000"/>
        </w:rPr>
        <w:t>Standardization of evaluation protocols. Undertake 4.3, converge to Swap-style pure binding testing: unify Swap evaluation protocol, share training/test division, so that different reward designs can be compared on the same touchstone; MM-CondChain's programmatic verification paradigm can also provide infrastructure for standardization [21].</w:t>
      </w:r>
    </w:p>
    <w:bookmarkEnd w:id="15"/>
    <w:p w14:paraId="45A5E57B">
      <w:pPr>
        <w:pStyle w:val="4"/>
        <w:spacing w:line="360" w:lineRule="auto"/>
        <w:jc w:val="both"/>
        <w:rPr>
          <w:rFonts w:eastAsia="宋体"/>
        </w:rPr>
      </w:pPr>
      <w:bookmarkStart w:id="16" w:name="conclusion"/>
      <w:r>
        <w:rPr>
          <w:rFonts w:ascii="Times New Roman" w:hAnsi="Times New Roman" w:eastAsia="宋体"/>
        </w:rPr>
        <w:t>6. Conclusion</w:t>
      </w:r>
    </w:p>
    <w:p w14:paraId="6DEC7E82">
      <w:pPr>
        <w:pStyle w:val="33"/>
        <w:spacing w:line="360" w:lineRule="auto"/>
        <w:ind w:firstLine="480" w:firstLineChars="200"/>
        <w:jc w:val="both"/>
      </w:pPr>
      <w:r>
        <w:rPr>
          <w:rFonts w:hint="eastAsia"/>
          <w:color w:val="000000"/>
        </w:rPr>
        <w:t>Taking the reward signal as the main line, this paper reviews the representative work of enhancing MLLM compositional reasoning with reinforcement learning from 2024 to 2026. These efforts revolve around the common problem of "how to define an effective reward signal for compositional reasoning", forming three types of complementary exploration in granularity dimension: result verification, visual alignment, and inference process optimization, which together constitute a continuous spectrum in the reward signal design space (inference expansion: answer-level → structural level → step level; visual anchoring: regional-level → object level). The deep driving force driving the expansion of this space is the constraint that "correctness must be definable". Explicit visual semantic rewards for compositional binding are still the most promising and most urgent research gap to be filled. Existing work (POLIA) has been advanced to the object level, and the extension to attribute-relational compositional binding has not yet been systematically explored. As the combined correctness assessment moves toward programmatic verification, the reward signal design is expected to gain a more solid foundation, but the verification boundary and benchmark fragmentation problems of perceived facts determine that this expansion will still be a gradual rather than a jumping process.</w:t>
      </w:r>
    </w:p>
    <w:bookmarkEnd w:id="16"/>
    <w:p w14:paraId="1083749F">
      <w:pPr>
        <w:pStyle w:val="4"/>
        <w:spacing w:line="360" w:lineRule="auto"/>
        <w:jc w:val="both"/>
        <w:rPr>
          <w:rFonts w:hint="eastAsia" w:ascii="Times New Roman" w:hAnsi="Times New Roman" w:eastAsia="宋体"/>
        </w:rPr>
      </w:pPr>
    </w:p>
    <w:p w14:paraId="04D96399">
      <w:pPr>
        <w:pStyle w:val="4"/>
        <w:spacing w:line="360" w:lineRule="auto"/>
        <w:jc w:val="both"/>
      </w:pPr>
      <w:r>
        <w:rPr>
          <w:rFonts w:hint="eastAsia" w:ascii="Times New Roman" w:hAnsi="Times New Roman" w:eastAsia="宋体"/>
        </w:rPr>
        <w:t>References</w:t>
      </w:r>
    </w:p>
    <w:p w14:paraId="0355E3F7">
      <w:pPr>
        <w:pStyle w:val="33"/>
        <w:spacing w:before="0" w:after="60" w:line="360" w:lineRule="auto"/>
        <w:ind w:left="480" w:hanging="480" w:hangingChars="200"/>
        <w:jc w:val="both"/>
      </w:pPr>
      <w:r>
        <w:t>[1] Zixian Ma, Jerry Hong, Mustafa Omer Gul, Mona Gandhi, Irena Gao, Ranjay Krishna. CREPE: Can Vision-Language Foundation Models Reason Compositionally? arXiv:2212.07796, CVPR 2023.</w:t>
      </w:r>
    </w:p>
    <w:p w14:paraId="496EABE6">
      <w:pPr>
        <w:pStyle w:val="3"/>
        <w:spacing w:before="0" w:after="60" w:line="360" w:lineRule="auto"/>
        <w:ind w:left="480" w:hanging="480" w:hangingChars="200"/>
        <w:jc w:val="both"/>
      </w:pPr>
      <w:r>
        <w:t>[2] Mert Yuksekgonul, Federico Bianchi, Pratyusha Kalluri, Dan Jurafsky, James Zou. When and Why Vision-Language Models Behave Like Bags-of-Words, and What to Do About It? arXiv:2210.01936, ICLR 2023.</w:t>
      </w:r>
    </w:p>
    <w:p w14:paraId="1AB43532">
      <w:pPr>
        <w:pStyle w:val="3"/>
        <w:spacing w:before="0" w:after="60" w:line="360" w:lineRule="auto"/>
        <w:ind w:left="480" w:hanging="480" w:hangingChars="200"/>
        <w:jc w:val="both"/>
      </w:pPr>
      <w:r>
        <w:t>[3] Cheng-Yu Hsieh, Jieyu Zhang, Zixian Ma, Aniruddha Kembhavi, Ranjay Krishna. SugarCrepe: Fixing Hackable Benchmarks for Vision-Language Compositionality. arXiv:2306.14610, NeurIPS 2023.</w:t>
      </w:r>
    </w:p>
    <w:p w14:paraId="0934EC66">
      <w:pPr>
        <w:pStyle w:val="3"/>
        <w:spacing w:before="0" w:after="60" w:line="360" w:lineRule="auto"/>
        <w:ind w:left="480" w:hanging="480" w:hangingChars="200"/>
        <w:jc w:val="both"/>
      </w:pPr>
      <w:r>
        <w:t>[4] Shun Qian, Bingquan Liu, Chengjie Sun, Peijin Xie, Zhen Xu, Baoxun Wang. CR³: Boosting Compositional Reasoning in MLLMs through Rule-based Reinforcement Learning. AAAI 2026, doi:10.1609/aaai.v40i29.39680.</w:t>
      </w:r>
    </w:p>
    <w:p w14:paraId="19C3F264">
      <w:pPr>
        <w:pStyle w:val="3"/>
        <w:spacing w:before="0" w:after="60" w:line="360" w:lineRule="auto"/>
        <w:ind w:left="480" w:hanging="480" w:hangingChars="200"/>
        <w:jc w:val="both"/>
      </w:pPr>
      <w:r>
        <w:t>[5] Letitia Parcalabescu, Michele Cafagna, Lilitta Muradjan, Anette Frank, Iacer Calixto, Albert Gatt. VALSE: A Task-Independent Benchmark for Vision and Language Models Centered on Linguistic Phenomena. arXiv:2112.07566, ACL 2022.</w:t>
      </w:r>
    </w:p>
    <w:p w14:paraId="77D05269">
      <w:pPr>
        <w:pStyle w:val="3"/>
        <w:spacing w:before="0" w:after="60" w:line="360" w:lineRule="auto"/>
        <w:ind w:left="480" w:hanging="480" w:hangingChars="200"/>
        <w:jc w:val="both"/>
      </w:pPr>
      <w:r>
        <w:t>[6] Zhiqing Sun, Sheng Shen, Shengcao Cao, Haotian Liu, Chunyuan Li, Yikang Shen, Chuang Gan, Liang-Yan Gui, Yu-Xiong Wang, Yiming Yang, Kurt Keutzer, Trevor Darrell. Aligning Large Multimodal Models with Factually Augmented RLHF (LLaVA-RLHF). arXiv:2309.14525.</w:t>
      </w:r>
    </w:p>
    <w:p w14:paraId="086496A5">
      <w:pPr>
        <w:pStyle w:val="3"/>
        <w:spacing w:before="0" w:after="60" w:line="360" w:lineRule="auto"/>
        <w:ind w:left="480" w:hanging="480" w:hangingChars="200"/>
        <w:jc w:val="both"/>
      </w:pPr>
      <w:r>
        <w:t>[7] Tianyu Yu, Yuan Yao, Haoye Zhang, Taiwen He, Yifeng Han, Ganqu Cui, Jinyi Hu, Zhiyuan Liu, Hai-Tao Zheng, Maosong Sun, Tat-Seng Chua. RLHF-V: Towards Trustworthy MLLMs via Behavior Alignment from Fine-grained Correctional Human Feedback. arXiv:2312.00849, CVPR 2024.</w:t>
      </w:r>
    </w:p>
    <w:p w14:paraId="57814A7F">
      <w:pPr>
        <w:pStyle w:val="3"/>
        <w:spacing w:before="0" w:after="60" w:line="360" w:lineRule="auto"/>
        <w:ind w:left="480" w:hanging="480" w:hangingChars="200"/>
        <w:jc w:val="both"/>
      </w:pPr>
      <w:r>
        <w:t>[8] Lei Li, Zhihui Xie, Mukai Li, Shunian Chen, Peiyi Wang, Liang Chen, Yazheng Yang, Benyou Wang, Lingpeng Kong, Qi Liu. VLFeedback: A Large-Scale AI Feedback Dataset for Large Vision-Language Models Alignment (Silkie). arXiv:2410.09421, EMNLP 2024.</w:t>
      </w:r>
    </w:p>
    <w:p w14:paraId="2D3D9860">
      <w:pPr>
        <w:pStyle w:val="3"/>
        <w:spacing w:before="0" w:after="60" w:line="360" w:lineRule="auto"/>
        <w:ind w:left="480" w:hanging="480" w:hangingChars="200"/>
        <w:jc w:val="both"/>
      </w:pPr>
      <w:r>
        <w:t>[9] Zhihong Shao, Peiyi Wang, Qihao Zhu, Runxin Xu, Junxiao Song, Mingchuan Zhang, Y.K. Li, Y. Wu, Daya Guo. DeepSeekMath: Pushing the Limits of Mathematical Reasoning in Open Language Models. arXiv:2402.03300.</w:t>
      </w:r>
    </w:p>
    <w:p w14:paraId="08A00EC9">
      <w:pPr>
        <w:pStyle w:val="3"/>
        <w:spacing w:before="0" w:after="60" w:line="360" w:lineRule="auto"/>
        <w:ind w:left="480" w:hanging="480" w:hangingChars="200"/>
        <w:jc w:val="both"/>
      </w:pPr>
      <w:r>
        <w:rPr>
          <w:rFonts w:ascii="Times New Roman" w:eastAsia="宋体"/>
          <w:color w:val="000000"/>
        </w:rPr>
        <w:t>[10] Rafael Rafailov, Archit Sharma, Eric Mitchell, Stefano Ermon, Christopher D. Manning, Chelsea Finn. Direct Preference Optimization: Your Language Model is Secretly a Reward Model. arXiv:2305.18290, NeurIPS 2023.</w:t>
      </w:r>
    </w:p>
    <w:p w14:paraId="7E296736">
      <w:pPr>
        <w:pStyle w:val="3"/>
        <w:spacing w:before="0" w:after="60" w:line="360" w:lineRule="auto"/>
        <w:ind w:left="480" w:hanging="480" w:hangingChars="200"/>
        <w:jc w:val="both"/>
      </w:pPr>
      <w:r>
        <w:t>[11] Michael Sullivan, Alexander Koller. GRPO is Secretly a Process Reward Model. arXiv:2509.21154, 2025.</w:t>
      </w:r>
    </w:p>
    <w:p w14:paraId="2689F90A">
      <w:pPr>
        <w:pStyle w:val="3"/>
        <w:spacing w:before="0" w:after="60" w:line="360" w:lineRule="auto"/>
        <w:ind w:left="480" w:hanging="480" w:hangingChars="200"/>
        <w:jc w:val="both"/>
      </w:pPr>
      <w:r>
        <w:t>[12] Weiyun Wang, Zhangwei Gao, Lianjie Chen, Zhe Chen, Jinguo Zhu, Xiangyu Zhao, Yangzhou Liu, Yue Cao, Shenglong Ye, Xizhou Zhu, Lewei Lu, Haodong Duan, Yu Qiao, Jifeng Dai, Wenhai Wang. VisualPRM: An Effective Process Reward Model for Multimodal Reasoning. arXiv:2503.10291, 2025.</w:t>
      </w:r>
    </w:p>
    <w:p w14:paraId="6A64F585">
      <w:pPr>
        <w:pStyle w:val="3"/>
        <w:spacing w:before="0" w:after="60" w:line="360" w:lineRule="auto"/>
        <w:ind w:left="480" w:hanging="480" w:hangingChars="200"/>
        <w:jc w:val="both"/>
      </w:pPr>
      <w:r>
        <w:t>[13] Hunar Batra, Haoqin Tu, Hardy Chen, Yuanze Lin, Cihang Xie, Ronald Clark. SpatialThinker: Reinforcing Scene Graph-Grounded Spatial Reasoning via Dense Rewards. arXiv:2511.07403, NeurIPS 2025 Workshops.</w:t>
      </w:r>
    </w:p>
    <w:p w14:paraId="40D48830">
      <w:pPr>
        <w:pStyle w:val="3"/>
        <w:spacing w:before="0" w:after="60" w:line="360" w:lineRule="auto"/>
        <w:ind w:left="480" w:hanging="480" w:hangingChars="200"/>
        <w:jc w:val="both"/>
      </w:pPr>
      <w:r>
        <w:t>[14] Peiyao Wang, Haibin Ling. SVQA-R1: Reinforcing Spatial Reasoning in MLLMs via View-Consistent Reward Optimization. arXiv:2506.01371, ICLR 2026 Workshop.</w:t>
      </w:r>
    </w:p>
    <w:p w14:paraId="0D9B2E64">
      <w:pPr>
        <w:pStyle w:val="3"/>
        <w:spacing w:before="0" w:after="60" w:line="360" w:lineRule="auto"/>
        <w:ind w:left="480" w:hanging="480" w:hangingChars="200"/>
        <w:jc w:val="both"/>
      </w:pPr>
      <w:r>
        <w:t>[15] Meng Cao, Haoze Zhao, Can Zhang, Xiaojun Chang, Ian Reid, Xiaodan Liang. Ground-R1: Thinking with Images via Scale Relative Policy Optimization. arXiv:2505.20272 (v3), 2026.</w:t>
      </w:r>
    </w:p>
    <w:p w14:paraId="7CA71CCF">
      <w:pPr>
        <w:pStyle w:val="3"/>
        <w:spacing w:before="0" w:after="60" w:line="360" w:lineRule="auto"/>
        <w:ind w:left="480" w:hanging="480" w:hangingChars="200"/>
        <w:jc w:val="both"/>
      </w:pPr>
      <w:r>
        <w:t>[16] Yue Fan, Xuehai He, Diji Yang, Kaizhi Zheng, Ching-Chen Kuo, Yuting Zheng, Sravana Jyothi Narayanaraju, Xinze Guan, Xin Eric Wang. GRIT: Teaching MLLMs to Think with Images. arXiv:2505.15879, NeurIPS 2025.</w:t>
      </w:r>
    </w:p>
    <w:p w14:paraId="5292B61F">
      <w:pPr>
        <w:pStyle w:val="3"/>
        <w:spacing w:before="0" w:after="60" w:line="360" w:lineRule="auto"/>
        <w:ind w:left="480" w:hanging="480" w:hangingChars="200"/>
        <w:jc w:val="both"/>
      </w:pPr>
      <w:r>
        <w:t>[17] Yiran Zeng, Da Chen, Hangyu Mao, Yuanxing Zhang, Pengfei Wan, Mengchen Zhao. POLIA: Policy Optimization with Visual-Object-Level Intrinsic Advantage for Multimodal Reasoning. ICML 2026.</w:t>
      </w:r>
    </w:p>
    <w:p w14:paraId="137B30CB">
      <w:pPr>
        <w:pStyle w:val="3"/>
        <w:spacing w:before="0" w:after="60" w:line="360" w:lineRule="auto"/>
        <w:ind w:left="480" w:hanging="480" w:hangingChars="200"/>
        <w:jc w:val="both"/>
      </w:pPr>
      <w:r>
        <w:rPr>
          <w:rFonts w:ascii="Times New Roman" w:eastAsia="宋体"/>
          <w:color w:val="000000"/>
        </w:rPr>
        <w:t>[18] Siqu Ou, Tianrui Wan, Zhiyuan Zhao, Junyu Gao, Xuelong Li. Do MLLMs Really See It: Reinforcing Visual Attention in Multimodal LLMs (SAYO). arXiv:2602.08241, 2026.</w:t>
      </w:r>
    </w:p>
    <w:p w14:paraId="0557FA7E">
      <w:pPr>
        <w:pStyle w:val="3"/>
        <w:spacing w:before="0" w:after="60" w:line="360" w:lineRule="auto"/>
        <w:ind w:left="480" w:hanging="480" w:hangingChars="200"/>
        <w:jc w:val="both"/>
      </w:pPr>
      <w:r>
        <w:rPr>
          <w:rFonts w:ascii="Times New Roman" w:eastAsia="宋体"/>
          <w:color w:val="000000"/>
        </w:rPr>
        <w:t>[19] Saraswathy Amjith. Self-Questioning Vision-Language Models: Reinforcement Learning for Compositional Visual Reasoning. arXiv:2606.15651, 2026.</w:t>
      </w:r>
    </w:p>
    <w:p w14:paraId="54C247AF">
      <w:pPr>
        <w:pStyle w:val="3"/>
        <w:spacing w:before="0" w:after="60" w:line="360" w:lineRule="auto"/>
        <w:ind w:left="480" w:hanging="480" w:hangingChars="200"/>
        <w:jc w:val="both"/>
      </w:pPr>
      <w:r>
        <w:rPr>
          <w:rFonts w:ascii="Times New Roman" w:eastAsia="宋体"/>
          <w:color w:val="000000"/>
        </w:rPr>
        <w:t>[20] Eric Peh, Debaditya Roy, Basura Fernando. H-GRPO: Permutation-Invariant Reinforcement Learning for Grounded Visual Reasoning. arXiv:2606.29915, 2026.</w:t>
      </w:r>
    </w:p>
    <w:p w14:paraId="79348E29">
      <w:pPr>
        <w:pStyle w:val="3"/>
        <w:spacing w:before="0" w:after="60" w:line="360" w:lineRule="auto"/>
        <w:ind w:left="480" w:hanging="480" w:hangingChars="200"/>
        <w:jc w:val="both"/>
      </w:pPr>
      <w:r>
        <w:rPr>
          <w:rFonts w:ascii="Times New Roman" w:eastAsia="宋体"/>
          <w:color w:val="000000"/>
        </w:rPr>
        <w:t>[21] Haozhan Shen, Shilin Yan, Hongwei Xue, Shuaiqi Lu, Xiaojun Tang, Guannan Zhang, Tiancheng Zhao, Jianwei Yin. MM-CondChain: A Programmatically Verified Benchmark for Visually Grounded Deep Compositional Reasoning. arXiv:2603.12266, 2026.</w:t>
      </w:r>
    </w:p>
    <w:p w14:paraId="072F7E9A">
      <w:pPr>
        <w:pStyle w:val="3"/>
        <w:spacing w:before="0" w:after="60" w:line="360" w:lineRule="auto"/>
        <w:ind w:left="480" w:hanging="480" w:hangingChars="200"/>
        <w:jc w:val="both"/>
      </w:pPr>
      <w:r>
        <w:rPr>
          <w:rFonts w:ascii="Times New Roman" w:eastAsia="宋体"/>
          <w:color w:val="000000"/>
        </w:rPr>
        <w:t>[22] Runhui Huang, Jie Wu, Rui Yang, Zhe Liu, Hengshuang Zhao. AlphaGRPO: Unlocking Self-Reflective Multimodal Generation in Unified Multimodal Models via Decompositional Verifiable Reward. arXiv:2605.12495, ICML 2026.</w:t>
      </w:r>
    </w:p>
    <w:p w14:paraId="2A31424B">
      <w:pPr>
        <w:pStyle w:val="3"/>
        <w:spacing w:before="0" w:after="60" w:line="360" w:lineRule="auto"/>
        <w:ind w:left="480" w:hanging="480" w:hangingChars="200"/>
        <w:jc w:val="both"/>
      </w:pPr>
      <w:r>
        <w:rPr>
          <w:rFonts w:ascii="Times New Roman" w:eastAsia="宋体"/>
          <w:color w:val="000000"/>
        </w:rPr>
        <w:t>[23] Sewon Min, Kalpesh Krishna, Xinxi Lyu, Mike Lewis, Wen-tau Yih, Pang Wei Koh, Mohit Iyyer, Luke Zettlemoyer, Hannaneh Hajishirzi. FActScore: Fine-grained Atomic Evaluation of Factual Precision in Long Form Text Generation. arXiv:2305.14251, EMNLP 2023.</w:t>
      </w:r>
    </w:p>
    <w:sectPr>
      <w:footnotePr>
        <w:numRestart w:val="eachSect"/>
      </w:footnote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NotDisplayPageBoundaries w:val="1"/>
  <w:embedSystemFonts/>
  <w:bordersDoNotSurroundHeader w:val="0"/>
  <w:bordersDoNotSurroundFooter w:val="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9C6"/>
    <w:rsid w:val="001135D3"/>
    <w:rsid w:val="003279C6"/>
    <w:rsid w:val="00422193"/>
    <w:rsid w:val="005328BC"/>
    <w:rsid w:val="00A06B09"/>
    <w:rsid w:val="00A54951"/>
    <w:rsid w:val="00B83B9A"/>
    <w:rsid w:val="00EA1D72"/>
    <w:rsid w:val="051C39E9"/>
    <w:rsid w:val="05C313AC"/>
    <w:rsid w:val="07F27D26"/>
    <w:rsid w:val="0B963653"/>
    <w:rsid w:val="0E4F1A2E"/>
    <w:rsid w:val="113732CC"/>
    <w:rsid w:val="16DA2B7A"/>
    <w:rsid w:val="1AEF1EA3"/>
    <w:rsid w:val="23B819CC"/>
    <w:rsid w:val="285F4B0C"/>
    <w:rsid w:val="2B3B6E60"/>
    <w:rsid w:val="2FBA37D4"/>
    <w:rsid w:val="36213401"/>
    <w:rsid w:val="42B90F27"/>
    <w:rsid w:val="484B750C"/>
    <w:rsid w:val="4C802BEA"/>
    <w:rsid w:val="55FD0C16"/>
    <w:rsid w:val="561072C2"/>
    <w:rsid w:val="58DE2AF2"/>
    <w:rsid w:val="59070080"/>
    <w:rsid w:val="5C092CAE"/>
    <w:rsid w:val="5CAD44AB"/>
    <w:rsid w:val="5CF40AB7"/>
    <w:rsid w:val="5F015635"/>
    <w:rsid w:val="604A2DC8"/>
    <w:rsid w:val="60B66CA1"/>
    <w:rsid w:val="624C13D9"/>
    <w:rsid w:val="64A86918"/>
    <w:rsid w:val="656658CC"/>
    <w:rsid w:val="6B3709F5"/>
    <w:rsid w:val="6E396833"/>
    <w:rsid w:val="6F14059B"/>
    <w:rsid w:val="72D40B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eastAsia="宋体" w:cstheme="minorBidi"/>
      <w:color w:val="000000"/>
      <w:sz w:val="24"/>
      <w:szCs w:val="24"/>
      <w:lang w:val="en-US" w:eastAsia="zh-CN" w:bidi="ar-SA"/>
    </w:rPr>
  </w:style>
  <w:style w:type="paragraph" w:styleId="2">
    <w:name w:val="heading 1"/>
    <w:basedOn w:val="1"/>
    <w:next w:val="3"/>
    <w:link w:val="77"/>
    <w:qFormat/>
    <w:uiPriority w:val="9"/>
    <w:pPr>
      <w:keepNext/>
      <w:keepLines/>
      <w:spacing w:before="360" w:after="80"/>
      <w:outlineLvl w:val="0"/>
    </w:pPr>
    <w:rPr>
      <w:rFonts w:asciiTheme="majorHAnsi" w:hAnsiTheme="majorHAnsi" w:eastAsiaTheme="majorEastAsia" w:cstheme="majorBidi"/>
      <w:b/>
      <w:sz w:val="40"/>
      <w:szCs w:val="40"/>
    </w:rPr>
  </w:style>
  <w:style w:type="paragraph" w:styleId="4">
    <w:name w:val="heading 2"/>
    <w:basedOn w:val="1"/>
    <w:next w:val="3"/>
    <w:link w:val="83"/>
    <w:semiHidden/>
    <w:unhideWhenUsed/>
    <w:qFormat/>
    <w:uiPriority w:val="9"/>
    <w:pPr>
      <w:keepNext/>
      <w:keepLines/>
      <w:spacing w:before="160" w:after="80"/>
      <w:outlineLvl w:val="1"/>
    </w:pPr>
    <w:rPr>
      <w:rFonts w:asciiTheme="majorHAnsi" w:hAnsiTheme="majorHAnsi" w:eastAsiaTheme="majorEastAsia" w:cstheme="majorBidi"/>
      <w:b/>
      <w:sz w:val="32"/>
      <w:szCs w:val="32"/>
    </w:rPr>
  </w:style>
  <w:style w:type="paragraph" w:styleId="5">
    <w:name w:val="heading 3"/>
    <w:basedOn w:val="1"/>
    <w:next w:val="3"/>
    <w:link w:val="30"/>
    <w:semiHidden/>
    <w:unhideWhenUsed/>
    <w:qFormat/>
    <w:uiPriority w:val="9"/>
    <w:pPr>
      <w:keepNext/>
      <w:keepLines/>
      <w:spacing w:before="160" w:after="80"/>
      <w:outlineLvl w:val="2"/>
    </w:pPr>
    <w:rPr>
      <w:rFonts w:eastAsiaTheme="majorEastAsia" w:cstheme="majorBidi"/>
      <w:b/>
      <w:sz w:val="28"/>
      <w:szCs w:val="28"/>
    </w:rPr>
  </w:style>
  <w:style w:type="paragraph" w:styleId="6">
    <w:name w:val="heading 4"/>
    <w:basedOn w:val="1"/>
    <w:next w:val="3"/>
    <w:link w:val="49"/>
    <w:semiHidden/>
    <w:unhideWhenUsed/>
    <w:qFormat/>
    <w:uiPriority w:val="9"/>
    <w:pPr>
      <w:keepNext/>
      <w:keepLines/>
      <w:spacing w:before="80" w:after="40"/>
      <w:outlineLvl w:val="3"/>
    </w:pPr>
    <w:rPr>
      <w:rFonts w:eastAsiaTheme="majorEastAsia" w:cstheme="majorBidi"/>
      <w:b/>
      <w:i/>
      <w:iCs/>
    </w:rPr>
  </w:style>
  <w:style w:type="paragraph" w:styleId="7">
    <w:name w:val="heading 5"/>
    <w:basedOn w:val="1"/>
    <w:next w:val="3"/>
    <w:link w:val="79"/>
    <w:semiHidden/>
    <w:unhideWhenUsed/>
    <w:qFormat/>
    <w:uiPriority w:val="9"/>
    <w:pPr>
      <w:keepNext/>
      <w:keepLines/>
      <w:spacing w:before="80" w:after="40"/>
      <w:outlineLvl w:val="4"/>
    </w:pPr>
    <w:rPr>
      <w:rFonts w:eastAsiaTheme="majorEastAsia" w:cstheme="majorBidi"/>
      <w:b/>
    </w:rPr>
  </w:style>
  <w:style w:type="paragraph" w:styleId="8">
    <w:name w:val="heading 6"/>
    <w:basedOn w:val="1"/>
    <w:next w:val="3"/>
    <w:link w:val="80"/>
    <w:semiHidden/>
    <w:unhideWhenUsed/>
    <w:qFormat/>
    <w:uiPriority w:val="9"/>
    <w:pPr>
      <w:keepNext/>
      <w:keepLines/>
      <w:spacing w:before="40" w:after="0"/>
      <w:outlineLvl w:val="5"/>
    </w:pPr>
    <w:rPr>
      <w:rFonts w:eastAsiaTheme="majorEastAsia" w:cstheme="majorBidi"/>
      <w:b/>
      <w:i/>
      <w:iCs/>
    </w:rPr>
  </w:style>
  <w:style w:type="paragraph" w:styleId="9">
    <w:name w:val="heading 7"/>
    <w:basedOn w:val="1"/>
    <w:next w:val="3"/>
    <w:link w:val="5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7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1">
    <w:name w:val="Default Paragraph Font"/>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after="120"/>
      <w:jc w:val="center"/>
    </w:pPr>
    <w:rPr>
      <w:b/>
      <w:i/>
    </w:rPr>
  </w:style>
  <w:style w:type="paragraph" w:styleId="13">
    <w:name w:val="annotation text"/>
    <w:basedOn w:val="1"/>
    <w:link w:val="41"/>
    <w:qFormat/>
    <w:uiPriority w:val="0"/>
  </w:style>
  <w:style w:type="paragraph" w:styleId="14">
    <w:name w:val="Block Text"/>
    <w:basedOn w:val="3"/>
    <w:next w:val="3"/>
    <w:unhideWhenUsed/>
    <w:qFormat/>
    <w:uiPriority w:val="9"/>
    <w:pPr>
      <w:spacing w:before="100" w:after="100"/>
      <w:ind w:left="480" w:right="480"/>
    </w:pPr>
  </w:style>
  <w:style w:type="paragraph" w:styleId="15">
    <w:name w:val="Date"/>
    <w:basedOn w:val="16"/>
    <w:next w:val="3"/>
    <w:qFormat/>
    <w:uiPriority w:val="0"/>
    <w:pPr>
      <w:keepNext/>
      <w:keepLines/>
    </w:pPr>
    <w:rPr>
      <w:sz w:val="24"/>
      <w:szCs w:val="24"/>
    </w:rPr>
  </w:style>
  <w:style w:type="paragraph" w:styleId="16">
    <w:name w:val="Title"/>
    <w:basedOn w:val="1"/>
    <w:next w:val="3"/>
    <w:link w:val="54"/>
    <w:qFormat/>
    <w:uiPriority w:val="10"/>
    <w:pPr>
      <w:spacing w:after="80"/>
      <w:contextualSpacing/>
      <w:jc w:val="center"/>
    </w:pPr>
    <w:rPr>
      <w:rFonts w:asciiTheme="majorHAnsi" w:hAnsiTheme="majorHAnsi" w:eastAsiaTheme="majorEastAsia" w:cstheme="majorBidi"/>
      <w:sz w:val="56"/>
      <w:szCs w:val="56"/>
    </w:rPr>
  </w:style>
  <w:style w:type="paragraph" w:styleId="17">
    <w:name w:val="Subtitle"/>
    <w:basedOn w:val="16"/>
    <w:next w:val="3"/>
    <w:link w:val="36"/>
    <w:qFormat/>
    <w:uiPriority w:val="11"/>
    <w:rPr>
      <w:spacing w:val="15"/>
      <w:sz w:val="28"/>
      <w:szCs w:val="28"/>
    </w:rPr>
  </w:style>
  <w:style w:type="paragraph" w:styleId="18">
    <w:name w:val="footnote text"/>
    <w:basedOn w:val="1"/>
    <w:unhideWhenUsed/>
    <w:qFormat/>
    <w:uiPriority w:val="9"/>
  </w:style>
  <w:style w:type="paragraph" w:styleId="19">
    <w:name w:val="annotation subject"/>
    <w:basedOn w:val="13"/>
    <w:next w:val="13"/>
    <w:link w:val="40"/>
    <w:qFormat/>
    <w:uiPriority w:val="0"/>
    <w:rPr>
      <w:b/>
      <w:bCs/>
    </w:rPr>
  </w:style>
  <w:style w:type="character" w:styleId="22">
    <w:name w:val="Hyperlink"/>
    <w:basedOn w:val="23"/>
    <w:qFormat/>
    <w:uiPriority w:val="0"/>
    <w:rPr>
      <w:color w:val="156082" w:themeColor="accent1"/>
      <w14:textFill>
        <w14:solidFill>
          <w14:schemeClr w14:val="accent1"/>
        </w14:solidFill>
      </w14:textFill>
    </w:rPr>
  </w:style>
  <w:style w:type="character" w:customStyle="1" w:styleId="23">
    <w:name w:val="正文文本 字符"/>
    <w:basedOn w:val="21"/>
    <w:link w:val="3"/>
    <w:qFormat/>
    <w:uiPriority w:val="0"/>
  </w:style>
  <w:style w:type="character" w:styleId="24">
    <w:name w:val="annotation reference"/>
    <w:basedOn w:val="21"/>
    <w:qFormat/>
    <w:uiPriority w:val="0"/>
    <w:rPr>
      <w:sz w:val="21"/>
      <w:szCs w:val="21"/>
    </w:rPr>
  </w:style>
  <w:style w:type="character" w:styleId="25">
    <w:name w:val="footnote reference"/>
    <w:basedOn w:val="23"/>
    <w:qFormat/>
    <w:uiPriority w:val="0"/>
    <w:rPr>
      <w:vertAlign w:val="superscript"/>
    </w:rPr>
  </w:style>
  <w:style w:type="character" w:customStyle="1" w:styleId="26">
    <w:name w:val="VerbatimStringTok"/>
    <w:basedOn w:val="27"/>
    <w:qFormat/>
    <w:uiPriority w:val="0"/>
    <w:rPr>
      <w:rFonts w:ascii="Consolas" w:hAnsi="Consolas"/>
      <w:color w:val="4070A0"/>
      <w:sz w:val="22"/>
    </w:rPr>
  </w:style>
  <w:style w:type="character" w:customStyle="1" w:styleId="27">
    <w:name w:val="Verbatim Char"/>
    <w:basedOn w:val="23"/>
    <w:link w:val="28"/>
    <w:qFormat/>
    <w:uiPriority w:val="0"/>
    <w:rPr>
      <w:rFonts w:ascii="Consolas" w:hAnsi="Consolas"/>
      <w:sz w:val="22"/>
    </w:rPr>
  </w:style>
  <w:style w:type="paragraph" w:customStyle="1" w:styleId="28">
    <w:name w:val="Source Code"/>
    <w:basedOn w:val="1"/>
    <w:link w:val="27"/>
    <w:qFormat/>
    <w:uiPriority w:val="0"/>
    <w:pPr>
      <w:wordWrap w:val="0"/>
    </w:pPr>
  </w:style>
  <w:style w:type="character" w:customStyle="1" w:styleId="29">
    <w:name w:val="标题 8 字符"/>
    <w:basedOn w:val="21"/>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标题 3 字符"/>
    <w:basedOn w:val="21"/>
    <w:link w:val="5"/>
    <w:semiHidden/>
    <w:qFormat/>
    <w:uiPriority w:val="9"/>
    <w:rPr>
      <w:rFonts w:eastAsiaTheme="majorEastAsia" w:cstheme="majorBidi"/>
      <w:color w:val="104862" w:themeColor="accent1" w:themeShade="BF"/>
      <w:sz w:val="28"/>
      <w:szCs w:val="28"/>
    </w:rPr>
  </w:style>
  <w:style w:type="character" w:customStyle="1" w:styleId="31">
    <w:name w:val="InformationTok"/>
    <w:basedOn w:val="27"/>
    <w:qFormat/>
    <w:uiPriority w:val="0"/>
    <w:rPr>
      <w:rFonts w:ascii="Consolas" w:hAnsi="Consolas"/>
      <w:b/>
      <w:i/>
      <w:color w:val="60A0B0"/>
      <w:sz w:val="22"/>
    </w:rPr>
  </w:style>
  <w:style w:type="character" w:customStyle="1" w:styleId="32">
    <w:name w:val="ErrorTok"/>
    <w:basedOn w:val="27"/>
    <w:qFormat/>
    <w:uiPriority w:val="0"/>
    <w:rPr>
      <w:rFonts w:ascii="Consolas" w:hAnsi="Consolas"/>
      <w:b/>
      <w:color w:val="FF0000"/>
      <w:sz w:val="22"/>
    </w:rPr>
  </w:style>
  <w:style w:type="paragraph" w:customStyle="1" w:styleId="33">
    <w:name w:val="First Paragraph"/>
    <w:basedOn w:val="3"/>
    <w:next w:val="3"/>
    <w:qFormat/>
    <w:uiPriority w:val="0"/>
  </w:style>
  <w:style w:type="character" w:customStyle="1" w:styleId="34">
    <w:name w:val="VariableTok"/>
    <w:basedOn w:val="27"/>
    <w:qFormat/>
    <w:uiPriority w:val="0"/>
    <w:rPr>
      <w:rFonts w:ascii="Consolas" w:hAnsi="Consolas"/>
      <w:color w:val="19177C"/>
      <w:sz w:val="22"/>
    </w:rPr>
  </w:style>
  <w:style w:type="paragraph" w:customStyle="1" w:styleId="35">
    <w:name w:val="Definition"/>
    <w:basedOn w:val="1"/>
    <w:qFormat/>
    <w:uiPriority w:val="0"/>
  </w:style>
  <w:style w:type="character" w:customStyle="1" w:styleId="36">
    <w:name w:val="副标题 字符"/>
    <w:basedOn w:val="2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7">
    <w:name w:val="Image Caption"/>
    <w:basedOn w:val="12"/>
    <w:qFormat/>
    <w:uiPriority w:val="0"/>
  </w:style>
  <w:style w:type="paragraph" w:customStyle="1" w:styleId="38">
    <w:name w:val="Footnote Block Text"/>
    <w:basedOn w:val="18"/>
    <w:next w:val="18"/>
    <w:unhideWhenUsed/>
    <w:qFormat/>
    <w:uiPriority w:val="9"/>
    <w:pPr>
      <w:spacing w:before="100" w:after="100"/>
      <w:ind w:left="480" w:right="480"/>
    </w:pPr>
  </w:style>
  <w:style w:type="character" w:customStyle="1" w:styleId="39">
    <w:name w:val="DecValTok"/>
    <w:basedOn w:val="27"/>
    <w:qFormat/>
    <w:uiPriority w:val="0"/>
    <w:rPr>
      <w:rFonts w:ascii="Consolas" w:hAnsi="Consolas"/>
      <w:color w:val="40A070"/>
      <w:sz w:val="22"/>
    </w:rPr>
  </w:style>
  <w:style w:type="character" w:customStyle="1" w:styleId="40">
    <w:name w:val="批注主题 字符"/>
    <w:basedOn w:val="41"/>
    <w:link w:val="19"/>
    <w:qFormat/>
    <w:uiPriority w:val="0"/>
    <w:rPr>
      <w:rFonts w:ascii="Times New Roman" w:hAnsi="Times New Roman" w:eastAsia="宋体"/>
      <w:b/>
      <w:bCs/>
      <w:color w:val="000000"/>
      <w:sz w:val="24"/>
      <w:szCs w:val="24"/>
    </w:rPr>
  </w:style>
  <w:style w:type="character" w:customStyle="1" w:styleId="41">
    <w:name w:val="批注文字 字符"/>
    <w:basedOn w:val="21"/>
    <w:link w:val="13"/>
    <w:qFormat/>
    <w:uiPriority w:val="0"/>
    <w:rPr>
      <w:rFonts w:ascii="Times New Roman" w:hAnsi="Times New Roman" w:eastAsia="宋体"/>
      <w:color w:val="000000"/>
      <w:sz w:val="24"/>
      <w:szCs w:val="24"/>
    </w:rPr>
  </w:style>
  <w:style w:type="character" w:customStyle="1" w:styleId="42">
    <w:name w:val="SpecialCharTok"/>
    <w:basedOn w:val="27"/>
    <w:qFormat/>
    <w:uiPriority w:val="0"/>
    <w:rPr>
      <w:rFonts w:ascii="Consolas" w:hAnsi="Consolas"/>
      <w:color w:val="4070A0"/>
      <w:sz w:val="22"/>
    </w:rPr>
  </w:style>
  <w:style w:type="character" w:customStyle="1" w:styleId="43">
    <w:name w:val="NormalTok"/>
    <w:basedOn w:val="27"/>
    <w:qFormat/>
    <w:uiPriority w:val="0"/>
    <w:rPr>
      <w:rFonts w:ascii="Consolas" w:hAnsi="Consolas"/>
      <w:sz w:val="22"/>
    </w:rPr>
  </w:style>
  <w:style w:type="character" w:customStyle="1" w:styleId="44">
    <w:name w:val="StringTok"/>
    <w:basedOn w:val="27"/>
    <w:qFormat/>
    <w:uiPriority w:val="0"/>
    <w:rPr>
      <w:rFonts w:ascii="Consolas" w:hAnsi="Consolas"/>
      <w:color w:val="4070A0"/>
      <w:sz w:val="22"/>
    </w:rPr>
  </w:style>
  <w:style w:type="character" w:customStyle="1" w:styleId="45">
    <w:name w:val="SpecialStringTok"/>
    <w:basedOn w:val="27"/>
    <w:qFormat/>
    <w:uiPriority w:val="0"/>
    <w:rPr>
      <w:rFonts w:ascii="Consolas" w:hAnsi="Consolas"/>
      <w:color w:val="BB6688"/>
      <w:sz w:val="22"/>
    </w:rPr>
  </w:style>
  <w:style w:type="character" w:customStyle="1" w:styleId="46">
    <w:name w:val="FunctionTok"/>
    <w:basedOn w:val="27"/>
    <w:qFormat/>
    <w:uiPriority w:val="0"/>
    <w:rPr>
      <w:rFonts w:ascii="Consolas" w:hAnsi="Consolas"/>
      <w:color w:val="06287E"/>
      <w:sz w:val="22"/>
    </w:rPr>
  </w:style>
  <w:style w:type="paragraph" w:customStyle="1" w:styleId="47">
    <w:name w:val="Abstract Title"/>
    <w:basedOn w:val="1"/>
    <w:next w:val="48"/>
    <w:qFormat/>
    <w:uiPriority w:val="0"/>
    <w:pPr>
      <w:keepNext/>
      <w:keepLines/>
      <w:spacing w:before="300" w:after="0"/>
      <w:jc w:val="center"/>
    </w:pPr>
    <w:rPr>
      <w:b/>
      <w:sz w:val="20"/>
      <w:szCs w:val="20"/>
    </w:rPr>
  </w:style>
  <w:style w:type="paragraph" w:customStyle="1" w:styleId="48">
    <w:name w:val="Abstract"/>
    <w:basedOn w:val="1"/>
    <w:next w:val="3"/>
    <w:qFormat/>
    <w:uiPriority w:val="0"/>
    <w:pPr>
      <w:keepNext/>
      <w:keepLines/>
      <w:spacing w:before="100" w:after="300"/>
    </w:pPr>
    <w:rPr>
      <w:sz w:val="20"/>
      <w:szCs w:val="20"/>
    </w:rPr>
  </w:style>
  <w:style w:type="character" w:customStyle="1" w:styleId="49">
    <w:name w:val="标题 4 字符"/>
    <w:basedOn w:val="21"/>
    <w:link w:val="6"/>
    <w:semiHidden/>
    <w:qFormat/>
    <w:uiPriority w:val="9"/>
    <w:rPr>
      <w:rFonts w:eastAsiaTheme="majorEastAsia" w:cstheme="majorBidi"/>
      <w:i/>
      <w:iCs/>
      <w:color w:val="104862" w:themeColor="accent1" w:themeShade="BF"/>
    </w:rPr>
  </w:style>
  <w:style w:type="character" w:customStyle="1" w:styleId="50">
    <w:name w:val="CommentTok"/>
    <w:basedOn w:val="27"/>
    <w:qFormat/>
    <w:uiPriority w:val="0"/>
    <w:rPr>
      <w:rFonts w:ascii="Consolas" w:hAnsi="Consolas"/>
      <w:i/>
      <w:color w:val="60A0B0"/>
      <w:sz w:val="22"/>
    </w:rPr>
  </w:style>
  <w:style w:type="character" w:customStyle="1" w:styleId="51">
    <w:name w:val="标题 7 字符"/>
    <w:basedOn w:val="21"/>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paragraph" w:customStyle="1" w:styleId="52">
    <w:name w:val="Compact"/>
    <w:basedOn w:val="3"/>
    <w:qFormat/>
    <w:uiPriority w:val="0"/>
    <w:pPr>
      <w:spacing w:before="36" w:after="36"/>
    </w:pPr>
  </w:style>
  <w:style w:type="paragraph" w:customStyle="1" w:styleId="53">
    <w:name w:val="TOC 标题1"/>
    <w:basedOn w:val="2"/>
    <w:next w:val="3"/>
    <w:unhideWhenUsed/>
    <w:qFormat/>
    <w:uiPriority w:val="39"/>
    <w:pPr>
      <w:spacing w:before="240" w:line="259" w:lineRule="auto"/>
      <w:outlineLvl w:val="9"/>
    </w:pPr>
    <w:rPr>
      <w:b w:val="0"/>
      <w:color w:val="104862" w:themeColor="accent1" w:themeShade="BF"/>
    </w:rPr>
  </w:style>
  <w:style w:type="character" w:customStyle="1" w:styleId="54">
    <w:name w:val="标题 字符"/>
    <w:basedOn w:val="21"/>
    <w:link w:val="16"/>
    <w:qFormat/>
    <w:uiPriority w:val="10"/>
    <w:rPr>
      <w:rFonts w:asciiTheme="majorHAnsi" w:hAnsiTheme="majorHAnsi" w:eastAsiaTheme="majorEastAsia" w:cstheme="majorBidi"/>
      <w:sz w:val="56"/>
      <w:szCs w:val="56"/>
    </w:rPr>
  </w:style>
  <w:style w:type="character" w:customStyle="1" w:styleId="55">
    <w:name w:val="FloatTok"/>
    <w:basedOn w:val="27"/>
    <w:qFormat/>
    <w:uiPriority w:val="0"/>
    <w:rPr>
      <w:rFonts w:ascii="Consolas" w:hAnsi="Consolas"/>
      <w:color w:val="40A070"/>
      <w:sz w:val="22"/>
    </w:rPr>
  </w:style>
  <w:style w:type="character" w:customStyle="1" w:styleId="56">
    <w:name w:val="DataTypeTok"/>
    <w:basedOn w:val="27"/>
    <w:qFormat/>
    <w:uiPriority w:val="0"/>
    <w:rPr>
      <w:rFonts w:ascii="Consolas" w:hAnsi="Consolas"/>
      <w:color w:val="902000"/>
      <w:sz w:val="22"/>
    </w:rPr>
  </w:style>
  <w:style w:type="paragraph" w:customStyle="1" w:styleId="57">
    <w:name w:val="Figure"/>
    <w:basedOn w:val="1"/>
    <w:qFormat/>
    <w:uiPriority w:val="0"/>
  </w:style>
  <w:style w:type="character" w:customStyle="1" w:styleId="58">
    <w:name w:val="CharTok"/>
    <w:basedOn w:val="27"/>
    <w:qFormat/>
    <w:uiPriority w:val="0"/>
    <w:rPr>
      <w:rFonts w:ascii="Consolas" w:hAnsi="Consolas"/>
      <w:color w:val="4070A0"/>
      <w:sz w:val="22"/>
    </w:rPr>
  </w:style>
  <w:style w:type="character" w:customStyle="1" w:styleId="59">
    <w:name w:val="RegionMarkerTok"/>
    <w:basedOn w:val="27"/>
    <w:qFormat/>
    <w:uiPriority w:val="0"/>
    <w:rPr>
      <w:rFonts w:ascii="Consolas" w:hAnsi="Consolas"/>
      <w:sz w:val="22"/>
    </w:rPr>
  </w:style>
  <w:style w:type="character" w:customStyle="1" w:styleId="60">
    <w:name w:val="ImportTok"/>
    <w:basedOn w:val="27"/>
    <w:qFormat/>
    <w:uiPriority w:val="0"/>
    <w:rPr>
      <w:rFonts w:ascii="Consolas" w:hAnsi="Consolas"/>
      <w:b/>
      <w:color w:val="008000"/>
      <w:sz w:val="22"/>
    </w:rPr>
  </w:style>
  <w:style w:type="character" w:customStyle="1" w:styleId="61">
    <w:name w:val="AttributeTok"/>
    <w:basedOn w:val="27"/>
    <w:qFormat/>
    <w:uiPriority w:val="0"/>
    <w:rPr>
      <w:rFonts w:ascii="Consolas" w:hAnsi="Consolas"/>
      <w:color w:val="7D9029"/>
      <w:sz w:val="22"/>
    </w:rPr>
  </w:style>
  <w:style w:type="paragraph" w:customStyle="1" w:styleId="62">
    <w:name w:val="Author"/>
    <w:basedOn w:val="16"/>
    <w:next w:val="3"/>
    <w:qFormat/>
    <w:uiPriority w:val="0"/>
    <w:pPr>
      <w:keepNext/>
      <w:keepLines/>
    </w:pPr>
    <w:rPr>
      <w:sz w:val="24"/>
      <w:szCs w:val="24"/>
    </w:rPr>
  </w:style>
  <w:style w:type="character" w:customStyle="1" w:styleId="63">
    <w:name w:val="AnnotationTok"/>
    <w:basedOn w:val="27"/>
    <w:qFormat/>
    <w:uiPriority w:val="0"/>
    <w:rPr>
      <w:rFonts w:ascii="Consolas" w:hAnsi="Consolas"/>
      <w:b/>
      <w:i/>
      <w:color w:val="60A0B0"/>
      <w:sz w:val="22"/>
    </w:rPr>
  </w:style>
  <w:style w:type="character" w:customStyle="1" w:styleId="64">
    <w:name w:val="WarningTok"/>
    <w:basedOn w:val="27"/>
    <w:qFormat/>
    <w:uiPriority w:val="0"/>
    <w:rPr>
      <w:rFonts w:ascii="Consolas" w:hAnsi="Consolas"/>
      <w:b/>
      <w:i/>
      <w:color w:val="60A0B0"/>
      <w:sz w:val="22"/>
    </w:rPr>
  </w:style>
  <w:style w:type="paragraph" w:customStyle="1" w:styleId="65">
    <w:name w:val="书目1"/>
    <w:basedOn w:val="1"/>
    <w:qFormat/>
    <w:uiPriority w:val="0"/>
  </w:style>
  <w:style w:type="character" w:customStyle="1" w:styleId="66">
    <w:name w:val="Section Number"/>
    <w:basedOn w:val="23"/>
    <w:qFormat/>
    <w:uiPriority w:val="0"/>
  </w:style>
  <w:style w:type="paragraph" w:customStyle="1" w:styleId="67">
    <w:name w:val="Definition Term"/>
    <w:basedOn w:val="1"/>
    <w:next w:val="35"/>
    <w:qFormat/>
    <w:uiPriority w:val="0"/>
    <w:pPr>
      <w:keepNext/>
      <w:keepLines/>
      <w:spacing w:after="0"/>
    </w:pPr>
    <w:rPr>
      <w:b/>
    </w:rPr>
  </w:style>
  <w:style w:type="character" w:customStyle="1" w:styleId="68">
    <w:name w:val="ConstantTok"/>
    <w:basedOn w:val="27"/>
    <w:qFormat/>
    <w:uiPriority w:val="0"/>
    <w:rPr>
      <w:rFonts w:ascii="Consolas" w:hAnsi="Consolas"/>
      <w:color w:val="880000"/>
      <w:sz w:val="22"/>
    </w:rPr>
  </w:style>
  <w:style w:type="character" w:customStyle="1" w:styleId="69">
    <w:name w:val="OperatorTok"/>
    <w:basedOn w:val="27"/>
    <w:qFormat/>
    <w:uiPriority w:val="0"/>
    <w:rPr>
      <w:rFonts w:ascii="Consolas" w:hAnsi="Consolas"/>
      <w:color w:val="666666"/>
      <w:sz w:val="22"/>
    </w:rPr>
  </w:style>
  <w:style w:type="character" w:customStyle="1" w:styleId="70">
    <w:name w:val="KeywordTok"/>
    <w:basedOn w:val="27"/>
    <w:qFormat/>
    <w:uiPriority w:val="0"/>
    <w:rPr>
      <w:rFonts w:ascii="Consolas" w:hAnsi="Consolas"/>
      <w:b/>
      <w:color w:val="007020"/>
      <w:sz w:val="22"/>
    </w:rPr>
  </w:style>
  <w:style w:type="character" w:customStyle="1" w:styleId="71">
    <w:name w:val="DocumentationTok"/>
    <w:basedOn w:val="27"/>
    <w:qFormat/>
    <w:uiPriority w:val="0"/>
    <w:rPr>
      <w:rFonts w:ascii="Consolas" w:hAnsi="Consolas"/>
      <w:i/>
      <w:color w:val="BA2121"/>
      <w:sz w:val="22"/>
    </w:rPr>
  </w:style>
  <w:style w:type="character" w:customStyle="1" w:styleId="72">
    <w:name w:val="ExtensionTok"/>
    <w:basedOn w:val="27"/>
    <w:qFormat/>
    <w:uiPriority w:val="0"/>
    <w:rPr>
      <w:rFonts w:ascii="Consolas" w:hAnsi="Consolas"/>
      <w:sz w:val="22"/>
    </w:rPr>
  </w:style>
  <w:style w:type="character" w:customStyle="1" w:styleId="73">
    <w:name w:val="OtherTok"/>
    <w:basedOn w:val="27"/>
    <w:qFormat/>
    <w:uiPriority w:val="0"/>
    <w:rPr>
      <w:rFonts w:ascii="Consolas" w:hAnsi="Consolas"/>
      <w:color w:val="007020"/>
      <w:sz w:val="22"/>
    </w:rPr>
  </w:style>
  <w:style w:type="character" w:customStyle="1" w:styleId="74">
    <w:name w:val="标题 9 字符"/>
    <w:basedOn w:val="21"/>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75">
    <w:name w:val="CommentVarTok"/>
    <w:basedOn w:val="27"/>
    <w:qFormat/>
    <w:uiPriority w:val="0"/>
    <w:rPr>
      <w:rFonts w:ascii="Consolas" w:hAnsi="Consolas"/>
      <w:b/>
      <w:i/>
      <w:color w:val="60A0B0"/>
      <w:sz w:val="22"/>
    </w:rPr>
  </w:style>
  <w:style w:type="character" w:customStyle="1" w:styleId="76">
    <w:name w:val="AlertTok"/>
    <w:basedOn w:val="27"/>
    <w:qFormat/>
    <w:uiPriority w:val="0"/>
    <w:rPr>
      <w:rFonts w:ascii="Consolas" w:hAnsi="Consolas"/>
      <w:b/>
      <w:color w:val="FF0000"/>
      <w:sz w:val="22"/>
    </w:rPr>
  </w:style>
  <w:style w:type="character" w:customStyle="1" w:styleId="77">
    <w:name w:val="标题 1 字符"/>
    <w:basedOn w:val="21"/>
    <w:link w:val="2"/>
    <w:qFormat/>
    <w:uiPriority w:val="9"/>
    <w:rPr>
      <w:rFonts w:asciiTheme="majorHAnsi" w:hAnsiTheme="majorHAnsi" w:eastAsiaTheme="majorEastAsia" w:cstheme="majorBidi"/>
      <w:color w:val="104862" w:themeColor="accent1" w:themeShade="BF"/>
      <w:sz w:val="40"/>
      <w:szCs w:val="40"/>
    </w:rPr>
  </w:style>
  <w:style w:type="character" w:customStyle="1" w:styleId="78">
    <w:name w:val="ControlFlowTok"/>
    <w:basedOn w:val="27"/>
    <w:qFormat/>
    <w:uiPriority w:val="0"/>
    <w:rPr>
      <w:rFonts w:ascii="Consolas" w:hAnsi="Consolas"/>
      <w:b/>
      <w:color w:val="007020"/>
      <w:sz w:val="22"/>
    </w:rPr>
  </w:style>
  <w:style w:type="character" w:customStyle="1" w:styleId="79">
    <w:name w:val="标题 5 字符"/>
    <w:basedOn w:val="21"/>
    <w:link w:val="7"/>
    <w:semiHidden/>
    <w:qFormat/>
    <w:uiPriority w:val="9"/>
    <w:rPr>
      <w:rFonts w:eastAsiaTheme="majorEastAsia" w:cstheme="majorBidi"/>
      <w:color w:val="104862" w:themeColor="accent1" w:themeShade="BF"/>
    </w:rPr>
  </w:style>
  <w:style w:type="character" w:customStyle="1" w:styleId="80">
    <w:name w:val="标题 6 字符"/>
    <w:basedOn w:val="21"/>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81">
    <w:name w:val="BuiltInTok"/>
    <w:basedOn w:val="27"/>
    <w:qFormat/>
    <w:uiPriority w:val="0"/>
    <w:rPr>
      <w:rFonts w:ascii="Consolas" w:hAnsi="Consolas"/>
      <w:color w:val="008000"/>
      <w:sz w:val="22"/>
    </w:rPr>
  </w:style>
  <w:style w:type="table" w:customStyle="1" w:styleId="8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3">
    <w:name w:val="标题 2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84">
    <w:name w:val="PreprocessorTok"/>
    <w:basedOn w:val="27"/>
    <w:qFormat/>
    <w:uiPriority w:val="0"/>
    <w:rPr>
      <w:rFonts w:ascii="Consolas" w:hAnsi="Consolas"/>
      <w:color w:val="BC7A00"/>
      <w:sz w:val="22"/>
    </w:rPr>
  </w:style>
  <w:style w:type="character" w:customStyle="1" w:styleId="85">
    <w:name w:val="BaseNTok"/>
    <w:basedOn w:val="27"/>
    <w:qFormat/>
    <w:uiPriority w:val="0"/>
    <w:rPr>
      <w:rFonts w:ascii="Consolas" w:hAnsi="Consolas"/>
      <w:color w:val="40A070"/>
      <w:sz w:val="22"/>
    </w:rPr>
  </w:style>
  <w:style w:type="paragraph" w:customStyle="1" w:styleId="86">
    <w:name w:val="Table Caption"/>
    <w:basedOn w:val="12"/>
    <w:qFormat/>
    <w:uiPriority w:val="0"/>
    <w:pPr>
      <w:keepNext/>
    </w:pPr>
  </w:style>
  <w:style w:type="paragraph" w:customStyle="1" w:styleId="87">
    <w:name w:val="Captioned Figure"/>
    <w:basedOn w:val="57"/>
    <w:qFormat/>
    <w:uiPriority w:val="0"/>
    <w:pPr>
      <w:keepNext/>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3713</Words>
  <Characters>21224</Characters>
  <TotalTime>3</TotalTime>
  <ScaleCrop>false</ScaleCrop>
  <LinksUpToDate>false</LinksUpToDate>
  <CharactersWithSpaces>24709</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2026-08-20T10:06:00Z</dcterms:created>
  <dc:creator>Lenovo</dc:creator>
  <cp:lastModifiedBy>席致远</cp:lastModifiedBy>
  <dcterms:modified xsi:type="dcterms:W3CDTF">2026-08-20T06:33:08Z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eyJoZGlkIjoiNTU0ZmIwYTQ3NzlmZGUxZmU3Zjk0M2IyZTNmM2IxNjAiLCJ1c2VySWQiOiI0MDk4ODk3MzMifQ==</vt:lpwstr>
  </property>
  <property fmtid="{D5CDD505-2E9C-101B-9397-08002B2CF9AE}" pid="3" name="KSOProductBuildVer">
    <vt:lpwstr>2052-12.1.0.26895</vt:lpwstr>
  </property>
  <property fmtid="{D5CDD505-2E9C-101B-9397-08002B2CF9AE}" pid="4" name="ICV">
    <vt:lpwstr>B70E1E3922754DCEA2ABC0817BADD486_12</vt:lpwstr>
  </property>
</Properties>
</file>