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6913D">
      <w:pPr>
        <w:spacing w:after="160"/>
        <w:jc w:val="center"/>
        <w:rPr>
          <w:color w:val="000000" w:themeColor="text1"/>
          <w14:textFill>
            <w14:solidFill>
              <w14:schemeClr w14:val="tx1"/>
            </w14:solidFill>
          </w14:textFill>
        </w:rPr>
      </w:pPr>
      <w:r>
        <w:rPr>
          <w:rFonts w:ascii="Times New Roman" w:hAnsi="Times New Roman" w:eastAsia="黑体" w:cs="Times New Roman"/>
          <w:b/>
          <w:color w:val="000000" w:themeColor="text1"/>
          <w:sz w:val="36"/>
          <w14:textFill>
            <w14:solidFill>
              <w14:schemeClr w14:val="tx1"/>
            </w14:solidFill>
          </w14:textFill>
        </w:rPr>
        <w:t>多模态大语言模型组合推理的强化学习：奖励设计空间与研究进展</w:t>
      </w:r>
    </w:p>
    <w:p w14:paraId="126FBBFE">
      <w:pPr>
        <w:spacing w:after="4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3"/>
          <w14:textFill>
            <w14:solidFill>
              <w14:schemeClr w14:val="tx1"/>
            </w14:solidFill>
          </w14:textFill>
        </w:rPr>
        <w:t>席致远</w:t>
      </w:r>
    </w:p>
    <w:p w14:paraId="338CBDFF">
      <w:pPr>
        <w:spacing w:after="20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南方科技大学 工学院，广东 珠海 519000；12412015@sustech.edu.cn</w:t>
      </w:r>
    </w:p>
    <w:p w14:paraId="0B8EC1B1">
      <w:pPr>
        <w:spacing w:after="80" w:line="32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3"/>
          <w14:textFill>
            <w14:solidFill>
              <w14:schemeClr w14:val="tx1"/>
            </w14:solidFill>
          </w14:textFill>
        </w:rPr>
        <w:t>摘要：多模态大语言模型（Multimodal Large Language Models, MLLMs）在通用视觉—语言任务上表现出色，但对物体、属性与空间或逻辑关系的组合绑定仍不稳定。强化学习后训练能否改善这一问题，关键取决于奖励是否约束了正确性、视觉证据与推理过程。本文以 2024—2026 年公开的相关工作为对象，区分直接面向组合推理的方法与提供奖励设计启发的邻近方法，并以两个互补维度组织文献：奖励作用对象由答案级扩展到结构级、步骤级，奖励信息来源由外部判据扩展到视觉证据和过程一致性。在此框架下，本文讨论验证器奖励、视觉对齐奖励与推理过程奖励的代表性机制、监督需求、组合触及度及评测边界。分析表明，三类方法不是线性替代关系，而是围绕“正确性如何被定义和验证”形成的重叠设计空间；当前最关键的缺口，是在不依赖昂贵物体标注的情况下，对属性—关系组合绑定提供可检验、可归因的视觉语义奖励。</w:t>
      </w:r>
    </w:p>
    <w:p w14:paraId="61B8D8D9">
      <w:pPr>
        <w:spacing w:after="160"/>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3"/>
          <w14:textFill>
            <w14:solidFill>
              <w14:schemeClr w14:val="tx1"/>
            </w14:solidFill>
          </w14:textFill>
        </w:rPr>
        <w:t>关键词：多模态大语言模型；组合推理；强化学习；奖励设计；视觉 grounding；过程奖励</w:t>
      </w:r>
    </w:p>
    <w:p w14:paraId="17D74178">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1. 引言</w:t>
      </w:r>
    </w:p>
    <w:p w14:paraId="4DC70346">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多模态大语言模型已经能够处理视觉问答、图像描述和多轮交互，但在组合推理上仍表现出系统性脆弱性。CREPE 发现，组合复杂度增加时模型性能显著下降 [1]；ARO 进一步指出，模型可能利用词频和整体语义获得高分，而不真正编码属性、关系与词序 [2]；SugarCrepe 则显示，交换同类概念的 Swap 测试是最难的绑定情形 [3]。这些结果共同说明，“看见物体”并不等于“把物体与正确属性和关系绑定起来”。</w:t>
      </w:r>
    </w:p>
    <w:p w14:paraId="7DAE85AC">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强化学习为后训练提供了不同于监督微调的优化路径：模型不再只模仿标准答案，而是在采样、评价和更新中提高高奖励行为的概率。CR³ 证明，在能够程序化判分的组合任务上，规则奖励与 GRPO 可以带来显著增益 [4]。然而，结果答对可能来自文本捷径，过程解释也可能没有真正落到视觉证据上。因此，综述 RL 方法时，不能只比较最终准确率，还要追问奖励约束了什么、证据来自哪里、监督成本是多少，以及是否真正触及组合绑定。</w:t>
      </w:r>
    </w:p>
    <w:p w14:paraId="555AFD92">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本文的分析对象包括两类工作：第一类直接在组合、空间或绑定基准上训练或评测 MLLM；第二类主要研究视觉 grounding、注意力或过程奖励，但其机制能够为组合推理提供奖励设计启发。本文不把两类证据混为一谈，并且不将论文发表时间解释为严格的技术因果链。本文的主要贡献有三点：其一，提出“作用对象 × 信息来源”的奖励设计空间；其二，沿统一维度比较代表性方法；其三，讨论可验证性、视觉事实噪声和基准碎片化对结论可靠性的限制。</w:t>
      </w:r>
    </w:p>
    <w:p w14:paraId="7B5D9B76">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文献纳入标准为：公开时间主要落在 2024—2026 年，以 2026 年 8 月 18 日公开版本为截止；模型属于 MLLM 或视觉语言模型；后训练或策略优化显式使用 RL、GRPO、PPO 或 DPO 等方法；奖励或反馈设计是方法贡献的一部分。VALSE、CREPE、ARO、SugarCrepe 和 MM-CondChain 等纯评测工作仅作为基准或可验证性证据引用。</w:t>
      </w:r>
    </w:p>
    <w:p w14:paraId="4543A891">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2. 概念与评测基础</w:t>
      </w:r>
    </w:p>
    <w:p w14:paraId="5434FB2F">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2.1 组合推理的操作性定义</w:t>
      </w:r>
    </w:p>
    <w:p w14:paraId="72334843">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本文将组合推理定义为：模型能够把视觉场景中的实体、属性、空间关系或逻辑关系组成结构化语义，并据此完成判断或生成。核心不是是否输出了较长的思维链，而是绑定是否正确。分解可以是实现绑定的手段，但不能把“提出子问题”本身等同于组合能力。为避免概念混用，本文将相关能力区分为三层：组合绑定关注实体—属性—关系的对应；视觉 grounding 关注回答是否依赖正确的图像证据；过程可靠性关注中间步骤能否被检查和归因。</w:t>
      </w:r>
    </w:p>
    <w:p w14:paraId="78A0DA57">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2.2 基准及其证据边界</w:t>
      </w:r>
    </w:p>
    <w:p w14:paraId="1DD86C6B">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现有基准覆盖的对象不同，不能直接视为同一指标。VALSE 以语言现象构造伪造实例，CREPE 测量系统性与生产力，ARO 专门诊断属性、关系和词序的 shortcut，SugarCrepe 用 Replace、Swap、Add 三类困难负样本测试绑定，MM-CondChain 则把多层条件链转化为可执行程序并报告 Path F1 [1–3, 5, 21]。因此，“组合推理提升”必须注明具体基准、子任务和指标，不能用单一平均分概括。</w:t>
      </w:r>
    </w:p>
    <w:p w14:paraId="190E2930">
      <w:pPr>
        <w:pStyle w:val="15"/>
        <w:keepNext/>
        <w:spacing w:before="80" w:after="8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表 1 组合推理相关评测基准及其证据边界</w:t>
      </w:r>
    </w:p>
    <w:tbl>
      <w:tblPr>
        <w:tblStyle w:val="3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1550"/>
        <w:gridCol w:w="1350"/>
        <w:gridCol w:w="2350"/>
        <w:gridCol w:w="2270"/>
      </w:tblGrid>
      <w:tr w14:paraId="1110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0" w:type="dxa"/>
            <w:shd w:val="clear" w:color="auto" w:fill="2F5597"/>
            <w:tcMar>
              <w:top w:w="90" w:type="dxa"/>
              <w:left w:w="100" w:type="dxa"/>
              <w:bottom w:w="90" w:type="dxa"/>
              <w:right w:w="100" w:type="dxa"/>
            </w:tcMar>
            <w:vAlign w:val="center"/>
          </w:tcPr>
          <w:p w14:paraId="6CB2357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基准</w:t>
            </w:r>
          </w:p>
        </w:tc>
        <w:tc>
          <w:tcPr>
            <w:tcW w:w="1550" w:type="dxa"/>
            <w:shd w:val="clear" w:color="auto" w:fill="2F5597"/>
            <w:tcMar>
              <w:top w:w="90" w:type="dxa"/>
              <w:left w:w="100" w:type="dxa"/>
              <w:bottom w:w="90" w:type="dxa"/>
              <w:right w:w="100" w:type="dxa"/>
            </w:tcMar>
            <w:vAlign w:val="center"/>
          </w:tcPr>
          <w:p w14:paraId="7F9EF07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主要测试对象</w:t>
            </w:r>
          </w:p>
        </w:tc>
        <w:tc>
          <w:tcPr>
            <w:tcW w:w="1350" w:type="dxa"/>
            <w:shd w:val="clear" w:color="auto" w:fill="2F5597"/>
            <w:tcMar>
              <w:top w:w="90" w:type="dxa"/>
              <w:left w:w="100" w:type="dxa"/>
              <w:bottom w:w="90" w:type="dxa"/>
              <w:right w:w="100" w:type="dxa"/>
            </w:tcMar>
            <w:vAlign w:val="center"/>
          </w:tcPr>
          <w:p w14:paraId="64188FA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判定形式</w:t>
            </w:r>
          </w:p>
        </w:tc>
        <w:tc>
          <w:tcPr>
            <w:tcW w:w="2350" w:type="dxa"/>
            <w:shd w:val="clear" w:color="auto" w:fill="2F5597"/>
            <w:tcMar>
              <w:top w:w="90" w:type="dxa"/>
              <w:left w:w="100" w:type="dxa"/>
              <w:bottom w:w="90" w:type="dxa"/>
              <w:right w:w="100" w:type="dxa"/>
            </w:tcMar>
            <w:vAlign w:val="center"/>
          </w:tcPr>
          <w:p w14:paraId="56345C2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规模/特点</w:t>
            </w:r>
          </w:p>
        </w:tc>
        <w:tc>
          <w:tcPr>
            <w:tcW w:w="2270" w:type="dxa"/>
            <w:shd w:val="clear" w:color="auto" w:fill="2F5597"/>
            <w:tcMar>
              <w:top w:w="90" w:type="dxa"/>
              <w:left w:w="100" w:type="dxa"/>
              <w:bottom w:w="90" w:type="dxa"/>
              <w:right w:w="100" w:type="dxa"/>
            </w:tcMar>
            <w:vAlign w:val="center"/>
          </w:tcPr>
          <w:p w14:paraId="17165B1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本文用途</w:t>
            </w:r>
          </w:p>
        </w:tc>
      </w:tr>
      <w:tr w14:paraId="6D8C4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90" w:type="dxa"/>
              <w:left w:w="100" w:type="dxa"/>
              <w:bottom w:w="90" w:type="dxa"/>
              <w:right w:w="100" w:type="dxa"/>
            </w:tcMar>
            <w:vAlign w:val="center"/>
          </w:tcPr>
          <w:p w14:paraId="7E198C0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VALSE [5]</w:t>
            </w:r>
          </w:p>
        </w:tc>
        <w:tc>
          <w:tcPr>
            <w:tcW w:w="1550" w:type="dxa"/>
            <w:tcMar>
              <w:top w:w="90" w:type="dxa"/>
              <w:left w:w="100" w:type="dxa"/>
              <w:bottom w:w="90" w:type="dxa"/>
              <w:right w:w="100" w:type="dxa"/>
            </w:tcMar>
            <w:vAlign w:val="center"/>
          </w:tcPr>
          <w:p w14:paraId="0223061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存在、计数、空间、共指</w:t>
            </w:r>
          </w:p>
        </w:tc>
        <w:tc>
          <w:tcPr>
            <w:tcW w:w="1350" w:type="dxa"/>
            <w:tcMar>
              <w:top w:w="90" w:type="dxa"/>
              <w:left w:w="100" w:type="dxa"/>
              <w:bottom w:w="90" w:type="dxa"/>
              <w:right w:w="100" w:type="dxa"/>
            </w:tcMar>
            <w:vAlign w:val="center"/>
          </w:tcPr>
          <w:p w14:paraId="08920BA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真假判断</w:t>
            </w:r>
          </w:p>
        </w:tc>
        <w:tc>
          <w:tcPr>
            <w:tcW w:w="2350" w:type="dxa"/>
            <w:tcMar>
              <w:top w:w="90" w:type="dxa"/>
              <w:left w:w="100" w:type="dxa"/>
              <w:bottom w:w="90" w:type="dxa"/>
              <w:right w:w="100" w:type="dxa"/>
            </w:tcMar>
            <w:vAlign w:val="center"/>
          </w:tcPr>
          <w:p w14:paraId="70FE7EC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语言现象级，规模较小</w:t>
            </w:r>
          </w:p>
        </w:tc>
        <w:tc>
          <w:tcPr>
            <w:tcW w:w="2270" w:type="dxa"/>
            <w:tcMar>
              <w:top w:w="90" w:type="dxa"/>
              <w:left w:w="100" w:type="dxa"/>
              <w:bottom w:w="90" w:type="dxa"/>
              <w:right w:w="100" w:type="dxa"/>
            </w:tcMar>
            <w:vAlign w:val="center"/>
          </w:tcPr>
          <w:p w14:paraId="3C0380A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组合缺陷的早期诊断</w:t>
            </w:r>
          </w:p>
        </w:tc>
      </w:tr>
      <w:tr w14:paraId="39DC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6FB"/>
            <w:tcMar>
              <w:top w:w="90" w:type="dxa"/>
              <w:left w:w="100" w:type="dxa"/>
              <w:bottom w:w="90" w:type="dxa"/>
              <w:right w:w="100" w:type="dxa"/>
            </w:tcMar>
            <w:vAlign w:val="center"/>
          </w:tcPr>
          <w:p w14:paraId="6305AE8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CREPE [1]</w:t>
            </w:r>
          </w:p>
        </w:tc>
        <w:tc>
          <w:tcPr>
            <w:tcW w:w="1550" w:type="dxa"/>
            <w:shd w:val="clear" w:color="auto" w:fill="F2F6FB"/>
            <w:tcMar>
              <w:top w:w="90" w:type="dxa"/>
              <w:left w:w="100" w:type="dxa"/>
              <w:bottom w:w="90" w:type="dxa"/>
              <w:right w:w="100" w:type="dxa"/>
            </w:tcMar>
            <w:vAlign w:val="center"/>
          </w:tcPr>
          <w:p w14:paraId="1B2F7E2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系统性与生产力</w:t>
            </w:r>
          </w:p>
        </w:tc>
        <w:tc>
          <w:tcPr>
            <w:tcW w:w="1350" w:type="dxa"/>
            <w:shd w:val="clear" w:color="auto" w:fill="F2F6FB"/>
            <w:tcMar>
              <w:top w:w="90" w:type="dxa"/>
              <w:left w:w="100" w:type="dxa"/>
              <w:bottom w:w="90" w:type="dxa"/>
              <w:right w:w="100" w:type="dxa"/>
            </w:tcMar>
            <w:vAlign w:val="center"/>
          </w:tcPr>
          <w:p w14:paraId="16BF9534">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检索与复杂度梯度</w:t>
            </w:r>
          </w:p>
        </w:tc>
        <w:tc>
          <w:tcPr>
            <w:tcW w:w="2350" w:type="dxa"/>
            <w:shd w:val="clear" w:color="auto" w:fill="F2F6FB"/>
            <w:tcMar>
              <w:top w:w="90" w:type="dxa"/>
              <w:left w:w="100" w:type="dxa"/>
              <w:bottom w:w="90" w:type="dxa"/>
              <w:right w:w="100" w:type="dxa"/>
            </w:tcMar>
            <w:vAlign w:val="center"/>
          </w:tcPr>
          <w:p w14:paraId="0644FE9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37 万级图文对</w:t>
            </w:r>
          </w:p>
        </w:tc>
        <w:tc>
          <w:tcPr>
            <w:tcW w:w="2270" w:type="dxa"/>
            <w:shd w:val="clear" w:color="auto" w:fill="F2F6FB"/>
            <w:tcMar>
              <w:top w:w="90" w:type="dxa"/>
              <w:left w:w="100" w:type="dxa"/>
              <w:bottom w:w="90" w:type="dxa"/>
              <w:right w:w="100" w:type="dxa"/>
            </w:tcMar>
            <w:vAlign w:val="center"/>
          </w:tcPr>
          <w:p w14:paraId="2B09536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观察复杂度和泛化</w:t>
            </w:r>
          </w:p>
        </w:tc>
      </w:tr>
      <w:tr w14:paraId="4171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90" w:type="dxa"/>
              <w:left w:w="100" w:type="dxa"/>
              <w:bottom w:w="90" w:type="dxa"/>
              <w:right w:w="100" w:type="dxa"/>
            </w:tcMar>
            <w:vAlign w:val="center"/>
          </w:tcPr>
          <w:p w14:paraId="168CBD9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ARO [2]</w:t>
            </w:r>
          </w:p>
        </w:tc>
        <w:tc>
          <w:tcPr>
            <w:tcW w:w="1550" w:type="dxa"/>
            <w:tcMar>
              <w:top w:w="90" w:type="dxa"/>
              <w:left w:w="100" w:type="dxa"/>
              <w:bottom w:w="90" w:type="dxa"/>
              <w:right w:w="100" w:type="dxa"/>
            </w:tcMar>
            <w:vAlign w:val="center"/>
          </w:tcPr>
          <w:p w14:paraId="5A956E7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属性、关系、词序</w:t>
            </w:r>
          </w:p>
        </w:tc>
        <w:tc>
          <w:tcPr>
            <w:tcW w:w="1350" w:type="dxa"/>
            <w:tcMar>
              <w:top w:w="90" w:type="dxa"/>
              <w:left w:w="100" w:type="dxa"/>
              <w:bottom w:w="90" w:type="dxa"/>
              <w:right w:w="100" w:type="dxa"/>
            </w:tcMar>
            <w:vAlign w:val="center"/>
          </w:tcPr>
          <w:p w14:paraId="6D80ADB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检索</w:t>
            </w:r>
          </w:p>
        </w:tc>
        <w:tc>
          <w:tcPr>
            <w:tcW w:w="2350" w:type="dxa"/>
            <w:tcMar>
              <w:top w:w="90" w:type="dxa"/>
              <w:left w:w="100" w:type="dxa"/>
              <w:bottom w:w="90" w:type="dxa"/>
              <w:right w:w="100" w:type="dxa"/>
            </w:tcMar>
            <w:vAlign w:val="center"/>
          </w:tcPr>
          <w:p w14:paraId="1B0949D9">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5 万级用例，含 shortcut 分析</w:t>
            </w:r>
          </w:p>
        </w:tc>
        <w:tc>
          <w:tcPr>
            <w:tcW w:w="2270" w:type="dxa"/>
            <w:tcMar>
              <w:top w:w="90" w:type="dxa"/>
              <w:left w:w="100" w:type="dxa"/>
              <w:bottom w:w="90" w:type="dxa"/>
              <w:right w:w="100" w:type="dxa"/>
            </w:tcMar>
            <w:vAlign w:val="center"/>
          </w:tcPr>
          <w:p w14:paraId="4D81D78B">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诊断词袋行为</w:t>
            </w:r>
          </w:p>
        </w:tc>
      </w:tr>
      <w:tr w14:paraId="3B11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shd w:val="clear" w:color="auto" w:fill="F2F6FB"/>
            <w:tcMar>
              <w:top w:w="90" w:type="dxa"/>
              <w:left w:w="100" w:type="dxa"/>
              <w:bottom w:w="90" w:type="dxa"/>
              <w:right w:w="100" w:type="dxa"/>
            </w:tcMar>
            <w:vAlign w:val="center"/>
          </w:tcPr>
          <w:p w14:paraId="05C35A5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SugarCrepe [3]</w:t>
            </w:r>
          </w:p>
        </w:tc>
        <w:tc>
          <w:tcPr>
            <w:tcW w:w="1550" w:type="dxa"/>
            <w:shd w:val="clear" w:color="auto" w:fill="F2F6FB"/>
            <w:tcMar>
              <w:top w:w="90" w:type="dxa"/>
              <w:left w:w="100" w:type="dxa"/>
              <w:bottom w:w="90" w:type="dxa"/>
              <w:right w:w="100" w:type="dxa"/>
            </w:tcMar>
            <w:vAlign w:val="center"/>
          </w:tcPr>
          <w:p w14:paraId="365B461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Replace/Swap/Add</w:t>
            </w:r>
          </w:p>
        </w:tc>
        <w:tc>
          <w:tcPr>
            <w:tcW w:w="1350" w:type="dxa"/>
            <w:shd w:val="clear" w:color="auto" w:fill="F2F6FB"/>
            <w:tcMar>
              <w:top w:w="90" w:type="dxa"/>
              <w:left w:w="100" w:type="dxa"/>
              <w:bottom w:w="90" w:type="dxa"/>
              <w:right w:w="100" w:type="dxa"/>
            </w:tcMar>
            <w:vAlign w:val="center"/>
          </w:tcPr>
          <w:p w14:paraId="7A66D2A0">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二选一检索</w:t>
            </w:r>
          </w:p>
        </w:tc>
        <w:tc>
          <w:tcPr>
            <w:tcW w:w="2350" w:type="dxa"/>
            <w:shd w:val="clear" w:color="auto" w:fill="F2F6FB"/>
            <w:tcMar>
              <w:top w:w="90" w:type="dxa"/>
              <w:left w:w="100" w:type="dxa"/>
              <w:bottom w:w="90" w:type="dxa"/>
              <w:right w:w="100" w:type="dxa"/>
            </w:tcMar>
            <w:vAlign w:val="center"/>
          </w:tcPr>
          <w:p w14:paraId="1C990B9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约 7.5 千样本，Swap 最难</w:t>
            </w:r>
          </w:p>
        </w:tc>
        <w:tc>
          <w:tcPr>
            <w:tcW w:w="2270" w:type="dxa"/>
            <w:shd w:val="clear" w:color="auto" w:fill="F2F6FB"/>
            <w:tcMar>
              <w:top w:w="90" w:type="dxa"/>
              <w:left w:w="100" w:type="dxa"/>
              <w:bottom w:w="90" w:type="dxa"/>
              <w:right w:w="100" w:type="dxa"/>
            </w:tcMar>
            <w:vAlign w:val="center"/>
          </w:tcPr>
          <w:p w14:paraId="0A03A24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纯绑定附加试金石</w:t>
            </w:r>
          </w:p>
        </w:tc>
      </w:tr>
      <w:tr w14:paraId="67B6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dxa"/>
            <w:tcMar>
              <w:top w:w="90" w:type="dxa"/>
              <w:left w:w="100" w:type="dxa"/>
              <w:bottom w:w="90" w:type="dxa"/>
              <w:right w:w="100" w:type="dxa"/>
            </w:tcMar>
            <w:vAlign w:val="center"/>
          </w:tcPr>
          <w:p w14:paraId="483D09C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MM-CondChain [21]</w:t>
            </w:r>
          </w:p>
        </w:tc>
        <w:tc>
          <w:tcPr>
            <w:tcW w:w="1550" w:type="dxa"/>
            <w:tcMar>
              <w:top w:w="90" w:type="dxa"/>
              <w:left w:w="100" w:type="dxa"/>
              <w:bottom w:w="90" w:type="dxa"/>
              <w:right w:w="100" w:type="dxa"/>
            </w:tcMar>
            <w:vAlign w:val="center"/>
          </w:tcPr>
          <w:p w14:paraId="7CF9E0B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多层条件链</w:t>
            </w:r>
          </w:p>
        </w:tc>
        <w:tc>
          <w:tcPr>
            <w:tcW w:w="1350" w:type="dxa"/>
            <w:tcMar>
              <w:top w:w="90" w:type="dxa"/>
              <w:left w:w="100" w:type="dxa"/>
              <w:bottom w:w="90" w:type="dxa"/>
              <w:right w:w="100" w:type="dxa"/>
            </w:tcMar>
            <w:vAlign w:val="center"/>
          </w:tcPr>
          <w:p w14:paraId="784C7E74">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程序执行与 Path F1</w:t>
            </w:r>
          </w:p>
        </w:tc>
        <w:tc>
          <w:tcPr>
            <w:tcW w:w="2350" w:type="dxa"/>
            <w:tcMar>
              <w:top w:w="90" w:type="dxa"/>
              <w:left w:w="100" w:type="dxa"/>
              <w:bottom w:w="90" w:type="dxa"/>
              <w:right w:w="100" w:type="dxa"/>
            </w:tcMar>
            <w:vAlign w:val="center"/>
          </w:tcPr>
          <w:p w14:paraId="2E7B377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零人工评分、可复现</w:t>
            </w:r>
          </w:p>
        </w:tc>
        <w:tc>
          <w:tcPr>
            <w:tcW w:w="2270" w:type="dxa"/>
            <w:tcMar>
              <w:top w:w="90" w:type="dxa"/>
              <w:left w:w="100" w:type="dxa"/>
              <w:bottom w:w="90" w:type="dxa"/>
              <w:right w:w="100" w:type="dxa"/>
            </w:tcMar>
            <w:vAlign w:val="center"/>
          </w:tcPr>
          <w:p w14:paraId="28852D30">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分析可验证性边界</w:t>
            </w:r>
          </w:p>
        </w:tc>
      </w:tr>
    </w:tbl>
    <w:p w14:paraId="3E638E8D">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2.3 RL 与奖励信号</w:t>
      </w:r>
    </w:p>
    <w:p w14:paraId="3B50D79A">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给定视觉—语言输入 x 和模型输出 y，强化学习通过奖励 R(x,y) 调整策略。以 GRPO 为例，同一输入采样多个回答，用组内相对奖励替代价值网络估计优势：</w:t>
      </w:r>
    </w:p>
    <w:p w14:paraId="3C246926">
      <w:pPr>
        <w:pStyle w:val="165"/>
        <w:spacing w:before="40" w:after="40"/>
        <w:ind w:firstLine="0"/>
        <w:jc w:val="center"/>
        <w:rPr>
          <w:color w:val="000000" w:themeColor="text1"/>
          <w14:textFill>
            <w14:solidFill>
              <w14:schemeClr w14:val="tx1"/>
            </w14:solidFill>
          </w14:textFill>
        </w:rPr>
      </w:pPr>
      <w:r>
        <w:rPr>
          <w:rFonts w:ascii="Cambria Math" w:hAnsi="Cambria Math" w:eastAsia="Cambria Math" w:cs="Cambria Math"/>
          <w:color w:val="000000" w:themeColor="text1"/>
          <w:sz w:val="22"/>
          <w14:textFill>
            <w14:solidFill>
              <w14:schemeClr w14:val="tx1"/>
            </w14:solidFill>
          </w14:textFill>
        </w:rPr>
        <w:t>Aᵢ = [rᵢ − mean(r)] / [std(r) + ε]   (1)</w:t>
      </w:r>
    </w:p>
    <w:p w14:paraId="09CD7BBF">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早期 MLLM 对齐工作已经探索了人类反馈、纠错反馈和 AI 反馈，但反馈多集中于回答整体或语言片段 [6–8]。GRPO 的在线组采样使奖励可以随策略更新而变化，因此适合与规则验证、结构匹配和视觉对齐结合。DPO 则从离线偏好对学习，不随策略迭代重新采样；两者并非简单的优劣关系，而是分别适合不同的数据和验证条件 [9, 10]。需要注意的是，“GRPO 隐式包含过程信用分配”这一判断只在 token 级策略梯度和特定更新假设下成立 [11]，不能推广为所有 GRPO 实现都具备可靠的过程监督。</w:t>
      </w:r>
    </w:p>
    <w:p w14:paraId="0F181CB4">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3. 奖励设计空间与代表性方法</w:t>
      </w:r>
    </w:p>
    <w:p w14:paraId="6E10E33B">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本文采用两个互补维度描述方法。第一维是奖励作用对象：答案级、结构级、区域或物体级、步骤级；第二维是奖励信息来源：外部规则或结构验证、回答与视觉证据的关系、过程或跨视角一致性。“验证器奖励、视觉对齐奖励、推理过程奖励”是便于阅读的三组分析标签，不是互斥类别；同一方法可以同时占据多个位置。</w:t>
      </w:r>
    </w:p>
    <w:p w14:paraId="4570C869">
      <w:pPr>
        <w:pStyle w:val="15"/>
        <w:keepNext/>
        <w:spacing w:before="80" w:after="8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表 2 三组分析标签及其适用边界</w:t>
      </w:r>
    </w:p>
    <w:tbl>
      <w:tblPr>
        <w:tblStyle w:val="3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900"/>
        <w:gridCol w:w="1900"/>
        <w:gridCol w:w="1500"/>
        <w:gridCol w:w="1720"/>
      </w:tblGrid>
      <w:tr w14:paraId="3C9A6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00" w:type="dxa"/>
            <w:shd w:val="clear" w:color="auto" w:fill="2F5597"/>
            <w:tcMar>
              <w:top w:w="90" w:type="dxa"/>
              <w:left w:w="100" w:type="dxa"/>
              <w:bottom w:w="90" w:type="dxa"/>
              <w:right w:w="100" w:type="dxa"/>
            </w:tcMar>
            <w:vAlign w:val="center"/>
          </w:tcPr>
          <w:p w14:paraId="33A9C1B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分析标签</w:t>
            </w:r>
          </w:p>
        </w:tc>
        <w:tc>
          <w:tcPr>
            <w:tcW w:w="1900" w:type="dxa"/>
            <w:shd w:val="clear" w:color="auto" w:fill="2F5597"/>
            <w:tcMar>
              <w:top w:w="90" w:type="dxa"/>
              <w:left w:w="100" w:type="dxa"/>
              <w:bottom w:w="90" w:type="dxa"/>
              <w:right w:w="100" w:type="dxa"/>
            </w:tcMar>
            <w:vAlign w:val="center"/>
          </w:tcPr>
          <w:p w14:paraId="55AF38E9">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主要约束</w:t>
            </w:r>
          </w:p>
        </w:tc>
        <w:tc>
          <w:tcPr>
            <w:tcW w:w="1900" w:type="dxa"/>
            <w:shd w:val="clear" w:color="auto" w:fill="2F5597"/>
            <w:tcMar>
              <w:top w:w="90" w:type="dxa"/>
              <w:left w:w="100" w:type="dxa"/>
              <w:bottom w:w="90" w:type="dxa"/>
              <w:right w:w="100" w:type="dxa"/>
            </w:tcMar>
            <w:vAlign w:val="center"/>
          </w:tcPr>
          <w:p w14:paraId="2304503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信息来源</w:t>
            </w:r>
          </w:p>
        </w:tc>
        <w:tc>
          <w:tcPr>
            <w:tcW w:w="1500" w:type="dxa"/>
            <w:shd w:val="clear" w:color="auto" w:fill="2F5597"/>
            <w:tcMar>
              <w:top w:w="90" w:type="dxa"/>
              <w:left w:w="100" w:type="dxa"/>
              <w:bottom w:w="90" w:type="dxa"/>
              <w:right w:w="100" w:type="dxa"/>
            </w:tcMar>
            <w:vAlign w:val="center"/>
          </w:tcPr>
          <w:p w14:paraId="495EFDF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组合触及度</w:t>
            </w:r>
          </w:p>
        </w:tc>
        <w:tc>
          <w:tcPr>
            <w:tcW w:w="1720" w:type="dxa"/>
            <w:shd w:val="clear" w:color="auto" w:fill="2F5597"/>
            <w:tcMar>
              <w:top w:w="90" w:type="dxa"/>
              <w:left w:w="100" w:type="dxa"/>
              <w:bottom w:w="90" w:type="dxa"/>
              <w:right w:w="100" w:type="dxa"/>
            </w:tcMar>
            <w:vAlign w:val="center"/>
          </w:tcPr>
          <w:p w14:paraId="556D0E7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典型短板</w:t>
            </w:r>
          </w:p>
        </w:tc>
      </w:tr>
      <w:tr w14:paraId="5AB5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90" w:type="dxa"/>
              <w:left w:w="100" w:type="dxa"/>
              <w:bottom w:w="90" w:type="dxa"/>
              <w:right w:w="100" w:type="dxa"/>
            </w:tcMar>
            <w:vAlign w:val="center"/>
          </w:tcPr>
          <w:p w14:paraId="01649F5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验证器奖励</w:t>
            </w:r>
          </w:p>
        </w:tc>
        <w:tc>
          <w:tcPr>
            <w:tcW w:w="1900" w:type="dxa"/>
            <w:tcMar>
              <w:top w:w="90" w:type="dxa"/>
              <w:left w:w="100" w:type="dxa"/>
              <w:bottom w:w="90" w:type="dxa"/>
              <w:right w:w="100" w:type="dxa"/>
            </w:tcMar>
            <w:vAlign w:val="center"/>
          </w:tcPr>
          <w:p w14:paraId="10DA5E8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答案或结构是否满足判据</w:t>
            </w:r>
          </w:p>
        </w:tc>
        <w:tc>
          <w:tcPr>
            <w:tcW w:w="1900" w:type="dxa"/>
            <w:tcMar>
              <w:top w:w="90" w:type="dxa"/>
              <w:left w:w="100" w:type="dxa"/>
              <w:bottom w:w="90" w:type="dxa"/>
              <w:right w:w="100" w:type="dxa"/>
            </w:tcMar>
            <w:vAlign w:val="center"/>
          </w:tcPr>
          <w:p w14:paraId="1AA708F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规则、场景图、视图一致性</w:t>
            </w:r>
          </w:p>
        </w:tc>
        <w:tc>
          <w:tcPr>
            <w:tcW w:w="1500" w:type="dxa"/>
            <w:tcMar>
              <w:top w:w="90" w:type="dxa"/>
              <w:left w:w="100" w:type="dxa"/>
              <w:bottom w:w="90" w:type="dxa"/>
              <w:right w:w="100" w:type="dxa"/>
            </w:tcMar>
            <w:vAlign w:val="center"/>
          </w:tcPr>
          <w:p w14:paraId="765CA0F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间接或部分直接</w:t>
            </w:r>
          </w:p>
        </w:tc>
        <w:tc>
          <w:tcPr>
            <w:tcW w:w="1720" w:type="dxa"/>
            <w:tcMar>
              <w:top w:w="90" w:type="dxa"/>
              <w:left w:w="100" w:type="dxa"/>
              <w:bottom w:w="90" w:type="dxa"/>
              <w:right w:w="100" w:type="dxa"/>
            </w:tcMar>
            <w:vAlign w:val="center"/>
          </w:tcPr>
          <w:p w14:paraId="30D4A65B">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开放语义难以完全判定</w:t>
            </w:r>
          </w:p>
        </w:tc>
      </w:tr>
      <w:tr w14:paraId="7AA9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shd w:val="clear" w:color="auto" w:fill="F2F6FB"/>
            <w:tcMar>
              <w:top w:w="90" w:type="dxa"/>
              <w:left w:w="100" w:type="dxa"/>
              <w:bottom w:w="90" w:type="dxa"/>
              <w:right w:w="100" w:type="dxa"/>
            </w:tcMar>
            <w:vAlign w:val="center"/>
          </w:tcPr>
          <w:p w14:paraId="64C25DF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视觉对齐奖励</w:t>
            </w:r>
          </w:p>
        </w:tc>
        <w:tc>
          <w:tcPr>
            <w:tcW w:w="1900" w:type="dxa"/>
            <w:shd w:val="clear" w:color="auto" w:fill="F2F6FB"/>
            <w:tcMar>
              <w:top w:w="90" w:type="dxa"/>
              <w:left w:w="100" w:type="dxa"/>
              <w:bottom w:w="90" w:type="dxa"/>
              <w:right w:w="100" w:type="dxa"/>
            </w:tcMar>
            <w:vAlign w:val="center"/>
          </w:tcPr>
          <w:p w14:paraId="7D36ED24">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是否看对证据区域/物体</w:t>
            </w:r>
          </w:p>
        </w:tc>
        <w:tc>
          <w:tcPr>
            <w:tcW w:w="1900" w:type="dxa"/>
            <w:shd w:val="clear" w:color="auto" w:fill="F2F6FB"/>
            <w:tcMar>
              <w:top w:w="90" w:type="dxa"/>
              <w:left w:w="100" w:type="dxa"/>
              <w:bottom w:w="90" w:type="dxa"/>
              <w:right w:w="100" w:type="dxa"/>
            </w:tcMar>
            <w:vAlign w:val="center"/>
          </w:tcPr>
          <w:p w14:paraId="42FEE92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框、物体匹配、注意力分布</w:t>
            </w:r>
          </w:p>
        </w:tc>
        <w:tc>
          <w:tcPr>
            <w:tcW w:w="1500" w:type="dxa"/>
            <w:shd w:val="clear" w:color="auto" w:fill="F2F6FB"/>
            <w:tcMar>
              <w:top w:w="90" w:type="dxa"/>
              <w:left w:w="100" w:type="dxa"/>
              <w:bottom w:w="90" w:type="dxa"/>
              <w:right w:w="100" w:type="dxa"/>
            </w:tcMar>
            <w:vAlign w:val="center"/>
          </w:tcPr>
          <w:p w14:paraId="38733EB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更直接</w:t>
            </w:r>
          </w:p>
        </w:tc>
        <w:tc>
          <w:tcPr>
            <w:tcW w:w="1720" w:type="dxa"/>
            <w:shd w:val="clear" w:color="auto" w:fill="F2F6FB"/>
            <w:tcMar>
              <w:top w:w="90" w:type="dxa"/>
              <w:left w:w="100" w:type="dxa"/>
              <w:bottom w:w="90" w:type="dxa"/>
              <w:right w:w="100" w:type="dxa"/>
            </w:tcMar>
            <w:vAlign w:val="center"/>
          </w:tcPr>
          <w:p w14:paraId="234CADE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依赖视觉标注或代理信号</w:t>
            </w:r>
          </w:p>
        </w:tc>
      </w:tr>
      <w:tr w14:paraId="76CD5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0" w:type="dxa"/>
            <w:tcMar>
              <w:top w:w="90" w:type="dxa"/>
              <w:left w:w="100" w:type="dxa"/>
              <w:bottom w:w="90" w:type="dxa"/>
              <w:right w:w="100" w:type="dxa"/>
            </w:tcMar>
            <w:vAlign w:val="center"/>
          </w:tcPr>
          <w:p w14:paraId="4DC0F8C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推理过程奖励</w:t>
            </w:r>
          </w:p>
        </w:tc>
        <w:tc>
          <w:tcPr>
            <w:tcW w:w="1900" w:type="dxa"/>
            <w:tcMar>
              <w:top w:w="90" w:type="dxa"/>
              <w:left w:w="100" w:type="dxa"/>
              <w:bottom w:w="90" w:type="dxa"/>
              <w:right w:w="100" w:type="dxa"/>
            </w:tcMar>
            <w:vAlign w:val="center"/>
          </w:tcPr>
          <w:p w14:paraId="2FC3341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步骤结构和信用分配</w:t>
            </w:r>
          </w:p>
        </w:tc>
        <w:tc>
          <w:tcPr>
            <w:tcW w:w="1900" w:type="dxa"/>
            <w:tcMar>
              <w:top w:w="90" w:type="dxa"/>
              <w:left w:w="100" w:type="dxa"/>
              <w:bottom w:w="90" w:type="dxa"/>
              <w:right w:w="100" w:type="dxa"/>
            </w:tcMar>
            <w:vAlign w:val="center"/>
          </w:tcPr>
          <w:p w14:paraId="5AF9C60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子问题、参考链、过程模型</w:t>
            </w:r>
          </w:p>
        </w:tc>
        <w:tc>
          <w:tcPr>
            <w:tcW w:w="1500" w:type="dxa"/>
            <w:tcMar>
              <w:top w:w="90" w:type="dxa"/>
              <w:left w:w="100" w:type="dxa"/>
              <w:bottom w:w="90" w:type="dxa"/>
              <w:right w:w="100" w:type="dxa"/>
            </w:tcMar>
            <w:vAlign w:val="center"/>
          </w:tcPr>
          <w:p w14:paraId="05D1C78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取决于是否含视觉锚定</w:t>
            </w:r>
          </w:p>
        </w:tc>
        <w:tc>
          <w:tcPr>
            <w:tcW w:w="1720" w:type="dxa"/>
            <w:tcMar>
              <w:top w:w="90" w:type="dxa"/>
              <w:left w:w="100" w:type="dxa"/>
              <w:bottom w:w="90" w:type="dxa"/>
              <w:right w:w="100" w:type="dxa"/>
            </w:tcMar>
            <w:vAlign w:val="center"/>
          </w:tcPr>
          <w:p w14:paraId="1187A27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过程质量和参考链有噪声</w:t>
            </w:r>
          </w:p>
        </w:tc>
      </w:tr>
    </w:tbl>
    <w:p w14:paraId="01E32917">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3.1 验证器奖励：让可判定的正确性进入 RL</w:t>
      </w:r>
    </w:p>
    <w:p w14:paraId="51C59BB3">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验证器奖励的核心不是“奖励稀疏”，而是先把任务设计成可以被规则、程序或结构约束判分。CR³ 构造 TG-VCR、VG-TCR 和 CITM 三类任务，并以答案正确性和输出格式作为二元信号 [4]：</w:t>
      </w:r>
    </w:p>
    <w:p w14:paraId="0040B97C">
      <w:pPr>
        <w:pStyle w:val="165"/>
        <w:spacing w:before="40" w:after="40"/>
        <w:ind w:firstLine="0"/>
        <w:jc w:val="center"/>
        <w:rPr>
          <w:color w:val="000000" w:themeColor="text1"/>
          <w14:textFill>
            <w14:solidFill>
              <w14:schemeClr w14:val="tx1"/>
            </w14:solidFill>
          </w14:textFill>
        </w:rPr>
      </w:pPr>
      <w:r>
        <w:rPr>
          <w:rFonts w:ascii="Cambria Math" w:hAnsi="Cambria Math" w:eastAsia="Cambria Math" w:cs="Cambria Math"/>
          <w:color w:val="000000" w:themeColor="text1"/>
          <w:sz w:val="22"/>
          <w14:textFill>
            <w14:solidFill>
              <w14:schemeClr w14:val="tx1"/>
            </w14:solidFill>
          </w14:textFill>
        </w:rPr>
        <w:t>R_CR³ = 𝟙[Format(y)] · [𝟙[Correct(y)] + λ · 𝟙[Order(y)]]   (2)</w:t>
      </w:r>
    </w:p>
    <w:p w14:paraId="6C811467">
      <w:pPr>
        <w:pStyle w:val="19"/>
        <w:spacing w:before="0" w:after="0" w:line="360"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其中 λ 控制格式或推理顺序项在总奖励中的权重。</w:t>
      </w:r>
    </w:p>
    <w:p w14:paraId="3F0997A8">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CR³ 的关键贡献在于语义与视觉双重筛选困难负样本，而不只是把二元奖励套在普通数据上；论文在三个组合基准上报告了超过 9 个百分点的平均提升 [4]。这一结果支持“确定性奖励可以有效驱动组合任务”的判断，但不能据此证明模型一定学会了视觉绑定，因为答案验证仍可能被文本偏置利用。</w:t>
      </w:r>
    </w:p>
    <w:p w14:paraId="660259D5">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SpatialThinker 将验证对象扩展到场景图、计数和空间关系，并用字典序门控避免模型为刷中间分量而牺牲最终答案 [13]。SVQA-R1 则通过镜像翻转后的问答一致性构造自监督判据 [14]。两者都扩大了“可验证”的范围，但判据质量分别受人工场景图和变换假设限制。</w:t>
      </w:r>
    </w:p>
    <w:p w14:paraId="526665C2">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3.2 视觉对齐奖励：约束回答与证据的关系</w:t>
      </w:r>
    </w:p>
    <w:p w14:paraId="3132CE81">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视觉对齐奖励针对结果验证无法回答的一个问题：模型是否真的看到了正确区域。Ground-R1 以两阶段 rollout 生成证据框，再基于局部图像回答；其主要创新是尺度相对策略优化，使不同面积证据在优势计算中公平竞争 [15]。Ground-R1 不需要额外框标注，但“看对地方”仍主要通过答案和格式代理判定，因此属于弱监督视觉对齐。</w:t>
      </w:r>
    </w:p>
    <w:p w14:paraId="7656A135">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GRIT 将 bbox 坐标嵌入思维链，并用少量图文问答和计数奖励诱发 grounded 行为 [16]。POLIA 进一步在答案级优势之外加入物体级内在优势，根据预测框与物体标注的匹配置信度修正奖励 [17]。SAYO 则把显式区域推广到视觉注意力分布 [18]。这些方法的共同趋势是从“是否答对”转向“答对时是否看对”，但目前验证多集中在通用 VQA、空间问答或 grounding 指标，显式组合基准覆盖仍不足。</w:t>
      </w:r>
    </w:p>
    <w:p w14:paraId="4B2A5893">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3.3 推理过程奖励：把结构和信用分配纳入目标</w:t>
      </w:r>
    </w:p>
    <w:p w14:paraId="25214145">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过程奖励并不天然等于视觉奖励。VisualPRM 训练过程奖励模型，对推理步骤进行学习式评价，在多个多模态推理基准上带来提升，但其步骤定义主要是文本步骤，视觉锚定有限 [12]。Self-Questioning VLM 用“子问题—子答案序列+最终答案”的格式约束诱发分解行为；其优点是实现简单，缺点是子问题质量并未被直接检查 [19]。</w:t>
      </w:r>
    </w:p>
    <w:p w14:paraId="0B555445">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H-GRPO 将每一步结构化为（子问题、子答案、证据框）三元组，并用匈牙利匹配评价预测链与参考链的语义和视觉兼容性 [20]：</w:t>
      </w:r>
    </w:p>
    <w:p w14:paraId="03167F8E">
      <w:pPr>
        <w:pStyle w:val="165"/>
        <w:spacing w:before="40" w:after="40"/>
        <w:ind w:firstLine="0"/>
        <w:jc w:val="center"/>
        <w:rPr>
          <w:color w:val="000000" w:themeColor="text1"/>
          <w14:textFill>
            <w14:solidFill>
              <w14:schemeClr w14:val="tx1"/>
            </w14:solidFill>
          </w14:textFill>
        </w:rPr>
      </w:pPr>
      <w:r>
        <w:rPr>
          <w:rFonts w:ascii="Cambria Math" w:hAnsi="Cambria Math" w:eastAsia="Cambria Math" w:cs="Cambria Math"/>
          <w:color w:val="000000" w:themeColor="text1"/>
          <w:sz w:val="22"/>
          <w14:textFill>
            <w14:solidFill>
              <w14:schemeClr w14:val="tx1"/>
            </w14:solidFill>
          </w14:textFill>
        </w:rPr>
        <w:t>Sᵢⱼ = 1/4 [E(bᵢ,bⱼ*) + sim_q(qᵢ,qⱼ*) + sim_a(aᵢ,aⱼ*) + IoU(bᵢ,bⱼ*)]   (3)</w:t>
      </w:r>
    </w:p>
    <w:p w14:paraId="53357178">
      <w:pPr>
        <w:pStyle w:val="165"/>
        <w:spacing w:before="40" w:after="40"/>
        <w:ind w:firstLine="0"/>
        <w:jc w:val="center"/>
        <w:rPr>
          <w:color w:val="000000" w:themeColor="text1"/>
          <w14:textFill>
            <w14:solidFill>
              <w14:schemeClr w14:val="tx1"/>
            </w14:solidFill>
          </w14:textFill>
        </w:rPr>
      </w:pPr>
      <w:r>
        <w:rPr>
          <w:rFonts w:ascii="Cambria Math" w:hAnsi="Cambria Math" w:eastAsia="Cambria Math" w:cs="Cambria Math"/>
          <w:color w:val="000000" w:themeColor="text1"/>
          <w:sz w:val="22"/>
          <w14:textFill>
            <w14:solidFill>
              <w14:schemeClr w14:val="tx1"/>
            </w14:solidFill>
          </w14:textFill>
        </w:rPr>
        <w:t>R = αR_fmt + βR_ans · max(0, S_HS − τ)   (4)</w:t>
      </w:r>
    </w:p>
    <w:p w14:paraId="519221BD">
      <w:pPr>
        <w:pStyle w:val="19"/>
        <w:spacing w:before="0" w:after="0" w:line="360"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式（3）中的 E、sim_q、sim_a 和 IoU 分别表示证据框兼容性、子问题语义相似度、子答案语义相似度和框重叠；S_HS 为匈牙利匹配得分，τ 为门控阈值，α 和 β 为权重。</w:t>
      </w:r>
    </w:p>
    <w:p w14:paraId="10E2989A">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H-GRPO 的答案奖励与匹配奖励相乘，只有最终答对且中间步骤与证据相容时才获得完整信号。需要特别说明，H-GRPO 并非严格意义上的“零监督”：参考三元组由合成数据和人工核验构成，监督强度低于逐步人工标注，但仍存在参考链质量和框质量的外部成本。</w:t>
      </w:r>
    </w:p>
    <w:p w14:paraId="426B6435">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3.4 代表性方法矩阵</w:t>
      </w:r>
    </w:p>
    <w:p w14:paraId="178F7530">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为避免把不同指标直接排名，表 3 只比较奖励设计、监督来源和证据范围；结果数字保留为论文报告值，不据此建立跨模型的绝对排名。</w:t>
      </w:r>
    </w:p>
    <w:p w14:paraId="775B5F76">
      <w:pPr>
        <w:pStyle w:val="15"/>
        <w:keepNext/>
        <w:spacing w:before="80" w:after="8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表 3 代表性方法的奖励设计与证据范围</w:t>
      </w:r>
    </w:p>
    <w:tbl>
      <w:tblPr>
        <w:tblStyle w:val="33"/>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200"/>
        <w:gridCol w:w="1750"/>
        <w:gridCol w:w="1400"/>
        <w:gridCol w:w="1500"/>
        <w:gridCol w:w="1620"/>
      </w:tblGrid>
      <w:tr w14:paraId="5F56F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50" w:type="dxa"/>
            <w:shd w:val="clear" w:color="auto" w:fill="2F5597"/>
            <w:tcMar>
              <w:top w:w="90" w:type="dxa"/>
              <w:left w:w="100" w:type="dxa"/>
              <w:bottom w:w="90" w:type="dxa"/>
              <w:right w:w="100" w:type="dxa"/>
            </w:tcMar>
            <w:vAlign w:val="center"/>
          </w:tcPr>
          <w:p w14:paraId="42877BE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方法</w:t>
            </w:r>
          </w:p>
        </w:tc>
        <w:tc>
          <w:tcPr>
            <w:tcW w:w="1200" w:type="dxa"/>
            <w:shd w:val="clear" w:color="auto" w:fill="2F5597"/>
            <w:tcMar>
              <w:top w:w="90" w:type="dxa"/>
              <w:left w:w="100" w:type="dxa"/>
              <w:bottom w:w="90" w:type="dxa"/>
              <w:right w:w="100" w:type="dxa"/>
            </w:tcMar>
            <w:vAlign w:val="center"/>
          </w:tcPr>
          <w:p w14:paraId="628205B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主要对象</w:t>
            </w:r>
          </w:p>
        </w:tc>
        <w:tc>
          <w:tcPr>
            <w:tcW w:w="1750" w:type="dxa"/>
            <w:shd w:val="clear" w:color="auto" w:fill="2F5597"/>
            <w:tcMar>
              <w:top w:w="90" w:type="dxa"/>
              <w:left w:w="100" w:type="dxa"/>
              <w:bottom w:w="90" w:type="dxa"/>
              <w:right w:w="100" w:type="dxa"/>
            </w:tcMar>
            <w:vAlign w:val="center"/>
          </w:tcPr>
          <w:p w14:paraId="0888773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奖励/验证来源</w:t>
            </w:r>
          </w:p>
        </w:tc>
        <w:tc>
          <w:tcPr>
            <w:tcW w:w="1400" w:type="dxa"/>
            <w:shd w:val="clear" w:color="auto" w:fill="2F5597"/>
            <w:tcMar>
              <w:top w:w="90" w:type="dxa"/>
              <w:left w:w="100" w:type="dxa"/>
              <w:bottom w:w="90" w:type="dxa"/>
              <w:right w:w="100" w:type="dxa"/>
            </w:tcMar>
            <w:vAlign w:val="center"/>
          </w:tcPr>
          <w:p w14:paraId="1336CFC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监督需求</w:t>
            </w:r>
          </w:p>
        </w:tc>
        <w:tc>
          <w:tcPr>
            <w:tcW w:w="1500" w:type="dxa"/>
            <w:shd w:val="clear" w:color="auto" w:fill="2F5597"/>
            <w:tcMar>
              <w:top w:w="90" w:type="dxa"/>
              <w:left w:w="100" w:type="dxa"/>
              <w:bottom w:w="90" w:type="dxa"/>
              <w:right w:w="100" w:type="dxa"/>
            </w:tcMar>
            <w:vAlign w:val="center"/>
          </w:tcPr>
          <w:p w14:paraId="7CBF6F3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与组合推理关系</w:t>
            </w:r>
          </w:p>
        </w:tc>
        <w:tc>
          <w:tcPr>
            <w:tcW w:w="1620" w:type="dxa"/>
            <w:shd w:val="clear" w:color="auto" w:fill="2F5597"/>
            <w:tcMar>
              <w:top w:w="90" w:type="dxa"/>
              <w:left w:w="100" w:type="dxa"/>
              <w:bottom w:w="90" w:type="dxa"/>
              <w:right w:w="100" w:type="dxa"/>
            </w:tcMar>
            <w:vAlign w:val="center"/>
          </w:tcPr>
          <w:p w14:paraId="7AF42D6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i w:val="0"/>
                <w:color w:val="000000" w:themeColor="text1"/>
                <w:sz w:val="20"/>
                <w14:textFill>
                  <w14:solidFill>
                    <w14:schemeClr w14:val="tx1"/>
                  </w14:solidFill>
                </w14:textFill>
              </w:rPr>
              <w:t>论文报告证据</w:t>
            </w:r>
          </w:p>
        </w:tc>
      </w:tr>
      <w:tr w14:paraId="7D18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90" w:type="dxa"/>
              <w:left w:w="100" w:type="dxa"/>
              <w:bottom w:w="90" w:type="dxa"/>
              <w:right w:w="100" w:type="dxa"/>
            </w:tcMar>
            <w:vAlign w:val="center"/>
          </w:tcPr>
          <w:p w14:paraId="483C96E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CR³ [4]</w:t>
            </w:r>
          </w:p>
        </w:tc>
        <w:tc>
          <w:tcPr>
            <w:tcW w:w="1200" w:type="dxa"/>
            <w:tcMar>
              <w:top w:w="90" w:type="dxa"/>
              <w:left w:w="100" w:type="dxa"/>
              <w:bottom w:w="90" w:type="dxa"/>
              <w:right w:w="100" w:type="dxa"/>
            </w:tcMar>
            <w:vAlign w:val="center"/>
          </w:tcPr>
          <w:p w14:paraId="023D4530">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答案+格式</w:t>
            </w:r>
          </w:p>
        </w:tc>
        <w:tc>
          <w:tcPr>
            <w:tcW w:w="1750" w:type="dxa"/>
            <w:tcMar>
              <w:top w:w="90" w:type="dxa"/>
              <w:left w:w="100" w:type="dxa"/>
              <w:bottom w:w="90" w:type="dxa"/>
              <w:right w:w="100" w:type="dxa"/>
            </w:tcMar>
            <w:vAlign w:val="center"/>
          </w:tcPr>
          <w:p w14:paraId="304663E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规则判定</w:t>
            </w:r>
          </w:p>
        </w:tc>
        <w:tc>
          <w:tcPr>
            <w:tcW w:w="1400" w:type="dxa"/>
            <w:tcMar>
              <w:top w:w="90" w:type="dxa"/>
              <w:left w:w="100" w:type="dxa"/>
              <w:bottom w:w="90" w:type="dxa"/>
              <w:right w:w="100" w:type="dxa"/>
            </w:tcMar>
            <w:vAlign w:val="center"/>
          </w:tcPr>
          <w:p w14:paraId="39F2FD7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答案标签；无过程标注</w:t>
            </w:r>
          </w:p>
        </w:tc>
        <w:tc>
          <w:tcPr>
            <w:tcW w:w="1500" w:type="dxa"/>
            <w:tcMar>
              <w:top w:w="90" w:type="dxa"/>
              <w:left w:w="100" w:type="dxa"/>
              <w:bottom w:w="90" w:type="dxa"/>
              <w:right w:w="100" w:type="dxa"/>
            </w:tcMar>
            <w:vAlign w:val="center"/>
          </w:tcPr>
          <w:p w14:paraId="1FE822FB">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直接</w:t>
            </w:r>
          </w:p>
        </w:tc>
        <w:tc>
          <w:tcPr>
            <w:tcW w:w="1620" w:type="dxa"/>
            <w:tcMar>
              <w:top w:w="90" w:type="dxa"/>
              <w:left w:w="100" w:type="dxa"/>
              <w:bottom w:w="90" w:type="dxa"/>
              <w:right w:w="100" w:type="dxa"/>
            </w:tcMar>
            <w:vAlign w:val="center"/>
          </w:tcPr>
          <w:p w14:paraId="068B858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三基准平均提升超 9 个百分点</w:t>
            </w:r>
          </w:p>
        </w:tc>
      </w:tr>
      <w:tr w14:paraId="6064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shd w:val="clear" w:color="auto" w:fill="F2F6FB"/>
            <w:tcMar>
              <w:top w:w="90" w:type="dxa"/>
              <w:left w:w="100" w:type="dxa"/>
              <w:bottom w:w="90" w:type="dxa"/>
              <w:right w:w="100" w:type="dxa"/>
            </w:tcMar>
            <w:vAlign w:val="center"/>
          </w:tcPr>
          <w:p w14:paraId="49673D6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SpatialThinker [13]</w:t>
            </w:r>
          </w:p>
        </w:tc>
        <w:tc>
          <w:tcPr>
            <w:tcW w:w="1200" w:type="dxa"/>
            <w:shd w:val="clear" w:color="auto" w:fill="F2F6FB"/>
            <w:tcMar>
              <w:top w:w="90" w:type="dxa"/>
              <w:left w:w="100" w:type="dxa"/>
              <w:bottom w:w="90" w:type="dxa"/>
              <w:right w:w="100" w:type="dxa"/>
            </w:tcMar>
            <w:vAlign w:val="center"/>
          </w:tcPr>
          <w:p w14:paraId="5E15D7A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场景图结构</w:t>
            </w:r>
          </w:p>
        </w:tc>
        <w:tc>
          <w:tcPr>
            <w:tcW w:w="1750" w:type="dxa"/>
            <w:shd w:val="clear" w:color="auto" w:fill="F2F6FB"/>
            <w:tcMar>
              <w:top w:w="90" w:type="dxa"/>
              <w:left w:w="100" w:type="dxa"/>
              <w:bottom w:w="90" w:type="dxa"/>
              <w:right w:w="100" w:type="dxa"/>
            </w:tcMar>
            <w:vAlign w:val="center"/>
          </w:tcPr>
          <w:p w14:paraId="7B8DA0B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字典序门控稠密奖励</w:t>
            </w:r>
          </w:p>
        </w:tc>
        <w:tc>
          <w:tcPr>
            <w:tcW w:w="1400" w:type="dxa"/>
            <w:shd w:val="clear" w:color="auto" w:fill="F2F6FB"/>
            <w:tcMar>
              <w:top w:w="90" w:type="dxa"/>
              <w:left w:w="100" w:type="dxa"/>
              <w:bottom w:w="90" w:type="dxa"/>
              <w:right w:w="100" w:type="dxa"/>
            </w:tcMar>
            <w:vAlign w:val="center"/>
          </w:tcPr>
          <w:p w14:paraId="0DAA75D8">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STVQA-7K 场景图</w:t>
            </w:r>
          </w:p>
        </w:tc>
        <w:tc>
          <w:tcPr>
            <w:tcW w:w="1500" w:type="dxa"/>
            <w:shd w:val="clear" w:color="auto" w:fill="F2F6FB"/>
            <w:tcMar>
              <w:top w:w="90" w:type="dxa"/>
              <w:left w:w="100" w:type="dxa"/>
              <w:bottom w:w="90" w:type="dxa"/>
              <w:right w:w="100" w:type="dxa"/>
            </w:tcMar>
            <w:vAlign w:val="center"/>
          </w:tcPr>
          <w:p w14:paraId="4193F26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直接/空间</w:t>
            </w:r>
          </w:p>
        </w:tc>
        <w:tc>
          <w:tcPr>
            <w:tcW w:w="1620" w:type="dxa"/>
            <w:shd w:val="clear" w:color="auto" w:fill="F2F6FB"/>
            <w:tcMar>
              <w:top w:w="90" w:type="dxa"/>
              <w:left w:w="100" w:type="dxa"/>
              <w:bottom w:w="90" w:type="dxa"/>
              <w:right w:w="100" w:type="dxa"/>
            </w:tcMar>
            <w:vAlign w:val="center"/>
          </w:tcPr>
          <w:p w14:paraId="38471EE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14 个基准平均提升 4.7%</w:t>
            </w:r>
          </w:p>
        </w:tc>
      </w:tr>
      <w:tr w14:paraId="7298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90" w:type="dxa"/>
              <w:left w:w="100" w:type="dxa"/>
              <w:bottom w:w="90" w:type="dxa"/>
              <w:right w:w="100" w:type="dxa"/>
            </w:tcMar>
            <w:vAlign w:val="center"/>
          </w:tcPr>
          <w:p w14:paraId="6CBD593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SVQA-R1 [14]</w:t>
            </w:r>
          </w:p>
        </w:tc>
        <w:tc>
          <w:tcPr>
            <w:tcW w:w="1200" w:type="dxa"/>
            <w:tcMar>
              <w:top w:w="90" w:type="dxa"/>
              <w:left w:w="100" w:type="dxa"/>
              <w:bottom w:w="90" w:type="dxa"/>
              <w:right w:w="100" w:type="dxa"/>
            </w:tcMar>
            <w:vAlign w:val="center"/>
          </w:tcPr>
          <w:p w14:paraId="22767B37">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跨视角一致性</w:t>
            </w:r>
          </w:p>
        </w:tc>
        <w:tc>
          <w:tcPr>
            <w:tcW w:w="1750" w:type="dxa"/>
            <w:tcMar>
              <w:top w:w="90" w:type="dxa"/>
              <w:left w:w="100" w:type="dxa"/>
              <w:bottom w:w="90" w:type="dxa"/>
              <w:right w:w="100" w:type="dxa"/>
            </w:tcMar>
            <w:vAlign w:val="center"/>
          </w:tcPr>
          <w:p w14:paraId="2640E1B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镜像翻转自监督</w:t>
            </w:r>
          </w:p>
        </w:tc>
        <w:tc>
          <w:tcPr>
            <w:tcW w:w="1400" w:type="dxa"/>
            <w:tcMar>
              <w:top w:w="90" w:type="dxa"/>
              <w:left w:w="100" w:type="dxa"/>
              <w:bottom w:w="90" w:type="dxa"/>
              <w:right w:w="100" w:type="dxa"/>
            </w:tcMar>
            <w:vAlign w:val="center"/>
          </w:tcPr>
          <w:p w14:paraId="23C8EDB8">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无额外框标注</w:t>
            </w:r>
          </w:p>
        </w:tc>
        <w:tc>
          <w:tcPr>
            <w:tcW w:w="1500" w:type="dxa"/>
            <w:tcMar>
              <w:top w:w="90" w:type="dxa"/>
              <w:left w:w="100" w:type="dxa"/>
              <w:bottom w:w="90" w:type="dxa"/>
              <w:right w:w="100" w:type="dxa"/>
            </w:tcMar>
            <w:vAlign w:val="center"/>
          </w:tcPr>
          <w:p w14:paraId="21FDD508">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直接/空间</w:t>
            </w:r>
          </w:p>
        </w:tc>
        <w:tc>
          <w:tcPr>
            <w:tcW w:w="1620" w:type="dxa"/>
            <w:tcMar>
              <w:top w:w="90" w:type="dxa"/>
              <w:left w:w="100" w:type="dxa"/>
              <w:bottom w:w="90" w:type="dxa"/>
              <w:right w:w="100" w:type="dxa"/>
            </w:tcMar>
            <w:vAlign w:val="center"/>
          </w:tcPr>
          <w:p w14:paraId="6D6EC65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Q-Spatial++ 上 3B 模型提升超 30 点</w:t>
            </w:r>
          </w:p>
        </w:tc>
      </w:tr>
      <w:tr w14:paraId="0D44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shd w:val="clear" w:color="auto" w:fill="F2F6FB"/>
            <w:tcMar>
              <w:top w:w="90" w:type="dxa"/>
              <w:left w:w="100" w:type="dxa"/>
              <w:bottom w:w="90" w:type="dxa"/>
              <w:right w:w="100" w:type="dxa"/>
            </w:tcMar>
            <w:vAlign w:val="center"/>
          </w:tcPr>
          <w:p w14:paraId="5840C17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Ground-R1 [15]</w:t>
            </w:r>
          </w:p>
        </w:tc>
        <w:tc>
          <w:tcPr>
            <w:tcW w:w="1200" w:type="dxa"/>
            <w:shd w:val="clear" w:color="auto" w:fill="F2F6FB"/>
            <w:tcMar>
              <w:top w:w="90" w:type="dxa"/>
              <w:left w:w="100" w:type="dxa"/>
              <w:bottom w:w="90" w:type="dxa"/>
              <w:right w:w="100" w:type="dxa"/>
            </w:tcMar>
            <w:vAlign w:val="center"/>
          </w:tcPr>
          <w:p w14:paraId="1CE6AC2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证据区域</w:t>
            </w:r>
          </w:p>
        </w:tc>
        <w:tc>
          <w:tcPr>
            <w:tcW w:w="1750" w:type="dxa"/>
            <w:shd w:val="clear" w:color="auto" w:fill="F2F6FB"/>
            <w:tcMar>
              <w:top w:w="90" w:type="dxa"/>
              <w:left w:w="100" w:type="dxa"/>
              <w:bottom w:w="90" w:type="dxa"/>
              <w:right w:w="100" w:type="dxa"/>
            </w:tcMar>
            <w:vAlign w:val="center"/>
          </w:tcPr>
          <w:p w14:paraId="6E9AA32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答案+尺度相对优势</w:t>
            </w:r>
          </w:p>
        </w:tc>
        <w:tc>
          <w:tcPr>
            <w:tcW w:w="1400" w:type="dxa"/>
            <w:shd w:val="clear" w:color="auto" w:fill="F2F6FB"/>
            <w:tcMar>
              <w:top w:w="90" w:type="dxa"/>
              <w:left w:w="100" w:type="dxa"/>
              <w:bottom w:w="90" w:type="dxa"/>
              <w:right w:w="100" w:type="dxa"/>
            </w:tcMar>
            <w:vAlign w:val="center"/>
          </w:tcPr>
          <w:p w14:paraId="296E2D31">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无框标注，弱监督</w:t>
            </w:r>
          </w:p>
        </w:tc>
        <w:tc>
          <w:tcPr>
            <w:tcW w:w="1500" w:type="dxa"/>
            <w:shd w:val="clear" w:color="auto" w:fill="F2F6FB"/>
            <w:tcMar>
              <w:top w:w="90" w:type="dxa"/>
              <w:left w:w="100" w:type="dxa"/>
              <w:bottom w:w="90" w:type="dxa"/>
              <w:right w:w="100" w:type="dxa"/>
            </w:tcMar>
            <w:vAlign w:val="center"/>
          </w:tcPr>
          <w:p w14:paraId="323C1DD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邻近启发</w:t>
            </w:r>
          </w:p>
        </w:tc>
        <w:tc>
          <w:tcPr>
            <w:tcW w:w="1620" w:type="dxa"/>
            <w:shd w:val="clear" w:color="auto" w:fill="F2F6FB"/>
            <w:tcMar>
              <w:top w:w="90" w:type="dxa"/>
              <w:left w:w="100" w:type="dxa"/>
              <w:bottom w:w="90" w:type="dxa"/>
              <w:right w:w="100" w:type="dxa"/>
            </w:tcMar>
            <w:vAlign w:val="center"/>
          </w:tcPr>
          <w:p w14:paraId="16617E38">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定位行为自发出现</w:t>
            </w:r>
          </w:p>
        </w:tc>
      </w:tr>
      <w:tr w14:paraId="60CBF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90" w:type="dxa"/>
              <w:left w:w="100" w:type="dxa"/>
              <w:bottom w:w="90" w:type="dxa"/>
              <w:right w:w="100" w:type="dxa"/>
            </w:tcMar>
            <w:vAlign w:val="center"/>
          </w:tcPr>
          <w:p w14:paraId="79380B6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GRIT [16]</w:t>
            </w:r>
          </w:p>
        </w:tc>
        <w:tc>
          <w:tcPr>
            <w:tcW w:w="1200" w:type="dxa"/>
            <w:tcMar>
              <w:top w:w="90" w:type="dxa"/>
              <w:left w:w="100" w:type="dxa"/>
              <w:bottom w:w="90" w:type="dxa"/>
              <w:right w:w="100" w:type="dxa"/>
            </w:tcMar>
            <w:vAlign w:val="center"/>
          </w:tcPr>
          <w:p w14:paraId="0406174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区域+计数</w:t>
            </w:r>
          </w:p>
        </w:tc>
        <w:tc>
          <w:tcPr>
            <w:tcW w:w="1750" w:type="dxa"/>
            <w:tcMar>
              <w:top w:w="90" w:type="dxa"/>
              <w:left w:w="100" w:type="dxa"/>
              <w:bottom w:w="90" w:type="dxa"/>
              <w:right w:w="100" w:type="dxa"/>
            </w:tcMar>
            <w:vAlign w:val="center"/>
          </w:tcPr>
          <w:p w14:paraId="12253ED4">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bbox 内嵌与格式奖励</w:t>
            </w:r>
          </w:p>
        </w:tc>
        <w:tc>
          <w:tcPr>
            <w:tcW w:w="1400" w:type="dxa"/>
            <w:tcMar>
              <w:top w:w="90" w:type="dxa"/>
              <w:left w:w="100" w:type="dxa"/>
              <w:bottom w:w="90" w:type="dxa"/>
              <w:right w:w="100" w:type="dxa"/>
            </w:tcMar>
            <w:vAlign w:val="center"/>
          </w:tcPr>
          <w:p w14:paraId="76DF068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少量三元组</w:t>
            </w:r>
          </w:p>
        </w:tc>
        <w:tc>
          <w:tcPr>
            <w:tcW w:w="1500" w:type="dxa"/>
            <w:tcMar>
              <w:top w:w="90" w:type="dxa"/>
              <w:left w:w="100" w:type="dxa"/>
              <w:bottom w:w="90" w:type="dxa"/>
              <w:right w:w="100" w:type="dxa"/>
            </w:tcMar>
            <w:vAlign w:val="center"/>
          </w:tcPr>
          <w:p w14:paraId="6B75E840">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邻近启发</w:t>
            </w:r>
          </w:p>
        </w:tc>
        <w:tc>
          <w:tcPr>
            <w:tcW w:w="1620" w:type="dxa"/>
            <w:tcMar>
              <w:top w:w="90" w:type="dxa"/>
              <w:left w:w="100" w:type="dxa"/>
              <w:bottom w:w="90" w:type="dxa"/>
              <w:right w:w="100" w:type="dxa"/>
            </w:tcMar>
            <w:vAlign w:val="center"/>
          </w:tcPr>
          <w:p w14:paraId="795E4D99">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GIoU 0.349→0.387</w:t>
            </w:r>
          </w:p>
        </w:tc>
      </w:tr>
      <w:tr w14:paraId="62F2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shd w:val="clear" w:color="auto" w:fill="F2F6FB"/>
            <w:tcMar>
              <w:top w:w="90" w:type="dxa"/>
              <w:left w:w="100" w:type="dxa"/>
              <w:bottom w:w="90" w:type="dxa"/>
              <w:right w:w="100" w:type="dxa"/>
            </w:tcMar>
            <w:vAlign w:val="center"/>
          </w:tcPr>
          <w:p w14:paraId="67C0A1C9">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POLIA [17]</w:t>
            </w:r>
          </w:p>
        </w:tc>
        <w:tc>
          <w:tcPr>
            <w:tcW w:w="1200" w:type="dxa"/>
            <w:shd w:val="clear" w:color="auto" w:fill="F2F6FB"/>
            <w:tcMar>
              <w:top w:w="90" w:type="dxa"/>
              <w:left w:w="100" w:type="dxa"/>
              <w:bottom w:w="90" w:type="dxa"/>
              <w:right w:w="100" w:type="dxa"/>
            </w:tcMar>
            <w:vAlign w:val="center"/>
          </w:tcPr>
          <w:p w14:paraId="547BFB2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物体级</w:t>
            </w:r>
          </w:p>
        </w:tc>
        <w:tc>
          <w:tcPr>
            <w:tcW w:w="1750" w:type="dxa"/>
            <w:shd w:val="clear" w:color="auto" w:fill="F2F6FB"/>
            <w:tcMar>
              <w:top w:w="90" w:type="dxa"/>
              <w:left w:w="100" w:type="dxa"/>
              <w:bottom w:w="90" w:type="dxa"/>
              <w:right w:w="100" w:type="dxa"/>
            </w:tcMar>
            <w:vAlign w:val="center"/>
          </w:tcPr>
          <w:p w14:paraId="6106250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置信度修正内在优势</w:t>
            </w:r>
          </w:p>
        </w:tc>
        <w:tc>
          <w:tcPr>
            <w:tcW w:w="1400" w:type="dxa"/>
            <w:shd w:val="clear" w:color="auto" w:fill="F2F6FB"/>
            <w:tcMar>
              <w:top w:w="90" w:type="dxa"/>
              <w:left w:w="100" w:type="dxa"/>
              <w:bottom w:w="90" w:type="dxa"/>
              <w:right w:w="100" w:type="dxa"/>
            </w:tcMar>
            <w:vAlign w:val="center"/>
          </w:tcPr>
          <w:p w14:paraId="566B06B0">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物体框标注</w:t>
            </w:r>
          </w:p>
        </w:tc>
        <w:tc>
          <w:tcPr>
            <w:tcW w:w="1500" w:type="dxa"/>
            <w:shd w:val="clear" w:color="auto" w:fill="F2F6FB"/>
            <w:tcMar>
              <w:top w:w="90" w:type="dxa"/>
              <w:left w:w="100" w:type="dxa"/>
              <w:bottom w:w="90" w:type="dxa"/>
              <w:right w:w="100" w:type="dxa"/>
            </w:tcMar>
            <w:vAlign w:val="center"/>
          </w:tcPr>
          <w:p w14:paraId="47757B5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部分直接</w:t>
            </w:r>
          </w:p>
        </w:tc>
        <w:tc>
          <w:tcPr>
            <w:tcW w:w="1620" w:type="dxa"/>
            <w:shd w:val="clear" w:color="auto" w:fill="F2F6FB"/>
            <w:tcMar>
              <w:top w:w="90" w:type="dxa"/>
              <w:left w:w="100" w:type="dxa"/>
              <w:bottom w:w="90" w:type="dxa"/>
              <w:right w:w="100" w:type="dxa"/>
            </w:tcMar>
            <w:vAlign w:val="center"/>
          </w:tcPr>
          <w:p w14:paraId="5F7C655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VSR 59.0%→81.3%</w:t>
            </w:r>
          </w:p>
        </w:tc>
      </w:tr>
      <w:tr w14:paraId="6400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tcMar>
              <w:top w:w="90" w:type="dxa"/>
              <w:left w:w="100" w:type="dxa"/>
              <w:bottom w:w="90" w:type="dxa"/>
              <w:right w:w="100" w:type="dxa"/>
            </w:tcMar>
            <w:vAlign w:val="center"/>
          </w:tcPr>
          <w:p w14:paraId="2AFC5313">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Self-Questioning [19]</w:t>
            </w:r>
          </w:p>
        </w:tc>
        <w:tc>
          <w:tcPr>
            <w:tcW w:w="1200" w:type="dxa"/>
            <w:tcMar>
              <w:top w:w="90" w:type="dxa"/>
              <w:left w:w="100" w:type="dxa"/>
              <w:bottom w:w="90" w:type="dxa"/>
              <w:right w:w="100" w:type="dxa"/>
            </w:tcMar>
            <w:vAlign w:val="center"/>
          </w:tcPr>
          <w:p w14:paraId="2CEA5C24">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子问题结构</w:t>
            </w:r>
          </w:p>
        </w:tc>
        <w:tc>
          <w:tcPr>
            <w:tcW w:w="1750" w:type="dxa"/>
            <w:tcMar>
              <w:top w:w="90" w:type="dxa"/>
              <w:left w:w="100" w:type="dxa"/>
              <w:bottom w:w="90" w:type="dxa"/>
              <w:right w:w="100" w:type="dxa"/>
            </w:tcMar>
            <w:vAlign w:val="center"/>
          </w:tcPr>
          <w:p w14:paraId="75918512">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格式+答案奖励</w:t>
            </w:r>
          </w:p>
        </w:tc>
        <w:tc>
          <w:tcPr>
            <w:tcW w:w="1400" w:type="dxa"/>
            <w:tcMar>
              <w:top w:w="90" w:type="dxa"/>
              <w:left w:w="100" w:type="dxa"/>
              <w:bottom w:w="90" w:type="dxa"/>
              <w:right w:w="100" w:type="dxa"/>
            </w:tcMar>
            <w:vAlign w:val="center"/>
          </w:tcPr>
          <w:p w14:paraId="0424A426">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无过程标注</w:t>
            </w:r>
          </w:p>
        </w:tc>
        <w:tc>
          <w:tcPr>
            <w:tcW w:w="1500" w:type="dxa"/>
            <w:tcMar>
              <w:top w:w="90" w:type="dxa"/>
              <w:left w:w="100" w:type="dxa"/>
              <w:bottom w:w="90" w:type="dxa"/>
              <w:right w:w="100" w:type="dxa"/>
            </w:tcMar>
            <w:vAlign w:val="center"/>
          </w:tcPr>
          <w:p w14:paraId="1245DA8C">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直接/分解</w:t>
            </w:r>
          </w:p>
        </w:tc>
        <w:tc>
          <w:tcPr>
            <w:tcW w:w="1620" w:type="dxa"/>
            <w:tcMar>
              <w:top w:w="90" w:type="dxa"/>
              <w:left w:w="100" w:type="dxa"/>
              <w:bottom w:w="90" w:type="dxa"/>
              <w:right w:w="100" w:type="dxa"/>
            </w:tcMar>
            <w:vAlign w:val="center"/>
          </w:tcPr>
          <w:p w14:paraId="00DA2ECE">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A-OKVQA 46.8%→52.2%</w:t>
            </w:r>
          </w:p>
        </w:tc>
      </w:tr>
      <w:tr w14:paraId="4B5D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0" w:type="dxa"/>
            <w:shd w:val="clear" w:color="auto" w:fill="F2F6FB"/>
            <w:tcMar>
              <w:top w:w="90" w:type="dxa"/>
              <w:left w:w="100" w:type="dxa"/>
              <w:bottom w:w="90" w:type="dxa"/>
              <w:right w:w="100" w:type="dxa"/>
            </w:tcMar>
            <w:vAlign w:val="center"/>
          </w:tcPr>
          <w:p w14:paraId="75774BED">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H-GRPO [20]</w:t>
            </w:r>
          </w:p>
        </w:tc>
        <w:tc>
          <w:tcPr>
            <w:tcW w:w="1200" w:type="dxa"/>
            <w:shd w:val="clear" w:color="auto" w:fill="F2F6FB"/>
            <w:tcMar>
              <w:top w:w="90" w:type="dxa"/>
              <w:left w:w="100" w:type="dxa"/>
              <w:bottom w:w="90" w:type="dxa"/>
              <w:right w:w="100" w:type="dxa"/>
            </w:tcMar>
            <w:vAlign w:val="center"/>
          </w:tcPr>
          <w:p w14:paraId="6D6A170B">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步骤+证据</w:t>
            </w:r>
          </w:p>
        </w:tc>
        <w:tc>
          <w:tcPr>
            <w:tcW w:w="1750" w:type="dxa"/>
            <w:shd w:val="clear" w:color="auto" w:fill="F2F6FB"/>
            <w:tcMar>
              <w:top w:w="90" w:type="dxa"/>
              <w:left w:w="100" w:type="dxa"/>
              <w:bottom w:w="90" w:type="dxa"/>
              <w:right w:w="100" w:type="dxa"/>
            </w:tcMar>
            <w:vAlign w:val="center"/>
          </w:tcPr>
          <w:p w14:paraId="4D430A0F">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匈牙利匹配与门控</w:t>
            </w:r>
          </w:p>
        </w:tc>
        <w:tc>
          <w:tcPr>
            <w:tcW w:w="1400" w:type="dxa"/>
            <w:shd w:val="clear" w:color="auto" w:fill="F2F6FB"/>
            <w:tcMar>
              <w:top w:w="90" w:type="dxa"/>
              <w:left w:w="100" w:type="dxa"/>
              <w:bottom w:w="90" w:type="dxa"/>
              <w:right w:w="100" w:type="dxa"/>
            </w:tcMar>
            <w:vAlign w:val="center"/>
          </w:tcPr>
          <w:p w14:paraId="6F1C3F85">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合成参考链+少量核验</w:t>
            </w:r>
          </w:p>
        </w:tc>
        <w:tc>
          <w:tcPr>
            <w:tcW w:w="1500" w:type="dxa"/>
            <w:shd w:val="clear" w:color="auto" w:fill="F2F6FB"/>
            <w:tcMar>
              <w:top w:w="90" w:type="dxa"/>
              <w:left w:w="100" w:type="dxa"/>
              <w:bottom w:w="90" w:type="dxa"/>
              <w:right w:w="100" w:type="dxa"/>
            </w:tcMar>
            <w:vAlign w:val="center"/>
          </w:tcPr>
          <w:p w14:paraId="4261E95A">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部分直接</w:t>
            </w:r>
          </w:p>
        </w:tc>
        <w:tc>
          <w:tcPr>
            <w:tcW w:w="1620" w:type="dxa"/>
            <w:shd w:val="clear" w:color="auto" w:fill="F2F6FB"/>
            <w:tcMar>
              <w:top w:w="90" w:type="dxa"/>
              <w:left w:w="100" w:type="dxa"/>
              <w:bottom w:w="90" w:type="dxa"/>
              <w:right w:w="100" w:type="dxa"/>
            </w:tcMar>
            <w:vAlign w:val="center"/>
          </w:tcPr>
          <w:p w14:paraId="2E894FEB">
            <w:pPr>
              <w:spacing w:before="0" w:after="0" w:line="264" w:lineRule="auto"/>
              <w:ind w:firstLine="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0"/>
                <w14:textFill>
                  <w14:solidFill>
                    <w14:schemeClr w14:val="tx1"/>
                  </w14:solidFill>
                </w14:textFill>
              </w:rPr>
              <w:t>SmolVLM A-OKVQA 73.4%</w:t>
            </w:r>
          </w:p>
        </w:tc>
      </w:tr>
    </w:tbl>
    <w:p w14:paraId="1E3098BD">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表 3 还揭示了一个容易被忽略的比较原则：“无框标注”不等于“无监督”，“有过程格式”也不等于“过程质量可验证”。后续工作应同时报告答案标签、区域标注、参考链、人工核验和学习式奖励模型的来源。</w:t>
      </w:r>
    </w:p>
    <w:p w14:paraId="511AD969">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3.5 图示：奖励设计空间</w:t>
      </w:r>
    </w:p>
    <w:p w14:paraId="62B20FB3">
      <w:pPr>
        <w:spacing w:before="6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486400" cy="2940050"/>
            <wp:effectExtent l="0" t="0" r="0" b="3175"/>
            <wp:docPr id="1" name="Picture 1" descr="奖励设计空间示意图：验证器奖励、视觉对齐奖励与推理过程优化的作用对象和公开时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奖励设计空间示意图：验证器奖励、视觉对齐奖励与推理过程优化的作用对象和公开时间"/>
                    <pic:cNvPicPr>
                      <a:picLocks noChangeAspect="1"/>
                    </pic:cNvPicPr>
                  </pic:nvPicPr>
                  <pic:blipFill>
                    <a:blip r:embed="rId7"/>
                    <a:stretch>
                      <a:fillRect/>
                    </a:stretch>
                  </pic:blipFill>
                  <pic:spPr>
                    <a:xfrm>
                      <a:off x="0" y="0"/>
                      <a:ext cx="5486400" cy="2940148"/>
                    </a:xfrm>
                    <a:prstGeom prst="rect">
                      <a:avLst/>
                    </a:prstGeom>
                  </pic:spPr>
                </pic:pic>
              </a:graphicData>
            </a:graphic>
          </wp:inline>
        </w:drawing>
      </w:r>
    </w:p>
    <w:p w14:paraId="1338A5FD">
      <w:pPr>
        <w:pStyle w:val="15"/>
        <w:keepNext/>
        <w:spacing w:before="80" w:after="80"/>
        <w:jc w:val="center"/>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图 1 奖励设计空间示意。横向时间仅用于定位公开时间，纵向位置表示奖励作用对象的分析性刻度；虚线表示同一分析标签下的并行展开，不表示方法之间存在严格因果继承。</w:t>
      </w:r>
    </w:p>
    <w:p w14:paraId="1AB2D423">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4. 讨论</w:t>
      </w:r>
    </w:p>
    <w:p w14:paraId="1B26E30A">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4.1 “演进”更适合作为设计空间扩展，而非线性技术史</w:t>
      </w:r>
      <w:bookmarkStart w:id="0" w:name="_GoBack"/>
      <w:bookmarkEnd w:id="0"/>
    </w:p>
    <w:p w14:paraId="6096D15D">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从答案级验证到结构级、区域级和步骤级奖励，确实可以观察到奖励粒度不断细化。但这不是后一个类别淘汰前一个类别的单线过程：CR³ 的结果验证仍然适合闭合式任务，POLIA 仍依赖答案级判据，H-GRPO 同时使用答案和过程匹配，GRPO 与过程奖励的关系也受具体实现和理论假设影响 [11]。因此，本文把“演进”限定为奖励设计空间的扩展，而不是宣称存在唯一时间顺序。</w:t>
      </w:r>
    </w:p>
    <w:p w14:paraId="5B6AAFFD">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4.2 可验证性的适用半径</w:t>
      </w:r>
    </w:p>
    <w:p w14:paraId="6F2ADE0E">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MM-CondChain 说明，若组合正确性能够被分解成离散逻辑结构，程序可以提供可复现的验证 [21]。但自然图像中的视觉事实往往先由 MLLM 提取，提取错误会被后续验证器放大。可验证奖励的适用半径因而取决于两件事：逻辑结构是否可执行，以及视觉事实是否足够可靠。对开放语义或模糊关系，跨视角一致性、学习式 PRM 和视觉对齐只能提供近似约束，不能等同于确定性真值。</w:t>
      </w:r>
    </w:p>
    <w:p w14:paraId="1E5E6348">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4.3 文本捷径、奖励投机与过程忠实性</w:t>
      </w:r>
    </w:p>
    <w:p w14:paraId="3AE3E650">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结果奖励无法区分“真的看图”和“恰好猜中”，过程格式奖励也无法保证子问题有意义。视觉对齐奖励虽然能增加证据约束，却可能被大区域偏置、框质量或注意力代理误导。评测时应加入反事实图像、Swap 式绑定、遮挡和证据删除测试，并分别报告答案正确性、grounding 质量和证据删除后的性能变化。只有当三者同时改善时，才更有理由认为模型学到了可归因的组合能力。</w:t>
      </w:r>
    </w:p>
    <w:p w14:paraId="07B5A6D7">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4.4 基准碎片化与比较协议</w:t>
      </w:r>
    </w:p>
    <w:p w14:paraId="4730620E">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现有工作使用的基座模型、训练数据、提示格式和评测集差异很大，任何单一结果表都不能形成严格排名。SugarCrepe 的官方 Swap 子集具有判别性强、无需场景图标注、接口简单等优点，可作为统一附加基准 [3]。同时，MM-CondChain 的程序化验证可作为深层组合链测试。建议后续报告固定的训练/测试划分、模型版本、解码参数、平均值与方差，并将直接组合基准与邻近 grounding 基准分栏呈现。</w:t>
      </w:r>
    </w:p>
    <w:p w14:paraId="37AF39C4">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5. 未来方向</w:t>
      </w:r>
    </w:p>
    <w:p w14:paraId="2ECE97D5">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5.1 分解式可验证奖励</w:t>
      </w:r>
    </w:p>
    <w:p w14:paraId="7148D6D4">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AlphaGRPO 的 DVReward 提示了一条可迁移路径：把复杂请求分解成原子化、可检查的子目标，再聚合为整体奖励 [22]。FactScore 在文本事实核查中也采用了原子事实分解的思路 [23]。对组合推理而言，子目标可以分别对应物体存在、属性匹配和关系成立。与 H-GRPO 的参考链匹配相比，下一步应减少对固定参考链的依赖，探索程序判据、视觉问答器和不确定性估计的组合。</w:t>
      </w:r>
    </w:p>
    <w:p w14:paraId="2D08282F">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5.2 统一的多模态过程奖励</w:t>
      </w:r>
    </w:p>
    <w:p w14:paraId="42572218">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多模态 PRM 可以成为答案、证据和过程的共同载体，但不能默认现有数学推理 PRM 已具备判断视觉绑定的能力。步骤定义应同时包含“这一步要验证什么”和“证据位于哪里”，并对框、属性和关系的不确定性显式建模；奖励还需要区分答案错误、证据错误与推理顺序错误，避免把不同失败模式压成一个标量。</w:t>
      </w:r>
    </w:p>
    <w:p w14:paraId="2AE44ED9">
      <w:pPr>
        <w:pStyle w:val="4"/>
        <w:keepNext/>
        <w:spacing w:before="14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26"/>
          <w14:textFill>
            <w14:solidFill>
              <w14:schemeClr w14:val="tx1"/>
            </w14:solidFill>
          </w14:textFill>
        </w:rPr>
        <w:t>5.3 标准化且关注忠实性的评测</w:t>
      </w:r>
    </w:p>
    <w:p w14:paraId="01F1E5EF">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未来评测至少应包含三组指标：最终答案正确性、视觉证据对齐和反事实忠实性。统一报告 Swap、空间关系、程序化条件链以及证据删除后的性能，可以减少不同论文因基准选择不同而产生的虚假进展。中文、多语言和真实场景数据也应逐步纳入，但首先要保证负样本确实破坏了组合关系，而不是只改变表面词汇。</w:t>
      </w:r>
    </w:p>
    <w:p w14:paraId="785981B5">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6. 结论</w:t>
      </w:r>
    </w:p>
    <w:p w14:paraId="7C1B9B78">
      <w:pPr>
        <w:pStyle w:val="19"/>
        <w:spacing w:before="0" w:after="0" w:line="360" w:lineRule="auto"/>
        <w:ind w:firstLine="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4"/>
          <w14:textFill>
            <w14:solidFill>
              <w14:schemeClr w14:val="tx1"/>
            </w14:solidFill>
          </w14:textFill>
        </w:rPr>
        <w:t>本文围绕“奖励如何定义并验证组合正确性”梳理了强化学习增强 MLLM 的代表性工作。验证器奖励把可判定任务转化为确定性信号，视觉对齐奖励把“是否看对证据”纳入优化，过程奖励则进一步约束中间结构和信用分配。三者不是互斥类别，也不是严格的线性继承关系，而是奖励作用对象与信息来源共同构成的设计空间。当前最重要的研究缺口，是在较低标注成本下，为属性—关系组合绑定提供可归因、可复现、能抵抗文本捷径的视觉语义奖励。未来的关键不只是提高分数，而是让奖励真正对应模型完成组合推理所需要的视觉证据和推理行为。</w:t>
      </w:r>
    </w:p>
    <w:p w14:paraId="51EAB135">
      <w:pPr>
        <w:pStyle w:val="3"/>
        <w:keepNext/>
        <w:spacing w:before="200" w:after="80"/>
        <w:ind w:firstLine="0"/>
        <w:jc w:val="left"/>
        <w:rPr>
          <w:color w:val="000000" w:themeColor="text1"/>
          <w14:textFill>
            <w14:solidFill>
              <w14:schemeClr w14:val="tx1"/>
            </w14:solidFill>
          </w14:textFill>
        </w:rPr>
      </w:pPr>
      <w:r>
        <w:rPr>
          <w:rFonts w:ascii="Times New Roman" w:hAnsi="Times New Roman" w:eastAsia="黑体" w:cs="Times New Roman"/>
          <w:b/>
          <w:color w:val="000000" w:themeColor="text1"/>
          <w:sz w:val="30"/>
          <w14:textFill>
            <w14:solidFill>
              <w14:schemeClr w14:val="tx1"/>
            </w14:solidFill>
          </w14:textFill>
        </w:rPr>
        <w:t>参考文献</w:t>
      </w:r>
    </w:p>
    <w:p w14:paraId="6404DFE3">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 CREPE: Can Vision-Language Foundation Models Reason Compositionally? arXiv:2212.07796, CVPR 2023.</w:t>
      </w:r>
    </w:p>
    <w:p w14:paraId="4DADB1D6">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[2] When and Why Vision-Language Models Behave Like Bags-of-Words, and What to Do About It? arXiv:2210.01936, ICLR 2023.</w:t>
      </w:r>
    </w:p>
    <w:p w14:paraId="76C3E297">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[3] SugarCrepe: Fixing Hackable Benchmarks for Vision-Language Compositionality. arXiv:2306.14610, NeurIPS 2023.</w:t>
      </w:r>
    </w:p>
    <w:p w14:paraId="4E37724E">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[4] CR³: Boosting Compositional Reasoning in MLLMs through Rule-based Reinforcement Learning. AAAI 2026, doi:10.1609/aaai.v40i29.39680.</w:t>
      </w:r>
    </w:p>
    <w:p w14:paraId="2CCE0B2B">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[5] VALSE: A Task-Independent Benchmark for Vision and Language Models Centered on Linguistic Phenomena. arXiv:2112.07566, ACL 2022.</w:t>
      </w:r>
    </w:p>
    <w:p w14:paraId="47BBF0BC">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[6] Aligning Large Multimodal Models with Factually Augmented RLHF (LLaVA-RLHF). arXiv:2309.14525.</w:t>
      </w:r>
    </w:p>
    <w:p w14:paraId="50E646A6">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[7] RLHF-V: Towards Trustworthy MLLMs via Behavior Alignment from Fine-grained Correctional Human Feedback. arXiv:2312.00849, CVPR 2024.</w:t>
      </w:r>
    </w:p>
    <w:p w14:paraId="0212F702">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[8] Aligning Large Vision-Language Models with AI Feedback (Silkie). arXiv:2410.09421.</w:t>
      </w:r>
    </w:p>
    <w:p w14:paraId="7A5D0AC2">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[9] DeepSeekMath: Pushing the Limits of Mathematical Reasoning in Open Language Models. arXiv:2402.03300.</w:t>
      </w:r>
    </w:p>
    <w:p w14:paraId="7E6D2313">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[10] Direct Preference Optimization: Your Language Model is Secretly a Reward Model. arXiv:2305.18290, NeurIPS 2023.</w:t>
      </w:r>
    </w:p>
    <w:p w14:paraId="3C247542">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[11] GRPO is Secretly a Process Reward Model. arXiv:2509.21154, 2025.</w:t>
      </w:r>
    </w:p>
    <w:p w14:paraId="1E0B774E">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[12] VisualPRM: An Effective Process Reward Model for Multimodal Reasoning. arXiv:2503.10291, 2025.</w:t>
      </w:r>
    </w:p>
    <w:p w14:paraId="2CD81BBA">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[13] SpatialThinker: Reinforcing Scene Graph-Grounded Spatial Reasoning via Dense Rewards. arXiv:2511.07403, NeurIPS 2025.</w:t>
      </w:r>
    </w:p>
    <w:p w14:paraId="71133197">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[14] SVQA-R1: Reinforcing Spatial Reasoning in MLLMs via View-Consistent Reward Optimization. arXiv:2506.01371, ICLR 2026.</w:t>
      </w:r>
    </w:p>
    <w:p w14:paraId="6032BAA4">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[15] Ground-R1: Thinking with Images via Scale Relative Policy Optimization. arXiv:2505.20272 (v3), 2026.</w:t>
      </w:r>
    </w:p>
    <w:p w14:paraId="10F0F29E">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[16] GRIT: Teaching MLLMs to Think with Images. arXiv:2505.15879, 2025.</w:t>
      </w:r>
    </w:p>
    <w:p w14:paraId="50B49D2C">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[17] POLIA: Policy Optimization with Visual-Object-Level Intrinsic Advantage for Multimodal Reasoning. ICML 2026.</w:t>
      </w:r>
    </w:p>
    <w:p w14:paraId="77360520">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[18] Do MLLMs Really See It: Reinforcing Visual Attention in Multimodal LLMs (SAYO). arXiv:2602.08241, 2026.</w:t>
      </w:r>
    </w:p>
    <w:p w14:paraId="4228B1C1">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[19] Self-Questioning Vision-Language Models: Reinforcement Learning for Compositional Visual Reasoning. arXiv:2606.15651, 2026.</w:t>
      </w:r>
    </w:p>
    <w:p w14:paraId="37585190">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[20] H-GRPO: Permutation-Invariant Reinforcement Learning for Grounded Visual Reasoning. arXiv:2606.29915, 2026.</w:t>
      </w:r>
    </w:p>
    <w:p w14:paraId="77B88B58">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[21] MM-CondChain: A Programmatically Verified Benchmark for Visually Grounded Deep Compositional Reasoning. arXiv:2603.12266, 2026.</w:t>
      </w:r>
    </w:p>
    <w:p w14:paraId="62DE69C4">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[22] AlphaGRPO: Unlocking Self-Reflective Multimodal Generation in UMMs via Decompositional Verifiable Reward. arXiv:2605.12495, ICML 2026.</w:t>
      </w:r>
    </w:p>
    <w:p w14:paraId="6E1E799D">
      <w:pPr>
        <w:pStyle w:val="164"/>
        <w:spacing w:after="40" w:line="276" w:lineRule="auto"/>
        <w:ind w:left="420" w:hanging="420"/>
        <w:rPr>
          <w:color w:val="000000" w:themeColor="text1"/>
          <w14:textFill>
            <w14:solidFill>
              <w14:schemeClr w14:val="tx1"/>
            </w14:solidFill>
          </w14:textFill>
        </w:rPr>
      </w:pPr>
      <w:r>
        <w:rPr>
          <w:rFonts w:ascii="Times New Roman" w:hAnsi="Times New Roman" w:eastAsia="宋体" w:cs="Times New Roman"/>
          <w:b w:val="0"/>
          <w:i w:val="0"/>
          <w:color w:val="000000" w:themeColor="text1"/>
          <w:sz w:val="21"/>
          <w14:textFill>
            <w14:solidFill>
              <w14:schemeClr w14:val="tx1"/>
            </w14:solidFill>
          </w14:textFill>
        </w:rPr>
        <w:t>[23] FActScore: Fine-grained Atomic Evaluation of Factual Precision in Long Form Text Generation. arXiv:2305.14251, EMNLP 2023.</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CCD9F">
    <w:pPr>
      <w:pStyle w:val="24"/>
      <w:spacing w:before="0" w:after="0"/>
      <w:jc w:val="center"/>
    </w:pPr>
    <w:r>
      <w:rPr>
        <w:rFonts w:ascii="Times New Roman" w:hAnsi="Times New Roman" w:eastAsia="宋体" w:cs="Times New Roman"/>
        <w:b w:val="0"/>
        <w:i w:val="0"/>
        <w:sz w:val="19"/>
      </w:rPr>
      <w:t xml:space="preserve">— </w:t>
    </w:r>
    <w:r>
      <w:fldChar w:fldCharType="begin"/>
    </w:r>
    <w:r>
      <w:instrText xml:space="preserve">PAGE</w:instrText>
    </w:r>
    <w:r>
      <w:fldChar w:fldCharType="separate"/>
    </w:r>
    <w:r>
      <w:fldChar w:fldCharType="end"/>
    </w:r>
    <w:r>
      <w:rPr>
        <w:rFonts w:ascii="Times New Roman" w:hAnsi="Times New Roman" w:eastAsia="宋体" w:cs="Times New Roman"/>
        <w:b w:val="0"/>
        <w:i w:val="0"/>
        <w:sz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1706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宋体"/>
      <w:b/>
      <w:bCs/>
      <w:color w:val="4F81BD" w:themeColor="accent1"/>
      <w:sz w:val="21"/>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0" w:line="360" w:lineRule="auto"/>
    </w:pPr>
    <w:rPr>
      <w:rFonts w:ascii="Times New Roman" w:hAnsi="Times New Roman" w:eastAsia="宋体"/>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ference"/>
    <w:qFormat/>
    <w:uiPriority w:val="0"/>
    <w:pPr>
      <w:spacing w:after="200" w:line="276" w:lineRule="auto"/>
    </w:pPr>
    <w:rPr>
      <w:rFonts w:ascii="Times New Roman" w:hAnsi="Times New Roman" w:eastAsia="宋体" w:cstheme="minorBidi"/>
      <w:sz w:val="21"/>
      <w:szCs w:val="22"/>
      <w:lang w:val="en-US" w:eastAsia="en-US" w:bidi="ar-SA"/>
    </w:rPr>
  </w:style>
  <w:style w:type="paragraph" w:customStyle="1" w:styleId="165">
    <w:name w:val="Equation"/>
    <w:qFormat/>
    <w:uiPriority w:val="0"/>
    <w:pPr>
      <w:spacing w:after="200" w:line="276" w:lineRule="auto"/>
    </w:pPr>
    <w:rPr>
      <w:rFonts w:ascii="Cambria Math" w:hAnsi="Cambria Math"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3917</Words>
  <Characters>4747</Characters>
  <Lines>0</Lines>
  <Paragraphs>0</Paragraphs>
  <TotalTime>2</TotalTime>
  <ScaleCrop>false</ScaleCrop>
  <LinksUpToDate>false</LinksUpToDate>
  <CharactersWithSpaces>4990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席致远</dc:creator>
  <dc:description>generated by python-docx</dc:description>
  <cp:lastModifiedBy>席致远</cp:lastModifiedBy>
  <dcterms:modified xsi:type="dcterms:W3CDTF">2026-08-18T09:03:22Z</dcterms:modified>
  <dc:subject>MLLM 组合推理与强化学习综述</dc:subject>
  <dc:title>多模态大语言模型组合推理的强化学习：奖励设计空间与研究进展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eyJoZGlkIjoiNTU0ZmIwYTQ3NzlmZGUxZmU3Zjk0M2IyZTNmM2IxNjAiLCJ1c2VySWQiOiI0MDk4ODk3MzMifQ==</vt:lpwstr>
  </property>
  <property fmtid="{D5CDD505-2E9C-101B-9397-08002B2CF9AE}" pid="3" name="KSOProductBuildVer">
    <vt:lpwstr>2052-12.1.0.26895</vt:lpwstr>
  </property>
  <property fmtid="{D5CDD505-2E9C-101B-9397-08002B2CF9AE}" pid="4" name="ICV">
    <vt:lpwstr>B814C8C7380742F0BDB3ADD14B658E78_12</vt:lpwstr>
  </property>
</Properties>
</file>