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CBDACE">
      <w:pPr>
        <w:pStyle w:val="2"/>
        <w:spacing w:line="360" w:lineRule="auto"/>
        <w:jc w:val="center"/>
      </w:pPr>
      <w:r>
        <w:rPr>
          <w:rFonts w:hint="eastAsia" w:ascii="Times New Roman" w:hAnsi="Times New Roman" w:eastAsia="宋体"/>
        </w:rPr>
        <w:t>多模态大语言模型组合推理中的强化学习方法：奖励信号的演</w:t>
      </w:r>
      <w:commentRangeStart w:id="0"/>
      <w:r>
        <w:rPr>
          <w:rFonts w:hint="eastAsia" w:ascii="Times New Roman" w:hAnsi="Times New Roman" w:eastAsia="宋体"/>
        </w:rPr>
        <w:t>进</w:t>
      </w:r>
      <w:commentRangeEnd w:id="0"/>
      <w:r>
        <w:rPr>
          <w:rStyle w:val="24"/>
          <w:sz w:val="40"/>
          <w:szCs w:val="40"/>
        </w:rPr>
        <w:commentReference w:id="0"/>
      </w:r>
    </w:p>
    <w:p w14:paraId="0395B781">
      <w:pPr>
        <w:pStyle w:val="3"/>
        <w:jc w:val="center"/>
        <w:rPr>
          <w:rFonts w:hint="eastAsia" w:ascii="宋体" w:hAnsi="宋体" w:cs="宋体"/>
        </w:rPr>
      </w:pPr>
      <w:bookmarkStart w:id="0" w:name="摘要"/>
      <w:r>
        <w:rPr>
          <w:rFonts w:hint="eastAsia" w:ascii="宋体" w:hAnsi="宋体" w:cs="宋体"/>
        </w:rPr>
        <w:t>席致远</w:t>
      </w:r>
    </w:p>
    <w:p w14:paraId="21AD78DA">
      <w:pPr>
        <w:pStyle w:val="3"/>
        <w:jc w:val="center"/>
        <w:rPr>
          <w:rFonts w:cs="Times New Roman"/>
        </w:rPr>
      </w:pPr>
      <w:r>
        <w:rPr>
          <w:rFonts w:hint="eastAsia" w:ascii="宋体" w:hAnsi="宋体" w:cs="宋体"/>
        </w:rPr>
        <w:t>南方科技大学 工学院，广东 珠海</w:t>
      </w:r>
      <w:r>
        <w:rPr>
          <w:rFonts w:cs="Times New Roman"/>
        </w:rPr>
        <w:t xml:space="preserve"> 519000</w:t>
      </w:r>
      <w:r>
        <w:rPr>
          <w:rFonts w:hint="eastAsia" w:cs="Times New Roman"/>
        </w:rPr>
        <w:t>，</w:t>
      </w:r>
      <w:r>
        <w:rPr>
          <w:rFonts w:cs="Times New Roman"/>
        </w:rPr>
        <w:t>12412015@sustech.edu.cn</w:t>
      </w:r>
    </w:p>
    <w:p w14:paraId="17020463">
      <w:pPr>
        <w:pStyle w:val="26"/>
        <w:spacing w:line="360" w:lineRule="auto"/>
        <w:ind w:firstLine="482" w:firstLineChars="200"/>
        <w:jc w:val="both"/>
        <w:rPr>
          <w:b/>
          <w:bCs/>
        </w:rPr>
      </w:pPr>
    </w:p>
    <w:p w14:paraId="436EFE7D">
      <w:pPr>
        <w:pStyle w:val="26"/>
        <w:spacing w:line="360" w:lineRule="auto"/>
        <w:ind w:firstLine="480" w:firstLineChars="200"/>
        <w:jc w:val="both"/>
      </w:pPr>
      <w:r>
        <w:rPr>
          <w:rFonts w:hint="eastAsia"/>
          <w:color w:val="000000"/>
        </w:rPr>
        <w:commentReference w:id="1"/>
      </w:r>
      <w:r>
        <w:rPr>
          <w:rFonts w:hint="eastAsia"/>
          <w:color w:val="000000"/>
        </w:rPr>
        <w:commentReference w:id="2"/>
      </w:r>
      <w:r>
        <w:rPr>
          <w:rFonts w:hint="eastAsia"/>
          <w:color w:val="000000"/>
        </w:rPr>
        <w:t>摘要：多模态大语言模型（Multimodal Large Language Models, MLLMs）在通用视觉-语言任务上表现优异，却在组合推理（compositional reasoning）上存在系统性缺陷，即难以将物体、属性与空间/逻辑关系精确绑定。强化学习后训练是弥补这一缺口的有效手段，而奖励信号的设计直接决定组合能力能否被真正激发。本文综述 2024–2026 年间用强化学习增强 MLLM 组合推理的代表性工作，提出以“奖励信号演进”为核心的分析框架，将现有方法划分为验证器奖励、视觉对齐奖励与推理过程优化三类，并沿奖励来源、奖励粒度、监督需求、组合触及度等统一维度逐方法剖析。分析表明，奖励信号正从对最终回答的结果验证，逐步演进为对视觉语义结构的对齐与对推理过程的对齐；组合推理“正确性必须可定义”的约束是这一演进的深层驱动力，而面向组合绑定的显式视觉语义奖励是当前最有前景的研究缺口。</w:t>
      </w:r>
    </w:p>
    <w:p w14:paraId="1425E7EA">
      <w:pPr>
        <w:pStyle w:val="3"/>
        <w:spacing w:line="360" w:lineRule="auto"/>
        <w:ind w:firstLine="482" w:firstLineChars="200"/>
        <w:jc w:val="both"/>
      </w:pPr>
      <w:r>
        <w:rPr>
          <w:rFonts w:hint="eastAsia"/>
          <w:b/>
          <w:bCs/>
        </w:rPr>
        <w:t>关键词</w:t>
      </w:r>
      <w:r>
        <w:rPr>
          <w:rFonts w:hint="eastAsia"/>
        </w:rPr>
        <w:t>：多模态大语言模型；组合推理；强化学习；奖励信号</w:t>
      </w:r>
    </w:p>
    <w:bookmarkEnd w:id="0"/>
    <w:p w14:paraId="0D3EC212">
      <w:pPr>
        <w:pStyle w:val="4"/>
        <w:spacing w:line="360" w:lineRule="auto"/>
        <w:jc w:val="both"/>
        <w:rPr>
          <w:rFonts w:eastAsia="宋体"/>
        </w:rPr>
      </w:pPr>
      <w:bookmarkStart w:id="1" w:name="introduction"/>
      <w:r>
        <w:rPr>
          <w:rFonts w:ascii="Times New Roman" w:hAnsi="Times New Roman" w:eastAsia="宋体"/>
        </w:rPr>
        <w:t xml:space="preserve">1. </w:t>
      </w:r>
      <w:r>
        <w:rPr>
          <w:rFonts w:hint="eastAsia" w:ascii="Times New Roman" w:hAnsi="Times New Roman" w:eastAsia="宋体"/>
        </w:rPr>
        <w:t>引</w:t>
      </w:r>
      <w:commentRangeStart w:id="3"/>
      <w:r>
        <w:rPr>
          <w:rFonts w:hint="eastAsia" w:ascii="Times New Roman" w:hAnsi="Times New Roman" w:eastAsia="宋体"/>
        </w:rPr>
        <w:t>言</w:t>
      </w:r>
      <w:commentRangeEnd w:id="3"/>
      <w:r>
        <w:rPr>
          <w:rStyle w:val="24"/>
          <w:rFonts w:eastAsia="宋体"/>
          <w:sz w:val="32"/>
          <w:szCs w:val="32"/>
        </w:rPr>
        <w:commentReference w:id="3"/>
      </w:r>
    </w:p>
    <w:p w14:paraId="3BA7D9A6">
      <w:pPr>
        <w:pStyle w:val="26"/>
        <w:spacing w:line="360" w:lineRule="auto"/>
        <w:ind w:firstLine="480" w:firstLineChars="200"/>
        <w:jc w:val="both"/>
      </w:pPr>
      <w:commentRangeStart w:id="4"/>
      <w:commentRangeStart w:id="5"/>
      <w:r>
        <w:rPr>
          <w:rFonts w:hint="eastAsia"/>
          <w:color w:val="000000"/>
        </w:rPr>
        <w:commentReference w:id="4"/>
      </w:r>
      <w:commentRangeEnd w:id="4"/>
      <w:commentRangeEnd w:id="5"/>
      <w:r>
        <w:rPr>
          <w:rFonts w:hint="eastAsia"/>
          <w:color w:val="000000"/>
        </w:rPr>
        <w:commentReference w:id="5"/>
      </w:r>
      <w:commentRangeStart w:id="6"/>
      <w:commentRangeStart w:id="7"/>
      <w:r>
        <w:rPr>
          <w:rFonts w:hint="eastAsia"/>
          <w:color w:val="000000"/>
        </w:rPr>
        <w:t>多模态大语言模型（Multimodal Large Language Models, MLLMs）在视觉问答、图像描述等通用任务上已接近人类水平，然而在组合推理（compositional reasoning）上仍存在系统性缺陷，即难以将物体、属性与空间/逻辑关系精确绑定。大规模评测揭示了这一缺陷的普遍性：CREPE 发现组合理解随组合复杂度增加而显著退化 [1]；ARO 指出视觉语言模型本质上像“词袋模型”，对词序与组合结构不敏感 [2]；SugarCrepe 显示，纯绑定测试（Swap）是所有模型的薄弱环节 [3]。这些结果表明，组合推理缺陷是当前 MLLM 的系统性短板。</w:t>
      </w:r>
    </w:p>
    <w:commentRangeEnd w:id="6"/>
    <w:p w14:paraId="3155761E">
      <w:pPr>
        <w:pStyle w:val="3"/>
        <w:spacing w:line="360" w:lineRule="auto"/>
        <w:ind w:firstLine="480" w:firstLineChars="200"/>
        <w:jc w:val="both"/>
      </w:pPr>
      <w:r>
        <w:rPr>
          <w:rFonts w:hint="eastAsia"/>
          <w:color w:val="000000"/>
        </w:rPr>
        <w:commentReference w:id="6"/>
      </w:r>
      <w:commentRangeEnd w:id="7"/>
      <w:r>
        <w:rPr>
          <w:rFonts w:hint="eastAsia"/>
          <w:color w:val="000000"/>
        </w:rPr>
        <w:commentReference w:id="7"/>
      </w:r>
      <w:r>
        <w:rPr>
          <w:rFonts w:hint="eastAsia"/>
          <w:color w:val="000000"/>
        </w:rPr>
        <w:t>组合缺陷的根源可追溯到训练信号本身。ARO 的 shortcut 分析表明，现有对比预训练的目标并不要求模型理解组合结构，模型仅凭词频与整体语义即可取得高分 [2]；CREPE 的证据显示，组合性缺陷与模型规模无关，单纯扩大数据与参数无法自动习得组合能力 [1]。在此背景下，强化学习（Reinforcement Learning, RL）后训练成为主流手段，奖励的定义方式直接决定训练方向：与监督微调（SFT）直接灌输标准答案不同，RL 通过奖励信号让模型在试错中习得推理行为。例如 CR³ 将组合推理重新设计为答案可自动判分的任务，以规则判定的确定性奖励驱动 RL，论文报告其在组合基准上较原始基线平均提升超 9 个绝对点 [4]。由此浮现关键问题：什么样的奖励信号才能真正驱动组合推理能力？</w:t>
      </w:r>
    </w:p>
    <w:p w14:paraId="36A13B4F">
      <w:pPr>
        <w:pStyle w:val="3"/>
        <w:spacing w:line="360" w:lineRule="auto"/>
        <w:ind w:firstLine="480" w:firstLineChars="200"/>
        <w:jc w:val="both"/>
      </w:pPr>
      <w:r>
        <w:rPr>
          <w:rFonts w:hint="eastAsia"/>
          <w:color w:val="000000"/>
        </w:rPr>
        <w:commentReference w:id="8"/>
      </w:r>
      <w:r>
        <w:rPr>
          <w:rFonts w:hint="eastAsia"/>
          <w:color w:val="000000"/>
        </w:rPr>
        <w:t>本文梳理 2024</w:t>
      </w:r>
      <w:r>
        <w:rPr>
          <w:rFonts w:hint="eastAsia"/>
          <w:color w:val="000000"/>
          <w:lang w:val="en-US" w:eastAsia="zh-CN"/>
        </w:rPr>
        <w:t xml:space="preserve"> ~ </w:t>
      </w:r>
      <w:r>
        <w:rPr>
          <w:rFonts w:hint="eastAsia"/>
          <w:color w:val="000000"/>
        </w:rPr>
        <w:t>2026 年间用 RL 增强 MLLM 组合推理的代表性工作后发现，其发展本质上是奖励信号从“结果验证”向“视觉语义结构对齐”与“推理过程对齐”的逐步扩展，即奖励作用对象的扩展（答案→视觉结构→推理过程），三个方向至今并行发展：一类以对最终回答的结构化结果验证为奖励来源（CR³、SpatialThinker、SVQA-R1），一类以回答与视觉语义结构的对齐程度为奖励来源（Ground-R1、GRIT、POLIA），一类将优化信号作用于推理过程本身（Self-Questioning VLM、H-GRPO）。推动演进的深层驱动力，是组合推理“正确性必须可定义”的约束。</w:t>
      </w:r>
    </w:p>
    <w:p w14:paraId="626D1A71">
      <w:pPr>
        <w:pStyle w:val="3"/>
        <w:spacing w:line="360" w:lineRule="auto"/>
        <w:ind w:firstLine="480" w:firstLineChars="200"/>
        <w:jc w:val="both"/>
      </w:pPr>
      <w:commentRangeStart w:id="9"/>
      <w:r>
        <w:rPr>
          <w:rFonts w:hint="eastAsia"/>
          <w:color w:val="000000"/>
        </w:rPr>
        <w:t>本文以奖励信号演进为主线进行系统性综述，具体贡献如下：首先，首次以“奖励信号演进”为分析轴，将相关方法组织为连续谱系而非孤立方法的堆叠；其次，提出三分法分类框架，即验证器奖励、视觉对齐奖励与推理过程优化，并沿统一维度（奖励来源、监督需求、组合触及度、评测与局限）逐方法剖析；最后，分析可验证性约束对奖励设计的制约，讨论基准碎片化、文本偏置等开放问题，并展望未来方向。</w:t>
      </w:r>
    </w:p>
    <w:commentRangeEnd w:id="9"/>
    <w:p w14:paraId="0E9C4B9A">
      <w:pPr>
        <w:pStyle w:val="3"/>
        <w:spacing w:line="360" w:lineRule="auto"/>
        <w:ind w:firstLine="480" w:firstLineChars="200"/>
        <w:jc w:val="both"/>
      </w:pPr>
      <w:r>
        <w:rPr>
          <w:rStyle w:val="24"/>
          <w:color w:val="000000"/>
          <w:sz w:val="24"/>
          <w:szCs w:val="24"/>
        </w:rPr>
        <w:commentReference w:id="9"/>
      </w:r>
      <w:r>
        <w:rPr>
          <w:rStyle w:val="24"/>
          <w:color w:val="000000"/>
          <w:sz w:val="24"/>
          <w:szCs w:val="24"/>
        </w:rPr>
        <w:t>本文筛选遵循四条标准：第一，时间范围为 2024–2026 年，来源为 arXiv 预印本与正式发表论文；第二，方法必须面向多模态大语言模型并以强化学习（GRPO、PPO、DPO 等）为后训练手段，纯评测基准（VALSE、ARO、SugarCrepe 等）仅作为评测工具引用；第三，奖励信号设计必须是方法的核心贡献；第四，代表性优先，每个子方向选取 1–3 个代表性工作。三类方法的划定依据是奖励信息来源：外部判据对最终回答的验证归入验证器奖励，回答与视觉证据关系的对齐归入视觉对齐奖励，推理过程本身的信用分配归入推理过程优化。</w:t>
      </w:r>
    </w:p>
    <w:bookmarkEnd w:id="1"/>
    <w:p w14:paraId="1D0D11AA">
      <w:pPr>
        <w:pStyle w:val="4"/>
        <w:spacing w:line="360" w:lineRule="auto"/>
        <w:jc w:val="both"/>
        <w:rPr>
          <w:rFonts w:eastAsia="宋体"/>
        </w:rPr>
      </w:pPr>
      <w:bookmarkStart w:id="2" w:name="background"/>
      <w:r>
        <w:rPr>
          <w:rFonts w:ascii="Times New Roman" w:hAnsi="Times New Roman" w:eastAsia="宋体"/>
        </w:rPr>
        <w:t xml:space="preserve">2. </w:t>
      </w:r>
      <w:r>
        <w:rPr>
          <w:rFonts w:hint="eastAsia" w:ascii="Times New Roman" w:hAnsi="Times New Roman" w:eastAsia="宋体"/>
        </w:rPr>
        <w:t>背景</w:t>
      </w:r>
    </w:p>
    <w:p w14:paraId="196B5B83">
      <w:pPr>
        <w:pStyle w:val="5"/>
        <w:spacing w:line="360" w:lineRule="auto"/>
        <w:jc w:val="both"/>
      </w:pPr>
      <w:bookmarkStart w:id="3" w:name="组合推理的定义与评测基准"/>
      <w:r>
        <w:rPr>
          <w:rFonts w:eastAsia="宋体"/>
        </w:rPr>
        <w:t xml:space="preserve">2.1 </w:t>
      </w:r>
      <w:r>
        <w:rPr>
          <w:rFonts w:hint="eastAsia" w:eastAsia="宋体"/>
        </w:rPr>
        <w:t>组合推理的定义与</w:t>
      </w:r>
      <w:commentRangeStart w:id="10"/>
      <w:r>
        <w:rPr>
          <w:rFonts w:hint="eastAsia" w:eastAsia="宋体"/>
        </w:rPr>
        <w:t>评测基准</w:t>
      </w:r>
    </w:p>
    <w:commentRangeEnd w:id="10"/>
    <w:p w14:paraId="46A25F45">
      <w:pPr>
        <w:pStyle w:val="26"/>
        <w:spacing w:line="360" w:lineRule="auto"/>
        <w:ind w:firstLine="480" w:firstLineChars="200"/>
        <w:jc w:val="both"/>
      </w:pPr>
      <w:r>
        <w:rPr>
          <w:rFonts w:hint="eastAsia"/>
          <w:color w:val="000000"/>
        </w:rPr>
        <w:commentReference w:id="10"/>
      </w:r>
      <w:r>
        <w:rPr>
          <w:rFonts w:hint="eastAsia"/>
          <w:color w:val="000000"/>
        </w:rPr>
        <w:t>本文所称组合推理，指模型将视觉场景中的物体、属性与空间/逻辑关系精确绑定起来完成理解与推理的能力。它与“把问题分解为子问题”的推理范式不同：组合推理的核心在于绑定，要求模型同时识别物体、属性与空间位置，任何一处绑定错误都会导致整体理解偏差。这一区分针对推理目标而非手段，分解可以成为达成绑定的手段（3.3 节方法正以显式分解逼近绑定目标）。由此，组合推理可操作化为三个子问题：属性绑定、空间/逻辑关系与词序/结构敏感度。</w:t>
      </w:r>
    </w:p>
    <w:p w14:paraId="5E2DBA1F">
      <w:pPr>
        <w:pStyle w:val="3"/>
        <w:spacing w:line="360" w:lineRule="auto"/>
        <w:ind w:firstLine="480" w:firstLineChars="200"/>
        <w:jc w:val="both"/>
      </w:pPr>
      <w:r>
        <w:rPr>
          <w:rFonts w:hint="eastAsia"/>
          <w:color w:val="000000"/>
        </w:rPr>
        <w:t>围绕上述能力，学界构建了一系列评测基准。VALSE 通过构造伪造实例，测试模型对存在性、计数、空间关系等语言现象的判断 [5]；CREPE 将评测规模扩大至 37 万级图文对，从系统性与生产力两个维度系统考察组合性 [1]；ARO 以 5 万级用例覆盖属性、关系与词序三类组合结构，并揭示现有检索基准不要求组合理解、模型可绕道得分的 shortcut [2]；SugarCrepe 针对程序化基准易被 hack 的问题，用 LLM 生成语义合理的困难负样本，将评测收敛为 Replace、Swap、Add 三类原子操作 [3]。</w:t>
      </w:r>
    </w:p>
    <w:p w14:paraId="1B4A3239">
      <w:pPr>
        <w:pStyle w:val="3"/>
        <w:spacing w:line="360" w:lineRule="auto"/>
        <w:ind w:firstLine="480" w:firstLineChars="200"/>
        <w:jc w:val="both"/>
      </w:pPr>
      <w:r>
        <w:rPr>
          <w:rFonts w:hint="eastAsia"/>
          <w:color w:val="000000"/>
        </w:rPr>
        <w:t>尽管各基准的评测协议不同，失败模式却高度一致：物体识别强于属性绑定，属性强于关系理解，纯粹的绑定（Swap）最难。这为后续 RL 方法提供了明确的优化靶点。但各方法在评测集选择上各行其是，协议互不兼容，导致结果难以横向比较，这一“基准碎片化”问题将在第 4 节讨论。表 1 汇总了上述基准的核心信息。</w:t>
      </w:r>
    </w:p>
    <w:p w14:paraId="08756AF5">
      <w:pPr>
        <w:pStyle w:val="12"/>
        <w:spacing w:line="360" w:lineRule="auto"/>
        <w:jc w:val="center"/>
      </w:pPr>
      <w:r>
        <w:rPr>
          <w:rFonts w:hint="eastAsia"/>
          <w:b/>
          <w:bCs/>
        </w:rPr>
        <w:t>表</w:t>
      </w:r>
      <w:r>
        <w:rPr>
          <w:b/>
          <w:bCs/>
        </w:rPr>
        <w:t xml:space="preserve"> </w:t>
      </w:r>
      <w:r>
        <w:rPr>
          <w:rFonts w:hint="eastAsia"/>
          <w:b/>
          <w:bCs/>
        </w:rPr>
        <w:t>1：组合推理评测基准对比</w:t>
      </w:r>
    </w:p>
    <w:tbl>
      <w:tblPr>
        <w:tblStyle w:val="44"/>
        <w:tblW w:w="5000" w:type="pct"/>
        <w:tblInd w:w="0" w:type="dxa"/>
        <w:tblLayout w:type="fixed"/>
        <w:tblCellMar>
          <w:top w:w="0" w:type="dxa"/>
          <w:left w:w="108" w:type="dxa"/>
          <w:bottom w:w="0" w:type="dxa"/>
          <w:right w:w="108" w:type="dxa"/>
        </w:tblCellMar>
      </w:tblPr>
      <w:tblGrid>
        <w:gridCol w:w="1378"/>
        <w:gridCol w:w="2203"/>
        <w:gridCol w:w="2108"/>
        <w:gridCol w:w="1052"/>
        <w:gridCol w:w="1899"/>
      </w:tblGrid>
      <w:tr w14:paraId="425B2A8D">
        <w:tblPrEx>
          <w:tblCellMar>
            <w:top w:w="0" w:type="dxa"/>
            <w:left w:w="108" w:type="dxa"/>
            <w:bottom w:w="0" w:type="dxa"/>
            <w:right w:w="108" w:type="dxa"/>
          </w:tblCellMar>
        </w:tblPrEx>
        <w:trPr>
          <w:tblHeader/>
        </w:trPr>
        <w:tc>
          <w:tcPr>
            <w:tcW w:w="797" w:type="pct"/>
            <w:tcBorders>
              <w:bottom w:val="single" w:color="auto" w:sz="0" w:space="0"/>
              <w:insideH w:val="single" w:sz="0" w:space="0"/>
            </w:tcBorders>
            <w:vAlign w:val="bottom"/>
          </w:tcPr>
          <w:p w14:paraId="1B94FFF7">
            <w:pPr>
              <w:pStyle w:val="27"/>
              <w:spacing w:line="360" w:lineRule="auto"/>
              <w:jc w:val="center"/>
            </w:pPr>
            <w:r>
              <w:rPr>
                <w:rFonts w:hint="eastAsia"/>
              </w:rPr>
              <w:t>基准</w:t>
            </w:r>
          </w:p>
        </w:tc>
        <w:tc>
          <w:tcPr>
            <w:tcW w:w="1275" w:type="pct"/>
            <w:tcBorders>
              <w:bottom w:val="single" w:color="auto" w:sz="0" w:space="0"/>
              <w:insideH w:val="single" w:sz="0" w:space="0"/>
            </w:tcBorders>
            <w:vAlign w:val="bottom"/>
          </w:tcPr>
          <w:p w14:paraId="3E2C5ABB">
            <w:pPr>
              <w:pStyle w:val="27"/>
              <w:spacing w:line="360" w:lineRule="auto"/>
              <w:jc w:val="center"/>
            </w:pPr>
            <w:r>
              <w:rPr>
                <w:rFonts w:hint="eastAsia"/>
              </w:rPr>
              <w:t>子任务维度</w:t>
            </w:r>
          </w:p>
        </w:tc>
        <w:tc>
          <w:tcPr>
            <w:tcW w:w="1220" w:type="pct"/>
            <w:tcBorders>
              <w:bottom w:val="single" w:color="auto" w:sz="0" w:space="0"/>
              <w:insideH w:val="single" w:sz="0" w:space="0"/>
            </w:tcBorders>
            <w:vAlign w:val="bottom"/>
          </w:tcPr>
          <w:p w14:paraId="46A19405">
            <w:pPr>
              <w:pStyle w:val="27"/>
              <w:spacing w:line="360" w:lineRule="auto"/>
              <w:jc w:val="center"/>
            </w:pPr>
            <w:r>
              <w:rPr>
                <w:rFonts w:hint="eastAsia"/>
              </w:rPr>
              <w:t>评测方式</w:t>
            </w:r>
          </w:p>
        </w:tc>
        <w:tc>
          <w:tcPr>
            <w:tcW w:w="609" w:type="pct"/>
            <w:tcBorders>
              <w:bottom w:val="single" w:color="auto" w:sz="0" w:space="0"/>
              <w:insideH w:val="single" w:sz="0" w:space="0"/>
            </w:tcBorders>
            <w:vAlign w:val="bottom"/>
          </w:tcPr>
          <w:p w14:paraId="3FB866B9">
            <w:pPr>
              <w:pStyle w:val="27"/>
              <w:spacing w:line="360" w:lineRule="auto"/>
              <w:jc w:val="center"/>
            </w:pPr>
            <w:r>
              <w:rPr>
                <w:rFonts w:hint="eastAsia"/>
              </w:rPr>
              <w:t>规模</w:t>
            </w:r>
          </w:p>
        </w:tc>
        <w:tc>
          <w:tcPr>
            <w:tcW w:w="1944" w:type="dxa"/>
            <w:tcBorders>
              <w:bottom w:val="single" w:color="auto" w:sz="0" w:space="0"/>
              <w:insideH w:val="single" w:sz="0" w:space="0"/>
            </w:tcBorders>
            <w:vAlign w:val="bottom"/>
          </w:tcPr>
          <w:p w14:paraId="2049980F">
            <w:pPr>
              <w:pStyle w:val="27"/>
              <w:spacing w:line="360" w:lineRule="auto"/>
              <w:jc w:val="center"/>
            </w:pPr>
            <w:r>
              <w:rPr>
                <w:rFonts w:hint="eastAsia"/>
              </w:rPr>
              <w:t>关键发现</w:t>
            </w:r>
          </w:p>
        </w:tc>
      </w:tr>
      <w:tr w14:paraId="7B54089D">
        <w:tblPrEx>
          <w:tblCellMar>
            <w:top w:w="0" w:type="dxa"/>
            <w:left w:w="108" w:type="dxa"/>
            <w:bottom w:w="0" w:type="dxa"/>
            <w:right w:w="108" w:type="dxa"/>
          </w:tblCellMar>
        </w:tblPrEx>
        <w:tc>
          <w:tcPr>
            <w:tcW w:w="797" w:type="pct"/>
          </w:tcPr>
          <w:p w14:paraId="3E7C386B">
            <w:pPr>
              <w:pStyle w:val="27"/>
              <w:spacing w:line="360" w:lineRule="auto"/>
              <w:jc w:val="center"/>
            </w:pPr>
            <w:r>
              <w:t>VALSE</w:t>
            </w:r>
          </w:p>
        </w:tc>
        <w:tc>
          <w:tcPr>
            <w:tcW w:w="1275" w:type="pct"/>
          </w:tcPr>
          <w:p w14:paraId="3E8D2881">
            <w:pPr>
              <w:pStyle w:val="27"/>
              <w:spacing w:line="360" w:lineRule="auto"/>
              <w:jc w:val="center"/>
            </w:pPr>
            <w:r>
              <w:rPr>
                <w:rFonts w:hint="eastAsia"/>
              </w:rPr>
              <w:t>存在/复数/计数/空间关系/动作/共指</w:t>
            </w:r>
          </w:p>
        </w:tc>
        <w:tc>
          <w:tcPr>
            <w:tcW w:w="1220" w:type="pct"/>
          </w:tcPr>
          <w:p w14:paraId="4857A937">
            <w:pPr>
              <w:pStyle w:val="27"/>
              <w:spacing w:line="360" w:lineRule="auto"/>
              <w:jc w:val="center"/>
            </w:pPr>
            <w:r>
              <w:rPr>
                <w:rFonts w:hint="eastAsia"/>
              </w:rPr>
              <w:t>真假判断（foiled</w:t>
            </w:r>
            <w:r>
              <w:t xml:space="preserve"> </w:t>
            </w:r>
            <w:r>
              <w:rPr>
                <w:rFonts w:hint="eastAsia"/>
              </w:rPr>
              <w:t>instances）</w:t>
            </w:r>
          </w:p>
        </w:tc>
        <w:tc>
          <w:tcPr>
            <w:tcW w:w="609" w:type="pct"/>
          </w:tcPr>
          <w:p w14:paraId="66038057">
            <w:pPr>
              <w:pStyle w:val="27"/>
              <w:spacing w:line="360" w:lineRule="auto"/>
              <w:jc w:val="center"/>
            </w:pPr>
            <w:r>
              <w:t xml:space="preserve">851 </w:t>
            </w:r>
            <w:r>
              <w:rPr>
                <w:rFonts w:hint="eastAsia"/>
              </w:rPr>
              <w:t>例</w:t>
            </w:r>
          </w:p>
        </w:tc>
        <w:tc>
          <w:tcPr>
            <w:tcW w:w="1944" w:type="dxa"/>
          </w:tcPr>
          <w:p w14:paraId="2F5F6FE2">
            <w:pPr>
              <w:pStyle w:val="27"/>
              <w:spacing w:line="360" w:lineRule="auto"/>
              <w:jc w:val="center"/>
            </w:pPr>
            <w:r>
              <w:rPr>
                <w:rFonts w:hint="eastAsia"/>
              </w:rPr>
              <w:t>空间关系、共指最弱</w:t>
            </w:r>
          </w:p>
        </w:tc>
      </w:tr>
      <w:tr w14:paraId="5A3E7C5C">
        <w:tblPrEx>
          <w:tblCellMar>
            <w:top w:w="0" w:type="dxa"/>
            <w:left w:w="108" w:type="dxa"/>
            <w:bottom w:w="0" w:type="dxa"/>
            <w:right w:w="108" w:type="dxa"/>
          </w:tblCellMar>
        </w:tblPrEx>
        <w:tc>
          <w:tcPr>
            <w:tcW w:w="797" w:type="pct"/>
          </w:tcPr>
          <w:p w14:paraId="61DB753B">
            <w:pPr>
              <w:pStyle w:val="27"/>
              <w:spacing w:line="360" w:lineRule="auto"/>
              <w:jc w:val="center"/>
            </w:pPr>
            <w:r>
              <w:t>CREPE</w:t>
            </w:r>
          </w:p>
        </w:tc>
        <w:tc>
          <w:tcPr>
            <w:tcW w:w="1275" w:type="pct"/>
          </w:tcPr>
          <w:p w14:paraId="3B2D3E90">
            <w:pPr>
              <w:pStyle w:val="27"/>
              <w:spacing w:line="360" w:lineRule="auto"/>
              <w:jc w:val="center"/>
            </w:pPr>
            <w:r>
              <w:rPr>
                <w:rFonts w:hint="eastAsia"/>
              </w:rPr>
              <w:t>系统性/生产力</w:t>
            </w:r>
          </w:p>
        </w:tc>
        <w:tc>
          <w:tcPr>
            <w:tcW w:w="1220" w:type="pct"/>
          </w:tcPr>
          <w:p w14:paraId="51C5E3E4">
            <w:pPr>
              <w:pStyle w:val="27"/>
              <w:spacing w:line="360" w:lineRule="auto"/>
              <w:jc w:val="center"/>
            </w:pPr>
            <w:r>
              <w:rPr>
                <w:rFonts w:hint="eastAsia"/>
              </w:rPr>
              <w:t>检索（seen-unseen</w:t>
            </w:r>
            <w:r>
              <w:t xml:space="preserve"> splits + </w:t>
            </w:r>
            <w:r>
              <w:rPr>
                <w:rFonts w:hint="eastAsia"/>
              </w:rPr>
              <w:t>复杂度梯度）</w:t>
            </w:r>
          </w:p>
        </w:tc>
        <w:tc>
          <w:tcPr>
            <w:tcW w:w="609" w:type="pct"/>
          </w:tcPr>
          <w:p w14:paraId="2FC489E8">
            <w:pPr>
              <w:pStyle w:val="27"/>
              <w:spacing w:line="360" w:lineRule="auto"/>
              <w:jc w:val="center"/>
            </w:pPr>
            <w:r>
              <w:t xml:space="preserve">37 </w:t>
            </w:r>
            <w:r>
              <w:rPr>
                <w:rFonts w:hint="eastAsia"/>
              </w:rPr>
              <w:t>万级</w:t>
            </w:r>
          </w:p>
        </w:tc>
        <w:tc>
          <w:tcPr>
            <w:tcW w:w="1944" w:type="dxa"/>
          </w:tcPr>
          <w:p w14:paraId="21EB4839">
            <w:pPr>
              <w:pStyle w:val="27"/>
              <w:spacing w:line="360" w:lineRule="auto"/>
              <w:jc w:val="center"/>
            </w:pPr>
            <w:r>
              <w:rPr>
                <w:rFonts w:hint="eastAsia"/>
              </w:rPr>
              <w:t>缺陷与规模无关</w:t>
            </w:r>
          </w:p>
        </w:tc>
      </w:tr>
      <w:tr w14:paraId="095A608F">
        <w:tblPrEx>
          <w:tblCellMar>
            <w:top w:w="0" w:type="dxa"/>
            <w:left w:w="108" w:type="dxa"/>
            <w:bottom w:w="0" w:type="dxa"/>
            <w:right w:w="108" w:type="dxa"/>
          </w:tblCellMar>
        </w:tblPrEx>
        <w:tc>
          <w:tcPr>
            <w:tcW w:w="797" w:type="pct"/>
          </w:tcPr>
          <w:p w14:paraId="2A35C478">
            <w:pPr>
              <w:pStyle w:val="27"/>
              <w:spacing w:line="360" w:lineRule="auto"/>
              <w:jc w:val="center"/>
            </w:pPr>
            <w:r>
              <w:t>ARO</w:t>
            </w:r>
          </w:p>
        </w:tc>
        <w:tc>
          <w:tcPr>
            <w:tcW w:w="1275" w:type="pct"/>
          </w:tcPr>
          <w:p w14:paraId="6BBEEA69">
            <w:pPr>
              <w:pStyle w:val="27"/>
              <w:spacing w:line="360" w:lineRule="auto"/>
              <w:jc w:val="center"/>
            </w:pPr>
            <w:r>
              <w:rPr>
                <w:rFonts w:hint="eastAsia"/>
              </w:rPr>
              <w:t>属性/关系/词序</w:t>
            </w:r>
          </w:p>
        </w:tc>
        <w:tc>
          <w:tcPr>
            <w:tcW w:w="1220" w:type="pct"/>
          </w:tcPr>
          <w:p w14:paraId="1633AE8A">
            <w:pPr>
              <w:pStyle w:val="27"/>
              <w:spacing w:line="360" w:lineRule="auto"/>
              <w:jc w:val="center"/>
            </w:pPr>
            <w:r>
              <w:rPr>
                <w:rFonts w:hint="eastAsia"/>
              </w:rPr>
              <w:t>检索</w:t>
            </w:r>
          </w:p>
        </w:tc>
        <w:tc>
          <w:tcPr>
            <w:tcW w:w="609" w:type="pct"/>
          </w:tcPr>
          <w:p w14:paraId="57BBA94A">
            <w:pPr>
              <w:pStyle w:val="27"/>
              <w:spacing w:line="360" w:lineRule="auto"/>
              <w:jc w:val="center"/>
            </w:pPr>
            <w:r>
              <w:t xml:space="preserve">5 </w:t>
            </w:r>
            <w:r>
              <w:rPr>
                <w:rFonts w:hint="eastAsia"/>
              </w:rPr>
              <w:t>万级</w:t>
            </w:r>
          </w:p>
        </w:tc>
        <w:tc>
          <w:tcPr>
            <w:tcW w:w="1944" w:type="dxa"/>
          </w:tcPr>
          <w:p w14:paraId="555A6ED2">
            <w:pPr>
              <w:pStyle w:val="27"/>
              <w:spacing w:line="360" w:lineRule="auto"/>
              <w:jc w:val="center"/>
            </w:pPr>
            <w:r>
              <w:rPr>
                <w:rFonts w:hint="eastAsia"/>
              </w:rPr>
              <w:t>词袋模型；存在</w:t>
            </w:r>
            <w:r>
              <w:t xml:space="preserve"> shortcut</w:t>
            </w:r>
          </w:p>
        </w:tc>
      </w:tr>
      <w:tr w14:paraId="751CE605">
        <w:tblPrEx>
          <w:tblCellMar>
            <w:top w:w="0" w:type="dxa"/>
            <w:left w:w="108" w:type="dxa"/>
            <w:bottom w:w="0" w:type="dxa"/>
            <w:right w:w="108" w:type="dxa"/>
          </w:tblCellMar>
        </w:tblPrEx>
        <w:tc>
          <w:tcPr>
            <w:tcW w:w="797" w:type="pct"/>
          </w:tcPr>
          <w:p w14:paraId="6B37017F">
            <w:pPr>
              <w:pStyle w:val="27"/>
              <w:spacing w:line="360" w:lineRule="auto"/>
              <w:jc w:val="center"/>
            </w:pPr>
            <w:r>
              <w:t>SugarCrepe</w:t>
            </w:r>
          </w:p>
        </w:tc>
        <w:tc>
          <w:tcPr>
            <w:tcW w:w="1275" w:type="pct"/>
          </w:tcPr>
          <w:p w14:paraId="38416424">
            <w:pPr>
              <w:pStyle w:val="27"/>
              <w:spacing w:line="360" w:lineRule="auto"/>
              <w:jc w:val="center"/>
            </w:pPr>
            <w:r>
              <w:rPr>
                <w:rFonts w:hint="eastAsia"/>
              </w:rPr>
              <w:t>物体/属性/关系</w:t>
            </w:r>
            <w:r>
              <w:t xml:space="preserve"> × Replace/Swap/Add</w:t>
            </w:r>
          </w:p>
        </w:tc>
        <w:tc>
          <w:tcPr>
            <w:tcW w:w="1220" w:type="pct"/>
          </w:tcPr>
          <w:p w14:paraId="3FAB8E6C">
            <w:pPr>
              <w:pStyle w:val="27"/>
              <w:spacing w:line="360" w:lineRule="auto"/>
              <w:jc w:val="center"/>
            </w:pPr>
            <w:r>
              <w:rPr>
                <w:rFonts w:hint="eastAsia"/>
              </w:rPr>
              <w:t>二选一检索</w:t>
            </w:r>
          </w:p>
        </w:tc>
        <w:tc>
          <w:tcPr>
            <w:tcW w:w="609" w:type="pct"/>
          </w:tcPr>
          <w:p w14:paraId="33839ACE">
            <w:pPr>
              <w:pStyle w:val="27"/>
              <w:spacing w:line="360" w:lineRule="auto"/>
              <w:jc w:val="center"/>
            </w:pPr>
            <w:r>
              <w:t xml:space="preserve">7.5 </w:t>
            </w:r>
            <w:r>
              <w:rPr>
                <w:rFonts w:hint="eastAsia"/>
              </w:rPr>
              <w:t>千级</w:t>
            </w:r>
          </w:p>
        </w:tc>
        <w:tc>
          <w:tcPr>
            <w:tcW w:w="1944" w:type="dxa"/>
          </w:tcPr>
          <w:p w14:paraId="5AD694F2">
            <w:pPr>
              <w:pStyle w:val="27"/>
              <w:spacing w:line="360" w:lineRule="auto"/>
              <w:jc w:val="center"/>
            </w:pPr>
            <w:r>
              <w:t xml:space="preserve">Swap </w:t>
            </w:r>
            <w:r>
              <w:rPr>
                <w:rFonts w:hint="eastAsia"/>
              </w:rPr>
              <w:t>最难；物体</w:t>
            </w:r>
            <w:r>
              <w:t xml:space="preserve"> &gt; </w:t>
            </w:r>
            <w:r>
              <w:rPr>
                <w:rFonts w:hint="eastAsia"/>
              </w:rPr>
              <w:t>属性</w:t>
            </w:r>
            <w:r>
              <w:t xml:space="preserve"> &gt; </w:t>
            </w:r>
            <w:r>
              <w:rPr>
                <w:rFonts w:hint="eastAsia"/>
              </w:rPr>
              <w:t>关系</w:t>
            </w:r>
          </w:p>
        </w:tc>
      </w:tr>
      <w:bookmarkEnd w:id="3"/>
    </w:tbl>
    <w:p w14:paraId="70B15369">
      <w:pPr>
        <w:pStyle w:val="5"/>
        <w:spacing w:line="360" w:lineRule="auto"/>
        <w:jc w:val="both"/>
      </w:pPr>
      <w:bookmarkStart w:id="4" w:name="rl-基础与奖励信号演进主线"/>
      <w:r>
        <w:rPr>
          <w:rFonts w:eastAsia="宋体"/>
        </w:rPr>
        <w:t xml:space="preserve">2.2 RL </w:t>
      </w:r>
      <w:r>
        <w:rPr>
          <w:rFonts w:hint="eastAsia" w:eastAsia="宋体"/>
        </w:rPr>
        <w:t>基础与奖励信号演进主线</w:t>
      </w:r>
      <w:commentRangeStart w:id="11"/>
      <w:commentRangeStart w:id="12"/>
      <w:r>
        <w:rPr>
          <w:rStyle w:val="24"/>
          <w:sz w:val="28"/>
          <w:szCs w:val="28"/>
        </w:rPr>
        <w:commentReference w:id="11"/>
      </w:r>
      <w:commentRangeEnd w:id="11"/>
      <w:commentRangeEnd w:id="12"/>
      <w:r>
        <w:rPr>
          <w:rStyle w:val="24"/>
          <w:sz w:val="28"/>
          <w:szCs w:val="28"/>
        </w:rPr>
        <w:commentReference w:id="12"/>
      </w:r>
    </w:p>
    <w:p w14:paraId="5DD9DE40">
      <w:pPr>
        <w:pStyle w:val="26"/>
        <w:spacing w:line="360" w:lineRule="auto"/>
        <w:ind w:firstLine="480" w:firstLineChars="200"/>
        <w:jc w:val="both"/>
      </w:pPr>
      <w:r>
        <w:rPr>
          <w:rFonts w:hint="eastAsia"/>
          <w:color w:val="000000"/>
        </w:rPr>
        <w:commentReference w:id="13"/>
      </w:r>
      <w:r>
        <w:rPr>
          <w:rFonts w:hint="eastAsia"/>
          <w:color w:val="000000"/>
        </w:rPr>
        <w:t xml:space="preserve">将强化学习引入视觉-语言对齐的早期工作沿用了 LLM 的 RLHF </w:t>
      </w:r>
      <w:r>
        <w:rPr>
          <w:rFonts w:hint="eastAsia"/>
          <w:color w:val="000000"/>
          <w:lang w:val="en-US" w:eastAsia="zh-CN"/>
        </w:rPr>
        <w:t xml:space="preserve">与 RLAIF </w:t>
      </w:r>
      <w:r>
        <w:rPr>
          <w:rFonts w:hint="eastAsia"/>
          <w:color w:val="000000"/>
        </w:rPr>
        <w:t>范式。LLaVA-RLHF [6]</w:t>
      </w:r>
      <w:r>
        <w:rPr>
          <w:rFonts w:hint="eastAsia"/>
          <w:color w:val="000000"/>
          <w:lang w:eastAsia="zh-CN"/>
        </w:rPr>
        <w:t>、</w:t>
      </w:r>
      <w:r>
        <w:rPr>
          <w:rFonts w:hint="eastAsia"/>
          <w:color w:val="000000"/>
        </w:rPr>
        <w:t>RLHF-V [7]</w:t>
      </w:r>
      <w:r>
        <w:rPr>
          <w:rFonts w:hint="eastAsia"/>
          <w:color w:val="000000"/>
          <w:lang w:eastAsia="zh-CN"/>
        </w:rPr>
        <w:t>、</w:t>
      </w:r>
      <w:r>
        <w:rPr>
          <w:rFonts w:hint="eastAsia"/>
          <w:color w:val="000000"/>
        </w:rPr>
        <w:t>Silkie [8]</w:t>
      </w:r>
      <w:r>
        <w:rPr>
          <w:rFonts w:hint="eastAsia"/>
          <w:color w:val="000000"/>
          <w:lang w:val="en-US" w:eastAsia="zh-CN"/>
        </w:rPr>
        <w:t xml:space="preserve"> 等</w:t>
      </w:r>
      <w:r>
        <w:rPr>
          <w:rFonts w:hint="eastAsia"/>
          <w:color w:val="000000"/>
        </w:rPr>
        <w:t>工作共同确立了“奖励来自对回答的评判”这一范式，反馈粒度停留在回答整体或语言片段，尚未触及组合绑定正确性。</w:t>
      </w:r>
    </w:p>
    <w:p w14:paraId="0A3027E0">
      <w:pPr>
        <w:pStyle w:val="3"/>
        <w:spacing w:line="360" w:lineRule="auto"/>
        <w:ind w:firstLine="480" w:firstLineChars="200"/>
        <w:jc w:val="both"/>
      </w:pPr>
      <w:r>
        <w:rPr>
          <w:rFonts w:hint="eastAsia"/>
          <w:color w:val="000000"/>
        </w:rPr>
        <w:t>数学推理领域的突破改变了奖励信号的设计方式。DeepSeekMath 提出的 GRPO [9] 去除了 PPO 的价值网络，对同一问题采样多个回答，用组内相对优势</w:t>
      </w:r>
    </w:p>
    <w:p w14:paraId="7476820E">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m:sty m:val="p"/>
                </m:rPr>
                <w:rPr>
                  <w:rFonts w:ascii="Cambria Math" w:hAnsi="Cambria Math"/>
                </w:rPr>
                <m:t>#(1)</m:t>
              </m:r>
              <m:ctrlPr>
                <w:rPr>
                  <w:rFonts w:ascii="Cambria Math" w:hAnsi="Cambria Math"/>
                </w:rPr>
              </m:ctrlPr>
            </m:e>
          </m:eqArr>
        </m:oMath>
      </m:oMathPara>
    </w:p>
    <w:p w14:paraId="01685072">
      <w:pPr>
        <w:pStyle w:val="26"/>
        <w:spacing w:line="360" w:lineRule="auto"/>
        <w:jc w:val="both"/>
      </w:pPr>
      <w:r>
        <w:rPr>
          <w:rFonts w:hint="eastAsia"/>
          <w:color w:val="000000"/>
        </w:rPr>
        <w:t>替代 critic 打分，配合确定性规则验证器提供奖励，开辟了“可验证奖励强化学习”（RL with Verifiable Rewards, RLVR）路线。一个自然的对照是直接偏好优化（DPO）[10]：它以离线偏好对为原料、无需显式奖励模型，在可验证奖励设定下也可自动构造偏好对；但 DPO 的偏好对来自固定采样分布，不随策略迭代更新，难以从模型自生成的新推理路径中持续获益。GRPO 的在线组采样、组内相对优势以及与规则/结构化奖励的天然兼容性，是本文 3.1</w:t>
      </w:r>
      <w:r>
        <w:rPr>
          <w:rFonts w:hint="eastAsia"/>
          <w:color w:val="000000"/>
          <w:lang w:val="en-US" w:eastAsia="zh-CN"/>
        </w:rPr>
        <w:t xml:space="preserve"> ~ </w:t>
      </w:r>
      <w:r>
        <w:rPr>
          <w:rFonts w:hint="eastAsia"/>
          <w:color w:val="000000"/>
        </w:rPr>
        <w:t>3.3 各方法普遍以其为算法底座、并在此基础上扩展奖励粒度的深层原因。</w:t>
      </w:r>
    </w:p>
    <w:p w14:paraId="19E2D48C">
      <w:pPr>
        <w:pStyle w:val="3"/>
        <w:spacing w:line="360" w:lineRule="auto"/>
        <w:ind w:firstLine="480" w:firstLineChars="200"/>
        <w:jc w:val="both"/>
      </w:pPr>
      <w:r>
        <w:rPr>
          <w:rFonts w:hint="eastAsia"/>
          <w:color w:val="000000"/>
        </w:rPr>
        <w:t>进一步的理论分析表明，GRPO 与过程奖励模型（Process Reward Model, PRM）并非两条独立路线：在 token 级策略梯度与单次更新的设定下，标准 GRPO 目标与 PRM-aware 目标数学等价，组内多条回答的共享前缀天然定义了“过程步骤”，GRPO 一直在隐式地做过程级信用分配 [11]。多模态侧，VisualPRM 等工作已将 PRM 扩展到多模态推理 [12]。</w:t>
      </w:r>
    </w:p>
    <w:p w14:paraId="2E00BC01">
      <w:pPr>
        <w:pStyle w:val="3"/>
        <w:spacing w:line="360" w:lineRule="auto"/>
        <w:ind w:firstLine="480" w:firstLineChars="200"/>
        <w:jc w:val="both"/>
      </w:pPr>
      <w:commentRangeStart w:id="14"/>
      <w:commentRangeStart w:id="15"/>
      <w:r>
        <w:rPr>
          <w:rFonts w:hint="eastAsia"/>
          <w:color w:val="000000"/>
        </w:rPr>
        <w:commentReference w:id="14"/>
      </w:r>
      <w:commentRangeEnd w:id="14"/>
      <w:commentRangeEnd w:id="15"/>
      <w:r>
        <w:rPr>
          <w:rFonts w:hint="eastAsia"/>
          <w:color w:val="000000"/>
        </w:rPr>
        <w:commentReference w:id="15"/>
      </w:r>
      <w:r>
        <w:rPr>
          <w:rFonts w:hint="eastAsia"/>
          <w:color w:val="000000"/>
        </w:rPr>
        <w:t>至此，奖励信号的可验证性来源经历了一次根本转变：从人类/AI 的主观打分走向规则与结构的确定性验证。然而组合推理不同于数学，它没有唯一标准答案，正确性恰恰藏在属性与关系的绑定之中。如何为这种绑定定义可验证的奖励信号，正是第 3 节三类方法的出发点。</w:t>
      </w:r>
    </w:p>
    <w:bookmarkEnd w:id="2"/>
    <w:bookmarkEnd w:id="4"/>
    <w:p w14:paraId="6D3939BB">
      <w:pPr>
        <w:pStyle w:val="4"/>
        <w:spacing w:line="360" w:lineRule="auto"/>
        <w:jc w:val="both"/>
      </w:pPr>
      <w:bookmarkStart w:id="5" w:name="方法分类"/>
      <w:r>
        <w:rPr>
          <w:rFonts w:ascii="Times New Roman" w:hAnsi="Times New Roman" w:eastAsia="宋体"/>
        </w:rPr>
        <w:t xml:space="preserve">3. </w:t>
      </w:r>
      <w:r>
        <w:rPr>
          <w:rFonts w:hint="eastAsia" w:ascii="Times New Roman" w:hAnsi="Times New Roman" w:eastAsia="宋体"/>
        </w:rPr>
        <w:t>方法分类</w:t>
      </w:r>
    </w:p>
    <w:p w14:paraId="4768A871">
      <w:pPr>
        <w:pStyle w:val="26"/>
        <w:spacing w:line="360" w:lineRule="auto"/>
        <w:ind w:firstLine="480" w:firstLineChars="200"/>
        <w:jc w:val="both"/>
      </w:pPr>
      <w:r>
        <w:rPr>
          <w:rFonts w:hint="eastAsia"/>
          <w:color w:val="000000"/>
        </w:rPr>
        <w:t>根据奖励信号的增量贡献，现有方法可归纳为三类：结果验证奖励、视觉对齐奖励和推理过程奖励，分别对应组合推理中“是否正确”“是否看对”与“是否合理推理”三个层面的优化目标。具体地，判据设计创新（如何判定对错）归入 3.1，信号源创新（奖励依据什么）归入 3.2，优化对象创新（奖励作用于哪里）归入 3.3；各方法继承自 RLVR 底座（如 GRPO 的答案验证）的通用成分不计入分类依据。类别之间体现的是奖励粒度的扩展而非严格的继承关系；本节按三类展开梳理，每篇方法按统一维度（奖励来源、监督需求、组合触及度、评测与局限）呈现，类别间的关系集中于 3.4 节讨论。下文所引实验数据均为论文报告值，比较条件（基座模型、基线、评测基准）见各方法段与表 4。</w:t>
      </w:r>
    </w:p>
    <w:p w14:paraId="1512CFB2">
      <w:pPr>
        <w:pStyle w:val="5"/>
        <w:spacing w:line="360" w:lineRule="auto"/>
        <w:jc w:val="both"/>
      </w:pPr>
      <w:bookmarkStart w:id="6" w:name="验证器奖励verifier-based"/>
      <w:r>
        <w:rPr>
          <w:rFonts w:eastAsia="宋体"/>
        </w:rPr>
        <w:t xml:space="preserve">3.1 </w:t>
      </w:r>
      <w:r>
        <w:rPr>
          <w:rFonts w:hint="eastAsia" w:eastAsia="宋体"/>
        </w:rPr>
        <w:t>验证器</w:t>
      </w:r>
      <w:commentRangeStart w:id="16"/>
      <w:r>
        <w:rPr>
          <w:rFonts w:hint="eastAsia" w:eastAsia="宋体"/>
        </w:rPr>
        <w:t>奖励（Verifier-based）</w:t>
      </w:r>
      <w:commentRangeEnd w:id="16"/>
      <w:r>
        <w:rPr>
          <w:rStyle w:val="24"/>
          <w:sz w:val="28"/>
          <w:szCs w:val="28"/>
        </w:rPr>
        <w:commentReference w:id="16"/>
      </w:r>
    </w:p>
    <w:p w14:paraId="0DB68E93">
      <w:pPr>
        <w:pStyle w:val="26"/>
        <w:spacing w:line="360" w:lineRule="auto"/>
        <w:ind w:firstLine="480" w:firstLineChars="200"/>
        <w:jc w:val="both"/>
      </w:pPr>
      <w:r>
        <w:rPr>
          <w:rFonts w:hint="eastAsia"/>
          <w:color w:val="000000"/>
        </w:rPr>
        <w:t>验证器奖励建立在“正确性可定义”的前提上：当任务的答案可由规则、程序或结构约束自动判定时，验证器就能提供确定性训练信号，无需训练奖励模型。本文的“验证器”取确定性判据之义，与学习式验证器相对——后者如过程奖励模型（PRM）需标注数据训练获得，本文将其作为向 3.3 过程建模过渡的桥梁在第 3.3 节讨论；判据既可对照外部标准，也可退化为无外部标准的自洽性检查（SVQA-R1 的一致性判据即属此类，是向自监督方向的延伸）。组合推理的错误集中在精细绑定上，而绑定正误在一定任务设计下可以自动判定。围绕“验证什么”，不同工作分别验证最终答案、推理的中间结构与回答的跨视角一致性。</w:t>
      </w:r>
    </w:p>
    <w:p w14:paraId="2F8845A4">
      <w:pPr>
        <w:pStyle w:val="3"/>
        <w:spacing w:line="360" w:lineRule="auto"/>
        <w:ind w:firstLine="480" w:firstLineChars="200"/>
        <w:jc w:val="both"/>
      </w:pPr>
      <w:r>
        <w:rPr>
          <w:color w:val="000000"/>
        </w:rPr>
        <w:t>CR³ [4] 是结果级验证的代表，其贡献是把组合推理重新设计成答案可自动判分的任务：构造三个图文匹配任务（TG-VCR、VG-TCR、CITM），回答正误由确定性规则判定，奖励由答案正确与推理顺序两个二元分量构成：</w:t>
      </w:r>
    </w:p>
    <w:p w14:paraId="19E46CD0">
      <w:pPr>
        <w:pStyle w:val="3"/>
        <w:spacing w:line="360" w:lineRule="auto"/>
        <w:jc w:val="center"/>
      </w:pPr>
      <m:oMathPara>
        <m:oMath>
          <m:eqArr>
            <m:eqArrPr>
              <m:maxDist m:val="1"/>
              <m:ctrlPr>
                <w:rPr>
                  <w:rFonts w:hint="default" w:ascii="Cambria Math" w:hAnsi="Cambria Math"/>
                  <w:i/>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m:sty m:val="p"/>
                </m:rPr>
                <w:rPr>
                  <w:rFonts w:ascii="Cambria Math" w:hAnsi="Cambria Math"/>
                  <w:sz w:val="24"/>
                </w:rPr>
                <m:t>#</m:t>
              </m:r>
              <m:r>
                <m:rPr>
                  <m:sty m:val="p"/>
                </m:rPr>
                <w:rPr>
                  <w:rFonts w:hint="default" w:ascii="Cambria Math" w:hAnsi="Cambria Math"/>
                  <w:sz w:val="24"/>
                  <w:lang w:val="en-US" w:eastAsia="zh-CN"/>
                </w:rPr>
                <m:t>(2)</m:t>
              </m:r>
              <m:ctrlPr>
                <w:rPr>
                  <w:rFonts w:hint="default" w:ascii="Cambria Math" w:hAnsi="Cambria Math"/>
                  <w:i/>
                  <w:sz w:val="24"/>
                </w:rPr>
              </m:ctrlPr>
            </m:e>
          </m:eqArr>
        </m:oMath>
      </m:oMathPara>
    </w:p>
    <w:p w14:paraId="6B2F1EEF">
      <w:pPr>
        <w:pStyle w:val="26"/>
        <w:spacing w:line="360" w:lineRule="auto"/>
        <w:ind w:firstLine="480" w:firstLineChars="200"/>
        <w:jc w:val="both"/>
      </w:pPr>
      <w:r>
        <w:rPr>
          <w:rFonts w:hint="eastAsia"/>
          <w:color w:val="000000"/>
        </w:rPr>
        <w:t>其中答案分量在输出与标准答案完全一致时取 1，顺序分量在输出严格遵循</w:t>
      </w:r>
      <w:r>
        <w:rPr>
          <w:rFonts w:hint="eastAsia"/>
          <w:color w:val="000000"/>
          <w:lang w:eastAsia="zh-CN"/>
        </w:rPr>
        <w:t>“</w:t>
      </w:r>
      <w:r>
        <w:rPr>
          <w:rFonts w:hint="eastAsia"/>
          <w:color w:val="000000"/>
        </w:rPr>
        <w:t xml:space="preserve">先以 </w:t>
      </w:r>
      <w:r>
        <w:rPr>
          <w:rFonts w:hint="default" w:ascii="Consolas" w:hAnsi="Consolas" w:cs="Consolas"/>
          <w:color w:val="000000"/>
        </w:rPr>
        <w:t>&lt;think&gt;</w:t>
      </w:r>
      <w:r>
        <w:rPr>
          <w:rFonts w:hint="eastAsia"/>
          <w:color w:val="000000"/>
        </w:rPr>
        <w:t xml:space="preserve"> 给出推理、再以 </w:t>
      </w:r>
      <w:r>
        <w:rPr>
          <w:rFonts w:hint="default" w:ascii="Consolas" w:hAnsi="Consolas" w:cs="Consolas"/>
          <w:color w:val="000000"/>
        </w:rPr>
        <w:t>&lt;answer&gt;</w:t>
      </w:r>
      <w:r>
        <w:rPr>
          <w:rFonts w:hint="eastAsia"/>
          <w:color w:val="000000"/>
        </w:rPr>
        <w:t xml:space="preserve"> 给出答案</w:t>
      </w:r>
      <w:r>
        <w:rPr>
          <w:rFonts w:hint="eastAsia"/>
          <w:color w:val="000000"/>
          <w:lang w:eastAsia="zh-CN"/>
        </w:rPr>
        <w:t>”</w:t>
      </w:r>
      <w:r>
        <w:rPr>
          <w:rFonts w:hint="eastAsia"/>
          <w:color w:val="000000"/>
        </w:rPr>
        <w:t>的格式时取 1（</w:t>
      </w:r>
      <m:oMath>
        <m:r>
          <m:rPr>
            <m:sty m:val="p"/>
          </m:rPr>
          <w:rPr>
            <w:rFonts w:ascii="Cambria Math" w:hAnsi="Cambria Math"/>
          </w:rPr>
          <m:t>λ</m:t>
        </m:r>
        <m:r>
          <m:rPr>
            <m:sty m:val="p"/>
          </m:rPr>
          <w:rPr>
            <w:rFonts w:hint="default" w:ascii="Cambria Math" w:hAnsi="Cambria Math"/>
            <w:lang w:val="en-US" w:eastAsia="zh-CN"/>
          </w:rPr>
          <m:t>=1.0</m:t>
        </m:r>
      </m:oMath>
      <w:r>
        <w:rPr>
          <w:rFonts w:hint="eastAsia"/>
          <w:color w:val="000000"/>
        </w:rPr>
        <w:t>），强制显式推理生成。无需外部标注，但规则判定只是前提，真正决定信号质量的是数据工序：通过语义与视觉双重筛选构造高难度负样本（18.5 万→1.89 万），使二元奖励在“整体相似、细节绑定出错”的样本上保持梯度。论文报告 Qwen2.5-VL-7B 与 InternVL3-8B 在三个组合基准上较原始基线平均提升超 9 个绝对点，且无 SFT 常见的领域外退化。</w:t>
      </w:r>
    </w:p>
    <w:p w14:paraId="09C29995">
      <w:pPr>
        <w:pStyle w:val="3"/>
        <w:spacing w:line="360" w:lineRule="auto"/>
        <w:ind w:firstLine="480" w:firstLineChars="200"/>
        <w:jc w:val="both"/>
      </w:pPr>
      <w:r>
        <w:rPr>
          <w:rFonts w:hint="eastAsia"/>
          <w:color w:val="000000"/>
        </w:rPr>
        <w:t>SpatialThinker [13] 探索了结构级奖励，将验证对象扩展到推理的中间产物：模型按固定模板输出“观察→场景图→推理→答案”，奖励由格式、计数、准确率、空间四个分量经字典序门控组合：</w:t>
      </w:r>
    </w:p>
    <w:p w14:paraId="098AAC32">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total</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e>
              </m:d>
              <m:r>
                <m:rPr>
                  <m:sty m:val="p"/>
                </m:rPr>
                <w:rPr>
                  <w:rFonts w:ascii="Cambria Math" w:hAnsi="Cambria Math"/>
                </w:rPr>
                <m:t>,#(3)</m:t>
              </m:r>
              <m:ctrlPr>
                <w:rPr>
                  <w:rFonts w:ascii="Cambria Math" w:hAnsi="Cambria Math"/>
                </w:rPr>
              </m:ctrlPr>
            </m:e>
          </m:eqArr>
        </m:oMath>
      </m:oMathPara>
    </w:p>
    <w:p w14:paraId="27FC9D15">
      <w:pPr>
        <w:pStyle w:val="26"/>
        <w:spacing w:line="360" w:lineRule="auto"/>
        <w:jc w:val="both"/>
      </w:pPr>
      <w:r>
        <w:rPr>
          <w:rFonts w:hint="eastAsia"/>
          <w:color w:val="000000"/>
        </w:rPr>
        <w:t>其中格式分量是硬门槛，空间奖励仅在答案正确时生效，防止模型为刷结构分而牺牲最终答案。论文报告 7B 模型在 14 个基准上平均超越 GPT-4o 4.7 个百分点，但 STVQA-7K 基于 Visual Genome 人工标注构建，框标注质量直接决定空间分量的可靠性。</w:t>
      </w:r>
    </w:p>
    <w:p w14:paraId="2122FAD5">
      <w:pPr>
        <w:pStyle w:val="3"/>
        <w:spacing w:line="360" w:lineRule="auto"/>
        <w:ind w:firstLine="480" w:firstLineChars="200"/>
        <w:jc w:val="both"/>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SVQA-R1 [14] 代表了对“跨视角一致性”的验证，将图像镜像翻转并用 GPT-4o 生成翻转后逻辑一致的问答对，要求模型对原图与翻转图给出语义一致的答案；奖励为格式与语义两个分量加权（</w:t>
      </w:r>
      <m:oMath>
        <m:r>
          <m:rPr/>
          <w:rPr>
            <w:rFonts w:ascii="Cambria Math" w:hAnsi="Cambria Math" w:cs="Cambria Math"/>
            <w:color w:val="000000" w:themeColor="text1"/>
            <w14:textFill>
              <w14:solidFill>
                <w14:schemeClr w14:val="tx1"/>
              </w14:solidFill>
            </w14:textFill>
          </w:rPr>
          <m:t>r</m:t>
        </m:r>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cs="Times New Roman"/>
          <w:color w:val="000000" w:themeColor="text1"/>
          <w14:textFill>
            <w14:solidFill>
              <w14:schemeClr w14:val="tx1"/>
            </w14:solidFill>
          </w14:textFill>
        </w:rPr>
        <w:t>）。论文报告 3B 模型在 Q-Spatial++ 上较 SFT 基线提升超 30 个百分点，验证范围限于水平镜像翻转下的空间问答。</w:t>
      </w:r>
    </w:p>
    <w:p w14:paraId="55FD8CCD">
      <w:pPr>
        <w:pStyle w:val="3"/>
        <w:spacing w:line="360" w:lineRule="auto"/>
        <w:ind w:firstLine="482" w:firstLineChars="200"/>
        <w:jc w:val="both"/>
      </w:pPr>
      <w:r>
        <w:rPr>
          <w:rFonts w:hint="eastAsia"/>
          <w:b/>
          <w:color w:val="000000"/>
        </w:rPr>
        <w:t>节内小结：</w:t>
      </w:r>
      <w:r>
        <w:rPr>
          <w:rFonts w:hint="eastAsia"/>
          <w:color w:val="000000"/>
        </w:rPr>
        <w:t>三篇工作的验证对象覆盖答案、中间结构与跨视角一致性，共同约束是“正确性必须可定义”：组合推理没有唯一标准答案，验证器只能验证可结构化的侧面。而绑定是否正确不在答案里，而在模型与视觉证据的关系中；对这一层面的优化，视觉对齐奖励提供了另一条独立路径（见 3.2）。</w:t>
      </w:r>
    </w:p>
    <w:bookmarkEnd w:id="6"/>
    <w:p w14:paraId="7B0F82FD">
      <w:pPr>
        <w:pStyle w:val="5"/>
        <w:spacing w:line="360" w:lineRule="auto"/>
        <w:jc w:val="both"/>
      </w:pPr>
      <w:bookmarkStart w:id="7" w:name="视觉对齐奖励grounded"/>
      <w:r>
        <w:rPr>
          <w:rFonts w:eastAsia="宋体"/>
        </w:rPr>
        <w:t xml:space="preserve">3.2 </w:t>
      </w:r>
      <w:r>
        <w:rPr>
          <w:rFonts w:hint="eastAsia" w:eastAsia="宋体"/>
        </w:rPr>
        <w:t>视觉对齐奖励（Grounded）</w:t>
      </w:r>
    </w:p>
    <w:p w14:paraId="1D21210B">
      <w:pPr>
        <w:pStyle w:val="26"/>
        <w:spacing w:line="360" w:lineRule="auto"/>
        <w:ind w:firstLine="480" w:firstLineChars="200"/>
        <w:jc w:val="both"/>
      </w:pPr>
      <w:r>
        <w:rPr>
          <w:rFonts w:hint="eastAsia"/>
          <w:color w:val="000000"/>
        </w:rPr>
        <w:t>答对不等于看图：仅凭文本统计规律或虚假相关，模型也能蒙对组合任务，而结果验证对此无能为力。视觉对齐奖励把信号源从“回答的外部判据”换成“回答与视觉证据的关系”，让“是否真的看了图、看了正确的区域”成为可优化信号。不同工作沿“对齐对象”（证据区域、思维链内嵌、物体级、显著性分布）与“监督强度”（少量问答对到零标注）两个维度展开探索。</w:t>
      </w:r>
    </w:p>
    <w:p w14:paraId="1AFD63A9">
      <w:pPr>
        <w:pStyle w:val="3"/>
        <w:spacing w:line="360" w:lineRule="auto"/>
        <w:ind w:firstLine="480" w:firstLineChars="200"/>
        <w:jc w:val="both"/>
      </w:pPr>
      <w:r>
        <w:rPr>
          <w:color w:val="000000"/>
        </w:rPr>
        <w:t>Ground-R1 [15] 是这一方向的起点，证明 RL 下无需框标注即可驱动模型学会定位证据。两阶段 rollout 中，模型先输出证据框坐标、再基于裁剪出的局部图像作答，对齐信号来自答案对局部图像的依赖，其奖励本身仍是格式与答案验证。论文诊断出标准 GRPO 的全局归一化偏袒大而显著的证据区域，小证据获得持续负优势，故提出尺度相对策略优化（SRPO），按区域面积分箱做桶内/桶间归一化，较标准 GRPO 在 V* 与 HR-4K 上分别提升 2.1 与 1.2 个百分点。SRPO 属归一化机制而非奖励信号设计，却印证了主线上的一个必要条件：对齐奖励要真正生效，不同尺度的证据必须在优势计算中公平竞争，否则信号将被大区域垄断。</w:t>
      </w:r>
    </w:p>
    <w:p w14:paraId="05E51ADF">
      <w:pPr>
        <w:pStyle w:val="3"/>
        <w:spacing w:line="360" w:lineRule="auto"/>
        <w:ind w:firstLine="480" w:firstLineChars="200"/>
        <w:jc w:val="both"/>
      </w:pPr>
      <w:r>
        <w:rPr>
          <w:color w:val="000000"/>
        </w:rPr>
        <w:t>GRIT [16] 在监督强度上进一步压缩：包围框坐标直接内嵌进思维链</w:t>
      </w:r>
      <w:r>
        <w:rPr>
          <w:rFonts w:hint="eastAsia"/>
        </w:rPr>
        <w:t>（</w:t>
      </w:r>
      <w:r>
        <w:rPr>
          <w:rStyle w:val="51"/>
        </w:rPr>
        <w:t>&lt;think&gt;</w:t>
      </w:r>
      <w:r>
        <w:t>→</w:t>
      </w:r>
      <w:r>
        <w:rPr>
          <w:rStyle w:val="51"/>
        </w:rPr>
        <w:t>&lt;rethink&gt;</w:t>
      </w:r>
      <w:r>
        <w:t>→</w:t>
      </w:r>
      <w:r>
        <w:rPr>
          <w:rStyle w:val="51"/>
        </w:rPr>
        <w:t>&lt;answer&gt;</w:t>
      </w:r>
      <w:r>
        <w:rPr>
          <w:rFonts w:hint="eastAsia"/>
        </w:rPr>
        <w:t>）</w:t>
      </w:r>
      <w:r>
        <w:rPr>
          <w:color w:val="000000"/>
        </w:rPr>
        <w:t>，训练仅用 20 个图文问答三元组即触发基座模型的 grounded 推理能力。消融还揭示对齐信号须与推理需求挂钩：加入计数奖励后 grounding 质量显著提升（GIoU 0.349→0.387）。但 bbox 终究只是“看哪儿”的粗略代理，奖励不约束框本身的质量。</w:t>
      </w:r>
    </w:p>
    <w:p w14:paraId="414493A2">
      <w:pPr>
        <w:pStyle w:val="3"/>
        <w:spacing w:line="360" w:lineRule="auto"/>
        <w:ind w:firstLine="480" w:firstLineChars="200"/>
        <w:jc w:val="both"/>
      </w:pPr>
      <w:r>
        <w:rPr>
          <w:color w:val="000000"/>
        </w:rPr>
        <w:t xml:space="preserve">POLIA [17] 把对齐粒度细化到物体级，是本节中奖励公式最完整的设计：答案级外在优势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ext</m:t>
            </m:r>
            <m:ctrlPr>
              <w:rPr>
                <w:rFonts w:ascii="Cambria Math" w:hAnsi="Cambria Math"/>
              </w:rPr>
            </m:ctrlPr>
          </m:sup>
        </m:sSup>
      </m:oMath>
      <w:r>
        <w:rPr>
          <w:color w:val="000000"/>
        </w:rPr>
        <w:t xml:space="preserve"> 沿用 GRPO 的组内归一化；物体级内在优势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int</m:t>
            </m:r>
            <m:ctrlPr>
              <w:rPr>
                <w:rFonts w:ascii="Cambria Math" w:hAnsi="Cambria Math"/>
              </w:rPr>
            </m:ctrlPr>
          </m:sup>
        </m:sSup>
      </m:oMath>
      <w:r>
        <w:rPr>
          <w:color w:val="000000"/>
        </w:rPr>
        <w:t xml:space="preserve"> 先在答案引用的物体集合上按置信度修正奖励，再在组内归一化：</w:t>
      </w:r>
    </w:p>
    <w:p w14:paraId="7EE097A6">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R</m:t>
              </m:r>
              <m:r>
                <m:rPr>
                  <m:sty m:val="p"/>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nor/>
                          <m:sty m:val="p"/>
                        </m:rPr>
                        <w:rPr>
                          <w:b w:val="0"/>
                          <w:i w:val="0"/>
                        </w:rPr>
                        <m:t>mean</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ctrlPr>
                    <w:rPr>
                      <w:rFonts w:ascii="Cambria Math" w:hAnsi="Cambria Math"/>
                    </w:rPr>
                  </m:ctrlPr>
                </m:num>
                <m:den>
                  <m:sSub>
                    <m:sSubPr>
                      <m:ctrlPr>
                        <w:rPr>
                          <w:rFonts w:ascii="Cambria Math" w:hAnsi="Cambria Math"/>
                        </w:rPr>
                      </m:ctrlPr>
                    </m:sSubPr>
                    <m:e>
                      <m:r>
                        <m:rPr>
                          <m:nor/>
                          <m:sty m:val="p"/>
                        </m:rPr>
                        <w:rPr>
                          <w:b w:val="0"/>
                          <w:i w:val="0"/>
                        </w:rPr>
                        <m:t>std</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δ</m:t>
                  </m:r>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ext</m:t>
                  </m:r>
                  <m:ctrlPr>
                    <w:rPr>
                      <w:rFonts w:ascii="Cambria Math" w:hAnsi="Cambria Math"/>
                    </w:rPr>
                  </m:ctrlPr>
                </m:sup>
              </m:sSubSup>
              <m:r>
                <m:rPr>
                  <m:sty m:val="p"/>
                </m:rPr>
                <w:rPr>
                  <w:rFonts w:ascii="Cambria Math" w:hAnsi="Cambria Math"/>
                </w:rPr>
                <m:t>+</m:t>
              </m:r>
              <m:r>
                <m:rPr/>
                <w:rPr>
                  <w:rFonts w:ascii="Cambria Math" w:hAnsi="Cambria Math"/>
                </w:rPr>
                <m:t>ω</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,#(4)~(6)</m:t>
              </m:r>
              <m:ctrlPr>
                <w:rPr>
                  <w:rFonts w:ascii="Cambria Math" w:hAnsi="Cambria Math"/>
                  <w:i/>
                </w:rPr>
              </m:ctrlPr>
            </m:e>
          </m:eqArr>
        </m:oMath>
      </m:oMathPara>
    </w:p>
    <w:p w14:paraId="0926A76E">
      <w:pPr>
        <w:pStyle w:val="26"/>
        <w:spacing w:line="360" w:lineRule="auto"/>
        <w:jc w:val="both"/>
      </w:pPr>
      <w:r>
        <w:rPr>
          <w:rFonts w:hint="eastAsia"/>
          <w:color w:val="000000"/>
        </w:rPr>
        <w:t xml:space="preserve">其中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oMath>
      <w:r>
        <w:rPr>
          <w:rFonts w:hint="eastAsia"/>
          <w:color w:val="000000"/>
        </w:rPr>
        <w:t xml:space="preserve"> 是预测框与真实物体匹配的置信度（IoU 与归一化距离加权）。看错地方的轨迹即使答对，其物体级优势也会被置信度压低，从而在奖励层面区分“答案对但看错地方”与“答案对且看对地方”。在 VSR 上 POLIA 将基线 GRPO 的 59.0% 提升至 81.3%，物体级打分仅占总训练时间的 0.0004%。同方向的 SAYO [18] 以区域级视觉注意力作为奖励信号，把对齐对象从显式框推广到注意力分布。</w:t>
      </w:r>
    </w:p>
    <w:p w14:paraId="2AF1DEA2">
      <w:pPr>
        <w:pStyle w:val="3"/>
        <w:spacing w:line="360" w:lineRule="auto"/>
        <w:ind w:firstLine="482" w:firstLineChars="200"/>
        <w:jc w:val="both"/>
      </w:pPr>
      <w:r>
        <w:rPr>
          <w:rFonts w:hint="eastAsia"/>
          <w:b/>
          <w:color w:val="000000"/>
        </w:rPr>
        <w:t>节内小结：</w:t>
      </w:r>
      <w:r>
        <w:rPr>
          <w:rFonts w:hint="eastAsia"/>
          <w:color w:val="000000"/>
        </w:rPr>
        <w:t>该方向的对齐对象覆盖证据区域、思维链内嵌、物体级与显著性分布，监督需求较低：Ground-R1 无需框标注，GRIT 仅需 20 个问答三元组，POLIA 复用数据集物体标注。但上述工作多在通用 VQA 与空间问答上验证，显式组合基准上的覆盖仍然不足；对齐奖励衡量“是否看对”，而组合推理还要求“是否合理推理”，后者由推理过程优化方向（3.3）处理。</w:t>
      </w:r>
    </w:p>
    <w:bookmarkEnd w:id="7"/>
    <w:p w14:paraId="1BF6C51F">
      <w:pPr>
        <w:pStyle w:val="5"/>
        <w:spacing w:line="360" w:lineRule="auto"/>
        <w:jc w:val="both"/>
      </w:pPr>
      <w:bookmarkStart w:id="8" w:name="推理过程优化process"/>
      <w:r>
        <w:rPr>
          <w:rFonts w:eastAsia="宋体"/>
        </w:rPr>
        <w:t xml:space="preserve">3.3 </w:t>
      </w:r>
      <w:r>
        <w:rPr>
          <w:rFonts w:hint="eastAsia" w:eastAsia="宋体"/>
        </w:rPr>
        <w:t>推理过程优化（Process）</w:t>
      </w:r>
    </w:p>
    <w:p w14:paraId="64F4E8B0">
      <w:pPr>
        <w:pStyle w:val="26"/>
        <w:spacing w:line="360" w:lineRule="auto"/>
        <w:ind w:firstLine="480" w:firstLineChars="200"/>
        <w:jc w:val="both"/>
      </w:pPr>
      <w:r>
        <w:rPr>
          <w:rFonts w:hint="eastAsia"/>
          <w:color w:val="000000"/>
        </w:rPr>
        <w:t>前两类的信号分别作用于“是否正确”与“是否看对”，第三类则把优化信号作用于推理过程本身。理论上，这类方法与结果验证存在深层联系：GRPO 在 token 级设定下与 PRM-aware 目标数学等价，组内共享前缀天然构成“过程步骤” [11]，即结果奖励本就在隐式地做过程级信用分配，本节方法可视为将这一隐式机制显式化。第一步在多模态侧已经出现：VisualPRM [12] 训练 8B 过程奖励模型（学习式验证器，将验证对象从最终答案迁移到推理步骤），在 7 个多模态推理基准上带来 3.7 ~ 8.9 个点提升，但其步骤定义纯文本、无视觉锚定，不覆盖组合绑定。第二步是把证据框等视觉结构锚定进步骤，这正是 H-GRPO 的探索。三篇工作的显式化程度依次递进：VisualPRM 验证步骤（事后打分）、Self-Questioning 约束结构（强制分解）、H-GRPO 建模路径（步骤逐点进入目标函数）。</w:t>
      </w:r>
    </w:p>
    <w:p w14:paraId="228F8B25">
      <w:pPr>
        <w:pStyle w:val="3"/>
        <w:spacing w:line="360" w:lineRule="auto"/>
        <w:ind w:firstLine="480" w:firstLineChars="200"/>
        <w:jc w:val="both"/>
      </w:pPr>
      <w:r>
        <w:rPr>
          <w:color w:val="000000"/>
        </w:rPr>
        <w:t>Self-Questioning VLM [19] 是显式化的最小实现，设计精简到只剩一个格式约束：模型必须按</w:t>
      </w:r>
      <w:r>
        <w:rPr>
          <w:rFonts w:hint="eastAsia"/>
          <w:color w:val="000000"/>
          <w:lang w:eastAsia="zh-CN"/>
        </w:rPr>
        <w:t>“</w:t>
      </w:r>
      <w:r>
        <w:rPr>
          <w:color w:val="000000"/>
        </w:rPr>
        <w:t>子问题/子答案序列 + 最终答案</w:t>
      </w:r>
      <w:r>
        <w:rPr>
          <w:rFonts w:hint="eastAsia"/>
          <w:color w:val="000000"/>
          <w:lang w:eastAsia="zh-CN"/>
        </w:rPr>
        <w:t>”</w:t>
      </w:r>
      <w:r>
        <w:rPr>
          <w:color w:val="000000"/>
        </w:rPr>
        <w:t>输出，奖励为二元形式：</w:t>
      </w:r>
    </w:p>
    <w:p w14:paraId="77D9D0CC">
      <w:pPr>
        <w:pStyle w:val="3"/>
        <w:spacing w:line="360" w:lineRule="auto"/>
        <w:jc w:val="both"/>
      </w:pPr>
      <m:oMathPara>
        <m:oMathParaPr>
          <m:jc m:val="center"/>
        </m:oMathParaPr>
        <m:oMath>
          <m:eqArr>
            <m:eqArrPr>
              <m:maxDist m:val="1"/>
              <m:ctrlPr>
                <w:rPr>
                  <w:rFonts w:ascii="Cambria Math" w:hAnsi="Cambria Math"/>
                  <w:i/>
                </w:rPr>
              </m:ctrlPr>
            </m:eqArrPr>
            <m:e>
              <m:r>
                <m:rPr/>
                <w:rPr>
                  <w:rFonts w:ascii="Cambria Math" w:hAnsi="Cambria Math"/>
                </w:rPr>
                <m:t>R</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ifFormat</m:t>
                        </m:r>
                        <m:r>
                          <m:rPr>
                            <m:sty m:val="p"/>
                          </m:rPr>
                          <w:rPr>
                            <w:rFonts w:ascii="Cambria Math" w:hAnsi="Cambria Math"/>
                          </w:rPr>
                          <m:t>(</m:t>
                        </m:r>
                        <m:r>
                          <m:rPr/>
                          <w:rPr>
                            <w:rFonts w:ascii="Cambria Math" w:hAnsi="Cambria Math"/>
                          </w:rPr>
                          <m:t>y</m:t>
                        </m:r>
                        <m:r>
                          <m:rPr>
                            <m:sty m:val="p"/>
                          </m:rPr>
                          <w:rPr>
                            <w:rFonts w:ascii="Cambria Math" w:hAnsi="Cambria Math"/>
                          </w:rPr>
                          <m:t>)∧</m:t>
                        </m:r>
                        <m:r>
                          <m:rPr>
                            <m:nor/>
                            <m:sty m:val="p"/>
                          </m:rPr>
                          <w:rPr>
                            <w:b w:val="0"/>
                            <w:i w:val="0"/>
                          </w:rPr>
                          <m:t>Correct</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ctrlPr>
                          <w:rPr>
                            <w:rFonts w:ascii="Cambria Math" w:hAnsi="Cambria Math"/>
                          </w:rPr>
                        </m:ctrlPr>
                      </m:e>
                    </m:m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otherwise</m:t>
                        </m:r>
                        <m:r>
                          <m:rPr>
                            <m:sty m:val="p"/>
                          </m:rPr>
                          <w:rPr>
                            <w:rFonts w:ascii="Cambria Math" w:hAnsi="Cambria Math"/>
                          </w:rPr>
                          <m:t>,</m:t>
                        </m:r>
                        <m:ctrlPr>
                          <w:rPr>
                            <w:rFonts w:ascii="Cambria Math" w:hAnsi="Cambria Math"/>
                          </w:rPr>
                        </m:ctrlPr>
                      </m:e>
                    </m:mr>
                  </m:m>
                  <m:ctrlPr>
                    <w:rPr>
                      <w:rFonts w:ascii="Cambria Math" w:hAnsi="Cambria Math"/>
                    </w:rPr>
                  </m:ctrlPr>
                </m:e>
              </m:d>
              <m:r>
                <m:rPr>
                  <m:sty m:val="p"/>
                </m:rPr>
                <w:rPr>
                  <w:rFonts w:ascii="Cambria Math" w:hAnsi="Cambria Math"/>
                </w:rPr>
                <m:t>#(7)</m:t>
              </m:r>
              <m:ctrlPr>
                <w:rPr>
                  <w:rFonts w:ascii="Cambria Math" w:hAnsi="Cambria Math"/>
                  <w:i/>
                </w:rPr>
              </m:ctrlPr>
            </m:e>
          </m:eqArr>
        </m:oMath>
      </m:oMathPara>
    </w:p>
    <w:p w14:paraId="7A2C1173">
      <w:pPr>
        <w:pStyle w:val="26"/>
        <w:spacing w:line="360" w:lineRule="auto"/>
        <w:ind w:firstLine="480" w:firstLineChars="200"/>
        <w:jc w:val="both"/>
      </w:pPr>
      <w:r>
        <w:rPr>
          <w:rFonts w:hint="eastAsia"/>
          <w:color w:val="000000"/>
        </w:rPr>
        <w:t>子问题质量故意不检查。正是这种“不检查”逼出了分解行为：模型必须自己探索该问什么，A-OKVQA 上基座模型仅 46.8%，标准 RLVR 对照达 51.6%，而本方法达 52.2%；对照模型与本方法的唯一差别就是格式要求，直接证明“过程结构约束”而非“答案奖励”是提升来源。该"格式+答案"二元奖励与 3.1 节 CR³ 同源，仅将格式约束细化为显式子问题分解；其过程信号限于结构存在性，模型可能用无意义的问题应付格式。</w:t>
      </w:r>
    </w:p>
    <w:p w14:paraId="07A665FC">
      <w:pPr>
        <w:pStyle w:val="3"/>
        <w:spacing w:line="360" w:lineRule="auto"/>
        <w:ind w:firstLine="480" w:firstLineChars="200"/>
        <w:jc w:val="both"/>
      </w:pPr>
      <w:r>
        <w:rPr>
          <w:color w:val="000000"/>
        </w:rPr>
        <w:t>H-GRPO [20] 则将过程奖励细化到步骤质量，并显式耦合视觉证据：把推理结构化为</w:t>
      </w:r>
      <w:r>
        <w:rPr>
          <w:rFonts w:hint="eastAsia"/>
          <w:color w:val="000000"/>
          <w:lang w:eastAsia="zh-CN"/>
        </w:rPr>
        <w:t>“</w:t>
      </w:r>
      <w:r>
        <w:rPr>
          <w:color w:val="000000"/>
        </w:rPr>
        <w:t>（子问题，子答案，证据框）</w:t>
      </w:r>
      <w:r>
        <w:rPr>
          <w:rFonts w:hint="eastAsia"/>
          <w:color w:val="000000"/>
          <w:lang w:eastAsia="zh-CN"/>
        </w:rPr>
        <w:t>”</w:t>
      </w:r>
      <w:r>
        <w:rPr>
          <w:color w:val="000000"/>
        </w:rPr>
        <w:t xml:space="preserve">三元组序列 </w:t>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oMath>
      <w:r>
        <w:rPr>
          <w:color w:val="000000"/>
        </w:rPr>
        <w:t>，预测与参考三元组经匈牙利二分图匹配，相似度矩阵综合证据框兼容性、子问题/子答案语义相似度与框 IoU 四个分量：</w:t>
      </w:r>
    </w:p>
    <w:p w14:paraId="15A33C1B">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q</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r>
                    <m:rPr>
                      <m:nor/>
                      <m:sty m:val="p"/>
                    </m:rPr>
                    <w:rPr>
                      <w:b w:val="0"/>
                      <w:i w:val="0"/>
                    </w:rPr>
                    <m:t>IoU</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ctrlPr>
                    <w:rPr>
                      <w:rFonts w:ascii="Cambria Math" w:hAnsi="Cambria Math"/>
                    </w:rPr>
                  </m:ctrlPr>
                </m:e>
              </m:d>
              <m:r>
                <m:rPr>
                  <m:sty m:val="p"/>
                </m:rPr>
                <w:rPr>
                  <w:rFonts w:ascii="Cambria Math" w:hAnsi="Cambria Math"/>
                </w:rPr>
                <m:t>,#(8)</m:t>
              </m:r>
              <m:ctrlPr>
                <w:rPr>
                  <w:rFonts w:ascii="Cambria Math" w:hAnsi="Cambria Math"/>
                  <w:i/>
                </w:rPr>
              </m:ctrlPr>
            </m:e>
          </m:eqArr>
        </m:oMath>
      </m:oMathPara>
    </w:p>
    <w:p w14:paraId="32459D31">
      <w:pPr>
        <w:pStyle w:val="26"/>
        <w:spacing w:line="360" w:lineRule="auto"/>
        <w:jc w:val="both"/>
      </w:pPr>
      <w:r>
        <w:rPr>
          <w:rFonts w:hint="eastAsia"/>
          <w:color w:val="000000"/>
        </w:rPr>
        <w:t xml:space="preserve">其中 </w:t>
      </w:r>
      <m:oMath>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oMath>
      <w:r>
        <w:rPr>
          <w:rFonts w:hint="eastAsia"/>
          <w:color w:val="000000"/>
        </w:rPr>
        <w:t>、</w:t>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oMath>
      <w:r>
        <w:rPr>
          <w:rFonts w:hint="eastAsia"/>
          <w:lang w:val="en-US" w:eastAsia="zh-CN"/>
        </w:rPr>
        <w:t>、</w:t>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分别衡量证据框兼容性、子问题与子答案的语义相似度，IoU 为空间重叠。总奖励为格式奖励与“答案奖励 × 匈牙利奖励”之和：</w:t>
      </w:r>
    </w:p>
    <w:p w14:paraId="33AC4249">
      <w:pPr>
        <w:pStyle w:val="3"/>
        <w:spacing w:line="360" w:lineRule="auto"/>
        <w:jc w:val="both"/>
      </w:pPr>
      <m:oMathPara>
        <m:oMathParaPr>
          <m:jc m:val="center"/>
        </m:oMathParaPr>
        <m:oMath>
          <m:eqArr>
            <m:eqArrPr>
              <m:maxDist m:val="1"/>
              <m:ctrlPr>
                <w:rPr>
                  <w:rFonts w:ascii="Cambria Math" w:hAnsi="Cambria Math"/>
                </w:rPr>
              </m:ctrlPr>
            </m:eqArrPr>
            <m:e>
              <m:r>
                <m:rPr>
                  <m:sty m:val="p"/>
                  <m:scr m:val="script"/>
                </m:rPr>
                <w:rPr>
                  <w:rFonts w:ascii="Cambria Math" w:hAnsi="Cambria Math"/>
                </w:rPr>
                <m:t>ℛ=</m:t>
              </m:r>
              <m:r>
                <m:rPr/>
                <w:rPr>
                  <w:rFonts w:ascii="Cambria Math" w:hAnsi="Cambria Math"/>
                </w:rPr>
                <m:t>α</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β</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ans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HS</m:t>
                  </m:r>
                  <m:ctrlPr>
                    <w:rPr>
                      <w:rFonts w:ascii="Cambria Math" w:hAnsi="Cambria Math"/>
                    </w:rPr>
                  </m:ctrlPr>
                </m:sub>
              </m:sSub>
              <m:r>
                <m:rPr>
                  <m:sty m:val="p"/>
                </m:rPr>
                <w:rPr>
                  <w:rFonts w:ascii="Cambria Math" w:hAnsi="Cambria Math"/>
                </w:rPr>
                <m:t>,#(9)</m:t>
              </m:r>
              <m:ctrlPr>
                <w:rPr>
                  <w:rFonts w:ascii="Cambria Math" w:hAnsi="Cambria Math"/>
                </w:rPr>
              </m:ctrlPr>
            </m:e>
          </m:eqArr>
        </m:oMath>
      </m:oMathPara>
    </w:p>
    <w:p w14:paraId="7277AA0E">
      <w:pPr>
        <w:pStyle w:val="26"/>
        <w:spacing w:line="360" w:lineRule="auto"/>
        <w:jc w:val="both"/>
      </w:pPr>
      <w:r>
        <w:rPr>
          <w:rFonts w:hint="eastAsia"/>
          <w:color w:val="000000"/>
        </w:rPr>
        <w:t>门控关系保证：光答对但中间步骤与证据 grounding 不到位，奖励即被门控，从而抑制“忽略图像仅凭文本脑补”的捷径。数学上，GRPO 是 H-GRPO 对角匹配的特例，在方法层面印证了“结果验证与过程验证同源”的结论。小模型受益最大（SmolVLM-2.2B 在 A-OKVQA 达 73.4%），但参考推理链的质量决定奖励上限。</w:t>
      </w:r>
    </w:p>
    <w:p w14:paraId="73C3DC7C">
      <w:pPr>
        <w:pStyle w:val="3"/>
        <w:spacing w:line="360" w:lineRule="auto"/>
        <w:ind w:firstLine="482" w:firstLineChars="200"/>
        <w:jc w:val="both"/>
      </w:pPr>
      <w:r>
        <w:rPr>
          <w:rFonts w:hint="eastAsia"/>
          <w:b/>
          <w:color w:val="000000"/>
        </w:rPr>
        <w:t>节内小结：</w:t>
      </w:r>
      <w:r>
        <w:rPr>
          <w:rFonts w:hint="eastAsia"/>
          <w:color w:val="000000"/>
        </w:rPr>
        <w:t>三篇工作的过程信号构造路径各异，从最简的格式约束到结合参考链匹配与视觉证据的结构化奖励。过程信号多为模型自生成，监督需求是三类中最低的；但除 H-GRPO 的证据框约束外，过程信号普遍不含视觉语义结构，“过程”与“视觉”如何在奖励层面深度融合，仍是开放问题（详见第 4 节）。</w:t>
      </w:r>
    </w:p>
    <w:bookmarkEnd w:id="8"/>
    <w:p w14:paraId="3BEE7590">
      <w:pPr>
        <w:pStyle w:val="5"/>
        <w:spacing w:line="360" w:lineRule="auto"/>
        <w:jc w:val="both"/>
      </w:pPr>
      <w:bookmarkStart w:id="9" w:name="三类方法对比分析"/>
      <w:r>
        <w:rPr>
          <w:rFonts w:eastAsia="宋体"/>
        </w:rPr>
        <w:t xml:space="preserve">3.4 </w:t>
      </w:r>
      <w:r>
        <w:rPr>
          <w:rFonts w:hint="eastAsia" w:eastAsia="宋体"/>
        </w:rPr>
        <w:t>三类方法对比分析</w:t>
      </w:r>
    </w:p>
    <w:p w14:paraId="4620DA2C">
      <w:pPr>
        <w:pStyle w:val="26"/>
        <w:spacing w:line="360" w:lineRule="auto"/>
        <w:ind w:firstLine="480" w:firstLineChars="200"/>
        <w:jc w:val="both"/>
      </w:pPr>
      <w:r>
        <w:rPr>
          <w:rFonts w:hint="eastAsia"/>
          <w:color w:val="000000"/>
        </w:rPr>
        <w:t>将三个方向放在一起看，三类方法并非离散类别，也不是彼此替代的技术路线，而是同一研究问题下的互补探索，分别从“是否正确”“是否看对”“是否合理推理”三个层面切入，构成奖励信号设计空间中的不同刻度。表 2 汇总类别层面的对比；表 3 与表 4 分别给出逐方法的奖励粒度刻度与实验设置。即便在方法层面，三个方向也存在互相借鉴：H-GRPO 的“答案奖励×匈牙利门控”融合了结果验证与过程匹配，POLIA 的物体级优势同样依赖答案级判据的引导，类别不是封闭的抽屉。</w:t>
      </w:r>
    </w:p>
    <w:p w14:paraId="755EA10C">
      <w:pPr>
        <w:pStyle w:val="12"/>
        <w:spacing w:line="360" w:lineRule="auto"/>
        <w:jc w:val="center"/>
        <w:rPr>
          <w:i w:val="0"/>
          <w:iCs/>
          <w:sz w:val="21"/>
          <w:szCs w:val="21"/>
        </w:rPr>
      </w:pPr>
      <w:r>
        <w:rPr>
          <w:rFonts w:hint="eastAsia"/>
          <w:b/>
          <w:bCs/>
          <w:i w:val="0"/>
          <w:iCs/>
          <w:sz w:val="21"/>
          <w:szCs w:val="21"/>
        </w:rPr>
        <w:t>表</w:t>
      </w:r>
      <w:r>
        <w:rPr>
          <w:b/>
          <w:bCs/>
          <w:i w:val="0"/>
          <w:iCs/>
          <w:sz w:val="21"/>
          <w:szCs w:val="21"/>
        </w:rPr>
        <w:t xml:space="preserve"> </w:t>
      </w:r>
      <w:r>
        <w:rPr>
          <w:rFonts w:hint="eastAsia"/>
          <w:b/>
          <w:bCs/>
          <w:i w:val="0"/>
          <w:iCs/>
          <w:sz w:val="21"/>
          <w:szCs w:val="21"/>
        </w:rPr>
        <w:t>2：方法分类对比表</w:t>
      </w:r>
    </w:p>
    <w:tbl>
      <w:tblPr>
        <w:tblStyle w:val="44"/>
        <w:tblW w:w="5000" w:type="pct"/>
        <w:tblInd w:w="0" w:type="dxa"/>
        <w:tblLayout w:type="fixed"/>
        <w:tblCellMar>
          <w:top w:w="0" w:type="dxa"/>
          <w:left w:w="108" w:type="dxa"/>
          <w:bottom w:w="0" w:type="dxa"/>
          <w:right w:w="108" w:type="dxa"/>
        </w:tblCellMar>
      </w:tblPr>
      <w:tblGrid>
        <w:gridCol w:w="1861"/>
        <w:gridCol w:w="2256"/>
        <w:gridCol w:w="2374"/>
        <w:gridCol w:w="2149"/>
      </w:tblGrid>
      <w:tr w14:paraId="7F373802">
        <w:tblPrEx>
          <w:tblCellMar>
            <w:top w:w="0" w:type="dxa"/>
            <w:left w:w="108" w:type="dxa"/>
            <w:bottom w:w="0" w:type="dxa"/>
            <w:right w:w="108" w:type="dxa"/>
          </w:tblCellMar>
        </w:tblPrEx>
        <w:trPr>
          <w:tblHeader/>
        </w:trPr>
        <w:tc>
          <w:tcPr>
            <w:tcW w:w="1861" w:type="dxa"/>
            <w:tcBorders>
              <w:bottom w:val="single" w:color="auto" w:sz="0" w:space="0"/>
              <w:insideH w:val="single" w:sz="0" w:space="0"/>
            </w:tcBorders>
            <w:vAlign w:val="bottom"/>
          </w:tcPr>
          <w:p w14:paraId="4A554C1C">
            <w:pPr>
              <w:pStyle w:val="27"/>
              <w:spacing w:line="360" w:lineRule="auto"/>
              <w:jc w:val="both"/>
              <w:rPr>
                <w:sz w:val="21"/>
                <w:szCs w:val="21"/>
              </w:rPr>
            </w:pPr>
            <w:r>
              <w:rPr>
                <w:rFonts w:hint="eastAsia"/>
                <w:sz w:val="21"/>
                <w:szCs w:val="21"/>
              </w:rPr>
              <w:t>维度</w:t>
            </w:r>
          </w:p>
        </w:tc>
        <w:tc>
          <w:tcPr>
            <w:tcW w:w="2256" w:type="dxa"/>
            <w:tcBorders>
              <w:bottom w:val="single" w:color="auto" w:sz="0" w:space="0"/>
              <w:insideH w:val="single" w:sz="0" w:space="0"/>
            </w:tcBorders>
            <w:vAlign w:val="bottom"/>
          </w:tcPr>
          <w:p w14:paraId="4555A6AA">
            <w:pPr>
              <w:pStyle w:val="27"/>
              <w:spacing w:line="360" w:lineRule="auto"/>
              <w:jc w:val="both"/>
              <w:rPr>
                <w:sz w:val="21"/>
                <w:szCs w:val="21"/>
              </w:rPr>
            </w:pPr>
            <w:r>
              <w:rPr>
                <w:sz w:val="21"/>
                <w:szCs w:val="21"/>
              </w:rPr>
              <w:t xml:space="preserve">3.1 </w:t>
            </w:r>
            <w:r>
              <w:rPr>
                <w:rFonts w:hint="eastAsia"/>
                <w:sz w:val="21"/>
                <w:szCs w:val="21"/>
              </w:rPr>
              <w:t>验证器奖励</w:t>
            </w:r>
          </w:p>
        </w:tc>
        <w:tc>
          <w:tcPr>
            <w:tcW w:w="2374" w:type="dxa"/>
            <w:tcBorders>
              <w:bottom w:val="single" w:color="auto" w:sz="0" w:space="0"/>
              <w:insideH w:val="single" w:sz="0" w:space="0"/>
            </w:tcBorders>
            <w:vAlign w:val="bottom"/>
          </w:tcPr>
          <w:p w14:paraId="01E78F18">
            <w:pPr>
              <w:pStyle w:val="27"/>
              <w:spacing w:line="360" w:lineRule="auto"/>
              <w:jc w:val="both"/>
              <w:rPr>
                <w:sz w:val="21"/>
                <w:szCs w:val="21"/>
              </w:rPr>
            </w:pPr>
            <w:r>
              <w:rPr>
                <w:sz w:val="21"/>
                <w:szCs w:val="21"/>
              </w:rPr>
              <w:t xml:space="preserve">3.2 </w:t>
            </w:r>
            <w:r>
              <w:rPr>
                <w:rFonts w:hint="eastAsia"/>
                <w:sz w:val="21"/>
                <w:szCs w:val="21"/>
              </w:rPr>
              <w:t>视觉对齐奖励</w:t>
            </w:r>
          </w:p>
        </w:tc>
        <w:tc>
          <w:tcPr>
            <w:tcW w:w="2149" w:type="dxa"/>
            <w:tcBorders>
              <w:bottom w:val="single" w:color="auto" w:sz="0" w:space="0"/>
              <w:insideH w:val="single" w:sz="0" w:space="0"/>
            </w:tcBorders>
            <w:vAlign w:val="bottom"/>
          </w:tcPr>
          <w:p w14:paraId="2B693C33">
            <w:pPr>
              <w:pStyle w:val="27"/>
              <w:spacing w:line="360" w:lineRule="auto"/>
              <w:jc w:val="both"/>
              <w:rPr>
                <w:sz w:val="21"/>
                <w:szCs w:val="21"/>
              </w:rPr>
            </w:pPr>
            <w:r>
              <w:rPr>
                <w:sz w:val="21"/>
                <w:szCs w:val="21"/>
              </w:rPr>
              <w:t xml:space="preserve">3.3 </w:t>
            </w:r>
            <w:r>
              <w:rPr>
                <w:rFonts w:hint="eastAsia"/>
                <w:sz w:val="21"/>
                <w:szCs w:val="21"/>
              </w:rPr>
              <w:t>推理过程优化</w:t>
            </w:r>
          </w:p>
        </w:tc>
      </w:tr>
      <w:tr w14:paraId="5111143B">
        <w:tblPrEx>
          <w:tblCellMar>
            <w:top w:w="0" w:type="dxa"/>
            <w:left w:w="108" w:type="dxa"/>
            <w:bottom w:w="0" w:type="dxa"/>
            <w:right w:w="108" w:type="dxa"/>
          </w:tblCellMar>
        </w:tblPrEx>
        <w:tc>
          <w:tcPr>
            <w:tcW w:w="1861" w:type="dxa"/>
          </w:tcPr>
          <w:p w14:paraId="046CA083">
            <w:pPr>
              <w:pStyle w:val="27"/>
              <w:spacing w:line="360" w:lineRule="auto"/>
              <w:jc w:val="both"/>
              <w:rPr>
                <w:sz w:val="21"/>
                <w:szCs w:val="21"/>
              </w:rPr>
            </w:pPr>
            <w:r>
              <w:rPr>
                <w:rFonts w:hint="eastAsia"/>
                <w:sz w:val="21"/>
                <w:szCs w:val="21"/>
              </w:rPr>
              <w:t>奖励信号来源</w:t>
            </w:r>
          </w:p>
        </w:tc>
        <w:tc>
          <w:tcPr>
            <w:tcW w:w="2256" w:type="dxa"/>
          </w:tcPr>
          <w:p w14:paraId="565677C3">
            <w:pPr>
              <w:pStyle w:val="27"/>
              <w:spacing w:line="360" w:lineRule="auto"/>
              <w:jc w:val="both"/>
              <w:rPr>
                <w:sz w:val="21"/>
                <w:szCs w:val="21"/>
              </w:rPr>
            </w:pPr>
            <w:r>
              <w:rPr>
                <w:rFonts w:hint="eastAsia"/>
                <w:sz w:val="21"/>
                <w:szCs w:val="21"/>
              </w:rPr>
              <w:t>结果验证（规则/图结构/视图一致性）</w:t>
            </w:r>
          </w:p>
        </w:tc>
        <w:tc>
          <w:tcPr>
            <w:tcW w:w="2374" w:type="dxa"/>
          </w:tcPr>
          <w:p w14:paraId="4E3D5A31">
            <w:pPr>
              <w:pStyle w:val="27"/>
              <w:spacing w:line="360" w:lineRule="auto"/>
              <w:jc w:val="both"/>
              <w:rPr>
                <w:sz w:val="21"/>
                <w:szCs w:val="21"/>
              </w:rPr>
            </w:pPr>
            <w:r>
              <w:rPr>
                <w:rFonts w:hint="eastAsia"/>
                <w:sz w:val="21"/>
                <w:szCs w:val="21"/>
              </w:rPr>
              <w:t>回答-视觉语义结构对齐度</w:t>
            </w:r>
          </w:p>
        </w:tc>
        <w:tc>
          <w:tcPr>
            <w:tcW w:w="2149" w:type="dxa"/>
          </w:tcPr>
          <w:p w14:paraId="22B9E84A">
            <w:pPr>
              <w:pStyle w:val="27"/>
              <w:spacing w:line="360" w:lineRule="auto"/>
              <w:jc w:val="both"/>
              <w:rPr>
                <w:sz w:val="21"/>
                <w:szCs w:val="21"/>
              </w:rPr>
            </w:pPr>
            <w:r>
              <w:rPr>
                <w:rFonts w:hint="eastAsia"/>
                <w:sz w:val="21"/>
                <w:szCs w:val="21"/>
              </w:rPr>
              <w:t>过程结构/步骤信用分配</w:t>
            </w:r>
          </w:p>
        </w:tc>
      </w:tr>
      <w:tr w14:paraId="5C2A0CD6">
        <w:tblPrEx>
          <w:tblCellMar>
            <w:top w:w="0" w:type="dxa"/>
            <w:left w:w="108" w:type="dxa"/>
            <w:bottom w:w="0" w:type="dxa"/>
            <w:right w:w="108" w:type="dxa"/>
          </w:tblCellMar>
        </w:tblPrEx>
        <w:tc>
          <w:tcPr>
            <w:tcW w:w="1861" w:type="dxa"/>
          </w:tcPr>
          <w:p w14:paraId="174201DD">
            <w:pPr>
              <w:pStyle w:val="27"/>
              <w:spacing w:line="360" w:lineRule="auto"/>
              <w:jc w:val="both"/>
              <w:rPr>
                <w:sz w:val="21"/>
                <w:szCs w:val="21"/>
              </w:rPr>
            </w:pPr>
            <w:r>
              <w:rPr>
                <w:rFonts w:hint="eastAsia"/>
                <w:sz w:val="21"/>
                <w:szCs w:val="21"/>
              </w:rPr>
              <w:t>奖励粒度（典型刻度）</w:t>
            </w:r>
          </w:p>
        </w:tc>
        <w:tc>
          <w:tcPr>
            <w:tcW w:w="2256" w:type="dxa"/>
          </w:tcPr>
          <w:p w14:paraId="5A4E3A60">
            <w:pPr>
              <w:pStyle w:val="27"/>
              <w:spacing w:line="360" w:lineRule="auto"/>
              <w:jc w:val="both"/>
              <w:rPr>
                <w:sz w:val="21"/>
                <w:szCs w:val="21"/>
              </w:rPr>
            </w:pPr>
            <w:r>
              <w:rPr>
                <w:rFonts w:hint="eastAsia"/>
                <w:sz w:val="21"/>
                <w:szCs w:val="21"/>
              </w:rPr>
              <w:t>答案级</w:t>
            </w:r>
            <w:r>
              <w:rPr>
                <w:sz w:val="21"/>
                <w:szCs w:val="21"/>
              </w:rPr>
              <w:t xml:space="preserve"> → </w:t>
            </w:r>
            <w:r>
              <w:rPr>
                <w:rFonts w:hint="eastAsia"/>
                <w:sz w:val="21"/>
                <w:szCs w:val="21"/>
              </w:rPr>
              <w:t>结构/一致性级</w:t>
            </w:r>
          </w:p>
        </w:tc>
        <w:tc>
          <w:tcPr>
            <w:tcW w:w="2374" w:type="dxa"/>
          </w:tcPr>
          <w:p w14:paraId="06224C78">
            <w:pPr>
              <w:pStyle w:val="27"/>
              <w:spacing w:line="360" w:lineRule="auto"/>
              <w:jc w:val="both"/>
              <w:rPr>
                <w:sz w:val="21"/>
                <w:szCs w:val="21"/>
              </w:rPr>
            </w:pPr>
            <w:r>
              <w:rPr>
                <w:rFonts w:hint="eastAsia"/>
                <w:sz w:val="21"/>
                <w:szCs w:val="21"/>
              </w:rPr>
              <w:t>区域级</w:t>
            </w:r>
            <w:r>
              <w:rPr>
                <w:sz w:val="21"/>
                <w:szCs w:val="21"/>
              </w:rPr>
              <w:t xml:space="preserve"> → </w:t>
            </w:r>
            <w:r>
              <w:rPr>
                <w:rFonts w:hint="eastAsia"/>
                <w:sz w:val="21"/>
                <w:szCs w:val="21"/>
              </w:rPr>
              <w:t>物体级</w:t>
            </w:r>
            <w:r>
              <w:rPr>
                <w:sz w:val="21"/>
                <w:szCs w:val="21"/>
              </w:rPr>
              <w:t xml:space="preserve"> → </w:t>
            </w:r>
            <w:r>
              <w:rPr>
                <w:rFonts w:hint="eastAsia"/>
                <w:sz w:val="21"/>
                <w:szCs w:val="21"/>
              </w:rPr>
              <w:t>显著性级</w:t>
            </w:r>
          </w:p>
        </w:tc>
        <w:tc>
          <w:tcPr>
            <w:tcW w:w="2149" w:type="dxa"/>
          </w:tcPr>
          <w:p w14:paraId="6CDC5808">
            <w:pPr>
              <w:pStyle w:val="27"/>
              <w:spacing w:line="360" w:lineRule="auto"/>
              <w:jc w:val="both"/>
              <w:rPr>
                <w:sz w:val="21"/>
                <w:szCs w:val="21"/>
              </w:rPr>
            </w:pPr>
            <w:r>
              <w:rPr>
                <w:rFonts w:hint="eastAsia"/>
                <w:sz w:val="21"/>
                <w:szCs w:val="21"/>
              </w:rPr>
              <w:t>子问题级</w:t>
            </w:r>
            <w:r>
              <w:rPr>
                <w:sz w:val="21"/>
                <w:szCs w:val="21"/>
              </w:rPr>
              <w:t xml:space="preserve"> → </w:t>
            </w:r>
            <w:r>
              <w:rPr>
                <w:rFonts w:hint="eastAsia"/>
                <w:sz w:val="21"/>
                <w:szCs w:val="21"/>
              </w:rPr>
              <w:t>步骤+证据级</w:t>
            </w:r>
          </w:p>
        </w:tc>
      </w:tr>
      <w:tr w14:paraId="5655AF18">
        <w:tblPrEx>
          <w:tblCellMar>
            <w:top w:w="0" w:type="dxa"/>
            <w:left w:w="108" w:type="dxa"/>
            <w:bottom w:w="0" w:type="dxa"/>
            <w:right w:w="108" w:type="dxa"/>
          </w:tblCellMar>
        </w:tblPrEx>
        <w:tc>
          <w:tcPr>
            <w:tcW w:w="1861" w:type="dxa"/>
          </w:tcPr>
          <w:p w14:paraId="543B572A">
            <w:pPr>
              <w:pStyle w:val="27"/>
              <w:spacing w:line="360" w:lineRule="auto"/>
              <w:jc w:val="both"/>
              <w:rPr>
                <w:sz w:val="21"/>
                <w:szCs w:val="21"/>
              </w:rPr>
            </w:pPr>
            <w:r>
              <w:rPr>
                <w:rFonts w:hint="eastAsia"/>
                <w:sz w:val="21"/>
                <w:szCs w:val="21"/>
              </w:rPr>
              <w:t>是否触及组合绑定</w:t>
            </w:r>
          </w:p>
        </w:tc>
        <w:tc>
          <w:tcPr>
            <w:tcW w:w="2256" w:type="dxa"/>
          </w:tcPr>
          <w:p w14:paraId="038BD5E8">
            <w:pPr>
              <w:pStyle w:val="27"/>
              <w:spacing w:line="360" w:lineRule="auto"/>
              <w:jc w:val="both"/>
              <w:rPr>
                <w:sz w:val="21"/>
                <w:szCs w:val="21"/>
              </w:rPr>
            </w:pPr>
            <w:r>
              <w:rPr>
                <w:rFonts w:hint="eastAsia"/>
                <w:sz w:val="21"/>
                <w:szCs w:val="21"/>
              </w:rPr>
              <w:t>间接（验证绑定结果）</w:t>
            </w:r>
          </w:p>
        </w:tc>
        <w:tc>
          <w:tcPr>
            <w:tcW w:w="2374" w:type="dxa"/>
          </w:tcPr>
          <w:p w14:paraId="2699CB1F">
            <w:pPr>
              <w:pStyle w:val="27"/>
              <w:spacing w:line="360" w:lineRule="auto"/>
              <w:jc w:val="both"/>
              <w:rPr>
                <w:sz w:val="21"/>
                <w:szCs w:val="21"/>
              </w:rPr>
            </w:pPr>
            <w:r>
              <w:rPr>
                <w:rFonts w:hint="eastAsia"/>
                <w:sz w:val="21"/>
                <w:szCs w:val="21"/>
              </w:rPr>
              <w:t>直接（绑定到视觉证据）</w:t>
            </w:r>
          </w:p>
        </w:tc>
        <w:tc>
          <w:tcPr>
            <w:tcW w:w="2149" w:type="dxa"/>
          </w:tcPr>
          <w:p w14:paraId="751233AF">
            <w:pPr>
              <w:pStyle w:val="27"/>
              <w:spacing w:line="360" w:lineRule="auto"/>
              <w:jc w:val="both"/>
              <w:rPr>
                <w:sz w:val="21"/>
                <w:szCs w:val="21"/>
              </w:rPr>
            </w:pPr>
            <w:r>
              <w:rPr>
                <w:rFonts w:hint="eastAsia"/>
                <w:sz w:val="21"/>
                <w:szCs w:val="21"/>
              </w:rPr>
              <w:t>间接（过程正确性）</w:t>
            </w:r>
          </w:p>
        </w:tc>
      </w:tr>
      <w:tr w14:paraId="1AF19A8F">
        <w:tblPrEx>
          <w:tblCellMar>
            <w:top w:w="0" w:type="dxa"/>
            <w:left w:w="108" w:type="dxa"/>
            <w:bottom w:w="0" w:type="dxa"/>
            <w:right w:w="108" w:type="dxa"/>
          </w:tblCellMar>
        </w:tblPrEx>
        <w:tc>
          <w:tcPr>
            <w:tcW w:w="1861" w:type="dxa"/>
          </w:tcPr>
          <w:p w14:paraId="302B0290">
            <w:pPr>
              <w:pStyle w:val="27"/>
              <w:spacing w:line="360" w:lineRule="auto"/>
              <w:jc w:val="both"/>
              <w:rPr>
                <w:sz w:val="21"/>
                <w:szCs w:val="21"/>
              </w:rPr>
            </w:pPr>
            <w:r>
              <w:rPr>
                <w:rFonts w:hint="eastAsia"/>
                <w:sz w:val="21"/>
                <w:szCs w:val="21"/>
              </w:rPr>
              <w:t>代表工作</w:t>
            </w:r>
          </w:p>
        </w:tc>
        <w:tc>
          <w:tcPr>
            <w:tcW w:w="2256" w:type="dxa"/>
          </w:tcPr>
          <w:p w14:paraId="7D0E15CA">
            <w:pPr>
              <w:pStyle w:val="27"/>
              <w:spacing w:line="360" w:lineRule="auto"/>
              <w:jc w:val="both"/>
              <w:rPr>
                <w:sz w:val="21"/>
                <w:szCs w:val="21"/>
              </w:rPr>
            </w:pPr>
            <w:r>
              <w:rPr>
                <w:sz w:val="21"/>
                <w:szCs w:val="21"/>
              </w:rPr>
              <w:t>CR³ / SpatialThinker / SVQA-R1</w:t>
            </w:r>
          </w:p>
        </w:tc>
        <w:tc>
          <w:tcPr>
            <w:tcW w:w="2374" w:type="dxa"/>
          </w:tcPr>
          <w:p w14:paraId="2066F187">
            <w:pPr>
              <w:pStyle w:val="27"/>
              <w:spacing w:line="360" w:lineRule="auto"/>
              <w:jc w:val="both"/>
              <w:rPr>
                <w:sz w:val="21"/>
                <w:szCs w:val="21"/>
              </w:rPr>
            </w:pPr>
            <w:r>
              <w:rPr>
                <w:rFonts w:ascii="Times New Roman" w:eastAsia="宋体"/>
                <w:sz w:val="21"/>
                <w:szCs w:val="21"/>
              </w:rPr>
              <w:t>Ground-R1 / GRIT / POLIA / SAYO</w:t>
            </w:r>
          </w:p>
        </w:tc>
        <w:tc>
          <w:tcPr>
            <w:tcW w:w="2149" w:type="dxa"/>
          </w:tcPr>
          <w:p w14:paraId="284C875C">
            <w:pPr>
              <w:pStyle w:val="27"/>
              <w:spacing w:line="360" w:lineRule="auto"/>
              <w:jc w:val="both"/>
              <w:rPr>
                <w:sz w:val="21"/>
                <w:szCs w:val="21"/>
              </w:rPr>
            </w:pPr>
            <w:r>
              <w:rPr>
                <w:rFonts w:ascii="Times New Roman" w:eastAsia="宋体"/>
                <w:sz w:val="21"/>
                <w:szCs w:val="21"/>
              </w:rPr>
              <w:t>Self-Questioning / H-GRPO</w:t>
            </w:r>
          </w:p>
        </w:tc>
      </w:tr>
      <w:tr w14:paraId="5E91A082">
        <w:tblPrEx>
          <w:tblCellMar>
            <w:top w:w="0" w:type="dxa"/>
            <w:left w:w="108" w:type="dxa"/>
            <w:bottom w:w="0" w:type="dxa"/>
            <w:right w:w="108" w:type="dxa"/>
          </w:tblCellMar>
        </w:tblPrEx>
        <w:tc>
          <w:tcPr>
            <w:tcW w:w="1861" w:type="dxa"/>
          </w:tcPr>
          <w:p w14:paraId="41C31406">
            <w:pPr>
              <w:pStyle w:val="27"/>
              <w:spacing w:line="360" w:lineRule="auto"/>
              <w:jc w:val="both"/>
              <w:rPr>
                <w:sz w:val="21"/>
                <w:szCs w:val="21"/>
              </w:rPr>
            </w:pPr>
            <w:r>
              <w:rPr>
                <w:rFonts w:hint="eastAsia"/>
                <w:sz w:val="21"/>
                <w:szCs w:val="21"/>
              </w:rPr>
              <w:t>主要短板</w:t>
            </w:r>
          </w:p>
        </w:tc>
        <w:tc>
          <w:tcPr>
            <w:tcW w:w="2256" w:type="dxa"/>
          </w:tcPr>
          <w:p w14:paraId="73E40D3B">
            <w:pPr>
              <w:pStyle w:val="27"/>
              <w:spacing w:line="360" w:lineRule="auto"/>
              <w:jc w:val="both"/>
              <w:rPr>
                <w:sz w:val="21"/>
                <w:szCs w:val="21"/>
              </w:rPr>
            </w:pPr>
            <w:r>
              <w:rPr>
                <w:rFonts w:hint="eastAsia"/>
                <w:sz w:val="21"/>
                <w:szCs w:val="21"/>
              </w:rPr>
              <w:t>正确性难定义</w:t>
            </w:r>
          </w:p>
        </w:tc>
        <w:tc>
          <w:tcPr>
            <w:tcW w:w="2374" w:type="dxa"/>
          </w:tcPr>
          <w:p w14:paraId="0EDC9596">
            <w:pPr>
              <w:pStyle w:val="27"/>
              <w:spacing w:line="360" w:lineRule="auto"/>
              <w:jc w:val="both"/>
              <w:rPr>
                <w:sz w:val="21"/>
                <w:szCs w:val="21"/>
              </w:rPr>
            </w:pPr>
            <w:r>
              <w:rPr>
                <w:rFonts w:hint="eastAsia"/>
                <w:sz w:val="21"/>
                <w:szCs w:val="21"/>
              </w:rPr>
              <w:t>评测未显式覆盖组合</w:t>
            </w:r>
          </w:p>
        </w:tc>
        <w:tc>
          <w:tcPr>
            <w:tcW w:w="2149" w:type="dxa"/>
          </w:tcPr>
          <w:p w14:paraId="3F63466D">
            <w:pPr>
              <w:pStyle w:val="27"/>
              <w:spacing w:line="360" w:lineRule="auto"/>
              <w:jc w:val="both"/>
              <w:rPr>
                <w:sz w:val="21"/>
                <w:szCs w:val="21"/>
              </w:rPr>
            </w:pPr>
            <w:r>
              <w:rPr>
                <w:rFonts w:hint="eastAsia"/>
                <w:sz w:val="21"/>
                <w:szCs w:val="21"/>
              </w:rPr>
              <w:t>过程信号多为纯文本</w:t>
            </w:r>
          </w:p>
        </w:tc>
      </w:tr>
    </w:tbl>
    <w:p w14:paraId="13C77E0F">
      <w:pPr>
        <w:pStyle w:val="12"/>
        <w:spacing w:line="360" w:lineRule="auto"/>
        <w:jc w:val="center"/>
        <w:rPr>
          <w:i w:val="0"/>
          <w:iCs/>
          <w:sz w:val="21"/>
          <w:szCs w:val="21"/>
        </w:rPr>
      </w:pPr>
      <w:commentRangeStart w:id="17"/>
      <w:commentRangeStart w:id="18"/>
      <w:r>
        <w:rPr>
          <w:rFonts w:hint="eastAsia"/>
          <w:i w:val="0"/>
          <w:iCs/>
          <w:color w:val="000000"/>
          <w:sz w:val="21"/>
          <w:szCs w:val="21"/>
        </w:rPr>
        <w:commentReference w:id="17"/>
      </w:r>
      <w:commentRangeEnd w:id="17"/>
      <w:commentRangeEnd w:id="18"/>
      <w:r>
        <w:rPr>
          <w:rFonts w:hint="eastAsia"/>
          <w:i w:val="0"/>
          <w:iCs/>
          <w:color w:val="000000"/>
          <w:sz w:val="21"/>
          <w:szCs w:val="21"/>
        </w:rPr>
        <w:commentReference w:id="18"/>
      </w:r>
      <w:r>
        <w:rPr>
          <w:rFonts w:hint="eastAsia"/>
          <w:i w:val="0"/>
          <w:iCs/>
          <w:color w:val="000000"/>
          <w:sz w:val="21"/>
          <w:szCs w:val="21"/>
        </w:rPr>
        <w:t>表 3：代表方法的设计对比（奖励粒度、增量贡献层、信号机制与监督需求）</w:t>
      </w:r>
    </w:p>
    <w:tbl>
      <w:tblPr>
        <w:tblStyle w:val="44"/>
        <w:tblW w:w="4999" w:type="pct"/>
        <w:tblInd w:w="0" w:type="dxa"/>
        <w:tblLayout w:type="fixed"/>
        <w:tblCellMar>
          <w:top w:w="0" w:type="dxa"/>
          <w:left w:w="108" w:type="dxa"/>
          <w:bottom w:w="0" w:type="dxa"/>
          <w:right w:w="108" w:type="dxa"/>
        </w:tblCellMar>
      </w:tblPr>
      <w:tblGrid>
        <w:gridCol w:w="1454"/>
        <w:gridCol w:w="1770"/>
        <w:gridCol w:w="2077"/>
        <w:gridCol w:w="2138"/>
        <w:gridCol w:w="1200"/>
      </w:tblGrid>
      <w:tr w14:paraId="79792E83">
        <w:trPr>
          <w:tblHeader/>
        </w:trPr>
        <w:tc>
          <w:tcPr>
            <w:tcW w:w="1454" w:type="dxa"/>
            <w:tcBorders>
              <w:bottom w:val="single" w:color="auto" w:sz="0" w:space="0"/>
              <w:insideH w:val="single" w:sz="0" w:space="0"/>
            </w:tcBorders>
            <w:vAlign w:val="bottom"/>
          </w:tcPr>
          <w:p w14:paraId="673BCF54">
            <w:pPr>
              <w:pStyle w:val="27"/>
              <w:spacing w:line="360" w:lineRule="auto"/>
              <w:jc w:val="both"/>
              <w:rPr>
                <w:sz w:val="21"/>
                <w:szCs w:val="21"/>
              </w:rPr>
            </w:pPr>
            <w:r>
              <w:rPr>
                <w:rFonts w:hint="eastAsia"/>
                <w:sz w:val="21"/>
                <w:szCs w:val="21"/>
              </w:rPr>
              <w:t>方法</w:t>
            </w:r>
          </w:p>
        </w:tc>
        <w:tc>
          <w:tcPr>
            <w:tcW w:w="1770" w:type="dxa"/>
            <w:tcBorders>
              <w:bottom w:val="single" w:color="auto" w:sz="0" w:space="0"/>
              <w:insideH w:val="single" w:sz="0" w:space="0"/>
            </w:tcBorders>
            <w:vAlign w:val="bottom"/>
          </w:tcPr>
          <w:p w14:paraId="7C8DA719">
            <w:pPr>
              <w:pStyle w:val="27"/>
              <w:spacing w:line="360" w:lineRule="auto"/>
              <w:jc w:val="both"/>
              <w:rPr>
                <w:sz w:val="21"/>
                <w:szCs w:val="21"/>
              </w:rPr>
            </w:pPr>
            <w:r>
              <w:rPr>
                <w:rFonts w:hint="eastAsia"/>
                <w:sz w:val="21"/>
                <w:szCs w:val="21"/>
              </w:rPr>
              <w:t>奖励粒度</w:t>
            </w:r>
          </w:p>
        </w:tc>
        <w:tc>
          <w:tcPr>
            <w:tcW w:w="2077" w:type="dxa"/>
            <w:tcBorders>
              <w:bottom w:val="single" w:color="auto" w:sz="0" w:space="0"/>
              <w:insideH w:val="single" w:sz="0" w:space="0"/>
            </w:tcBorders>
            <w:vAlign w:val="bottom"/>
          </w:tcPr>
          <w:p w14:paraId="61506543">
            <w:pPr>
              <w:pStyle w:val="27"/>
              <w:spacing w:line="360" w:lineRule="auto"/>
              <w:jc w:val="both"/>
              <w:rPr>
                <w:sz w:val="21"/>
                <w:szCs w:val="21"/>
              </w:rPr>
            </w:pPr>
            <w:r>
              <w:rPr>
                <w:rFonts w:hint="eastAsia"/>
                <w:sz w:val="21"/>
                <w:szCs w:val="21"/>
              </w:rPr>
              <w:t>信号机制</w:t>
            </w:r>
          </w:p>
        </w:tc>
        <w:tc>
          <w:tcPr>
            <w:tcW w:w="2138" w:type="dxa"/>
            <w:tcBorders>
              <w:bottom w:val="single" w:color="auto" w:sz="0" w:space="0"/>
              <w:insideH w:val="single" w:sz="0" w:space="0"/>
            </w:tcBorders>
            <w:vAlign w:val="bottom"/>
          </w:tcPr>
          <w:p w14:paraId="6449ACDB">
            <w:pPr>
              <w:pStyle w:val="27"/>
              <w:spacing w:line="360" w:lineRule="auto"/>
              <w:jc w:val="both"/>
              <w:rPr>
                <w:sz w:val="21"/>
                <w:szCs w:val="21"/>
              </w:rPr>
            </w:pPr>
            <w:r>
              <w:rPr>
                <w:rFonts w:hint="eastAsia"/>
                <w:sz w:val="21"/>
                <w:szCs w:val="21"/>
              </w:rPr>
              <w:t>监督需求</w:t>
            </w:r>
          </w:p>
        </w:tc>
        <w:tc>
          <w:tcPr>
            <w:tcW w:w="1200" w:type="dxa"/>
            <w:tcBorders>
              <w:bottom w:val="single" w:color="auto" w:sz="0" w:space="0"/>
              <w:insideH w:val="single" w:sz="0" w:space="0"/>
            </w:tcBorders>
            <w:vAlign w:val="bottom"/>
          </w:tcPr>
          <w:p w14:paraId="3A7F5E26">
            <w:pPr>
              <w:rPr>
                <w:sz w:val="21"/>
                <w:szCs w:val="21"/>
              </w:rPr>
            </w:pPr>
            <w:r>
              <w:rPr>
                <w:sz w:val="21"/>
                <w:szCs w:val="21"/>
              </w:rPr>
              <w:t>增量贡献层</w:t>
            </w:r>
          </w:p>
        </w:tc>
      </w:tr>
      <w:tr w14:paraId="5A077ABF">
        <w:tblPrEx>
          <w:tblCellMar>
            <w:top w:w="0" w:type="dxa"/>
            <w:left w:w="108" w:type="dxa"/>
            <w:bottom w:w="0" w:type="dxa"/>
            <w:right w:w="108" w:type="dxa"/>
          </w:tblCellMar>
        </w:tblPrEx>
        <w:tc>
          <w:tcPr>
            <w:tcW w:w="1454" w:type="dxa"/>
          </w:tcPr>
          <w:p w14:paraId="38FA5971">
            <w:pPr>
              <w:pStyle w:val="27"/>
              <w:spacing w:line="360" w:lineRule="auto"/>
              <w:jc w:val="both"/>
              <w:rPr>
                <w:sz w:val="21"/>
                <w:szCs w:val="21"/>
              </w:rPr>
            </w:pPr>
            <w:r>
              <w:rPr>
                <w:sz w:val="21"/>
                <w:szCs w:val="21"/>
              </w:rPr>
              <w:t>CR</w:t>
            </w:r>
            <w:commentRangeStart w:id="19"/>
            <w:commentRangeStart w:id="20"/>
            <w:r>
              <w:rPr>
                <w:sz w:val="21"/>
                <w:szCs w:val="21"/>
              </w:rPr>
              <w:t>³</w:t>
            </w:r>
            <w:commentRangeEnd w:id="19"/>
            <w:r>
              <w:rPr>
                <w:rStyle w:val="24"/>
                <w:sz w:val="21"/>
                <w:szCs w:val="21"/>
              </w:rPr>
              <w:commentReference w:id="19"/>
            </w:r>
            <w:commentRangeEnd w:id="20"/>
            <w:r>
              <w:rPr>
                <w:rStyle w:val="24"/>
                <w:sz w:val="21"/>
                <w:szCs w:val="21"/>
              </w:rPr>
              <w:commentReference w:id="20"/>
            </w:r>
          </w:p>
        </w:tc>
        <w:tc>
          <w:tcPr>
            <w:tcW w:w="1770" w:type="dxa"/>
          </w:tcPr>
          <w:p w14:paraId="774615A5">
            <w:pPr>
              <w:pStyle w:val="27"/>
              <w:spacing w:line="360" w:lineRule="auto"/>
              <w:jc w:val="both"/>
              <w:rPr>
                <w:sz w:val="21"/>
                <w:szCs w:val="21"/>
              </w:rPr>
            </w:pPr>
            <w:r>
              <w:rPr>
                <w:rFonts w:hint="eastAsia"/>
                <w:sz w:val="21"/>
                <w:szCs w:val="21"/>
              </w:rPr>
              <w:t>答案级</w:t>
            </w:r>
          </w:p>
        </w:tc>
        <w:tc>
          <w:tcPr>
            <w:tcW w:w="2077" w:type="dxa"/>
          </w:tcPr>
          <w:p w14:paraId="56B953BA">
            <w:pPr>
              <w:pStyle w:val="27"/>
              <w:spacing w:line="360" w:lineRule="auto"/>
              <w:jc w:val="both"/>
              <w:rPr>
                <w:sz w:val="21"/>
                <w:szCs w:val="21"/>
              </w:rPr>
            </w:pPr>
            <w:r>
              <w:rPr>
                <w:rFonts w:hint="eastAsia"/>
                <w:sz w:val="21"/>
                <w:szCs w:val="21"/>
              </w:rPr>
              <w:t>二元规则验证器</w:t>
            </w:r>
          </w:p>
        </w:tc>
        <w:tc>
          <w:tcPr>
            <w:tcW w:w="2138" w:type="dxa"/>
          </w:tcPr>
          <w:p w14:paraId="1ECDD8EB">
            <w:pPr>
              <w:pStyle w:val="27"/>
              <w:spacing w:line="360" w:lineRule="auto"/>
              <w:jc w:val="both"/>
              <w:rPr>
                <w:sz w:val="21"/>
                <w:szCs w:val="21"/>
              </w:rPr>
            </w:pPr>
            <w:r>
              <w:rPr>
                <w:rFonts w:hint="eastAsia"/>
                <w:sz w:val="21"/>
                <w:szCs w:val="21"/>
              </w:rPr>
              <w:t>无</w:t>
            </w:r>
          </w:p>
        </w:tc>
        <w:tc>
          <w:tcPr>
            <w:tcW w:w="1200" w:type="dxa"/>
          </w:tcPr>
          <w:p w14:paraId="0769F1F9">
            <w:pPr>
              <w:rPr>
                <w:sz w:val="21"/>
                <w:szCs w:val="21"/>
              </w:rPr>
            </w:pPr>
            <w:r>
              <w:rPr>
                <w:sz w:val="21"/>
                <w:szCs w:val="21"/>
              </w:rPr>
              <w:t>判据</w:t>
            </w:r>
          </w:p>
        </w:tc>
      </w:tr>
      <w:tr w14:paraId="22B5330E">
        <w:tblPrEx>
          <w:tblCellMar>
            <w:top w:w="0" w:type="dxa"/>
            <w:left w:w="108" w:type="dxa"/>
            <w:bottom w:w="0" w:type="dxa"/>
            <w:right w:w="108" w:type="dxa"/>
          </w:tblCellMar>
        </w:tblPrEx>
        <w:tc>
          <w:tcPr>
            <w:tcW w:w="1454" w:type="dxa"/>
          </w:tcPr>
          <w:p w14:paraId="6BFCE73F">
            <w:pPr>
              <w:pStyle w:val="27"/>
              <w:spacing w:line="360" w:lineRule="auto"/>
              <w:jc w:val="both"/>
              <w:rPr>
                <w:sz w:val="21"/>
                <w:szCs w:val="21"/>
              </w:rPr>
            </w:pPr>
            <w:r>
              <w:rPr>
                <w:sz w:val="21"/>
                <w:szCs w:val="21"/>
              </w:rPr>
              <w:t>SpatialThinker</w:t>
            </w:r>
          </w:p>
        </w:tc>
        <w:tc>
          <w:tcPr>
            <w:tcW w:w="1770" w:type="dxa"/>
          </w:tcPr>
          <w:p w14:paraId="6040515F">
            <w:pPr>
              <w:pStyle w:val="27"/>
              <w:spacing w:line="360" w:lineRule="auto"/>
              <w:jc w:val="both"/>
              <w:rPr>
                <w:sz w:val="21"/>
                <w:szCs w:val="21"/>
              </w:rPr>
            </w:pPr>
            <w:r>
              <w:rPr>
                <w:rFonts w:hint="eastAsia"/>
                <w:sz w:val="21"/>
                <w:szCs w:val="21"/>
              </w:rPr>
              <w:t>场景图结构级</w:t>
            </w:r>
          </w:p>
        </w:tc>
        <w:tc>
          <w:tcPr>
            <w:tcW w:w="2077" w:type="dxa"/>
          </w:tcPr>
          <w:p w14:paraId="1E7EA286">
            <w:pPr>
              <w:pStyle w:val="27"/>
              <w:spacing w:line="360" w:lineRule="auto"/>
              <w:jc w:val="both"/>
              <w:rPr>
                <w:sz w:val="21"/>
                <w:szCs w:val="21"/>
              </w:rPr>
            </w:pPr>
            <w:r>
              <w:rPr>
                <w:rFonts w:hint="eastAsia"/>
                <w:sz w:val="21"/>
                <w:szCs w:val="21"/>
              </w:rPr>
              <w:t>字典序门控多分量奖励</w:t>
            </w:r>
          </w:p>
        </w:tc>
        <w:tc>
          <w:tcPr>
            <w:tcW w:w="2138" w:type="dxa"/>
          </w:tcPr>
          <w:p w14:paraId="7B2DAF90">
            <w:pPr>
              <w:pStyle w:val="27"/>
              <w:spacing w:line="360" w:lineRule="auto"/>
              <w:jc w:val="both"/>
              <w:rPr>
                <w:sz w:val="21"/>
                <w:szCs w:val="21"/>
              </w:rPr>
            </w:pPr>
            <w:r>
              <w:rPr>
                <w:rFonts w:hint="eastAsia"/>
                <w:sz w:val="21"/>
                <w:szCs w:val="21"/>
              </w:rPr>
              <w:t>高（STVQA-7K</w:t>
            </w:r>
            <w:r>
              <w:rPr>
                <w:sz w:val="21"/>
                <w:szCs w:val="21"/>
              </w:rPr>
              <w:t xml:space="preserve"> </w:t>
            </w:r>
            <w:r>
              <w:rPr>
                <w:rFonts w:hint="eastAsia"/>
                <w:sz w:val="21"/>
                <w:szCs w:val="21"/>
              </w:rPr>
              <w:t>人工标注）</w:t>
            </w:r>
          </w:p>
        </w:tc>
        <w:tc>
          <w:tcPr>
            <w:tcW w:w="1200" w:type="dxa"/>
          </w:tcPr>
          <w:p w14:paraId="3B01E747">
            <w:pPr>
              <w:rPr>
                <w:sz w:val="21"/>
                <w:szCs w:val="21"/>
              </w:rPr>
            </w:pPr>
            <w:r>
              <w:rPr>
                <w:sz w:val="21"/>
                <w:szCs w:val="21"/>
              </w:rPr>
              <w:t>判据</w:t>
            </w:r>
          </w:p>
        </w:tc>
      </w:tr>
      <w:tr w14:paraId="7BF3912A">
        <w:tblPrEx>
          <w:tblCellMar>
            <w:top w:w="0" w:type="dxa"/>
            <w:left w:w="108" w:type="dxa"/>
            <w:bottom w:w="0" w:type="dxa"/>
            <w:right w:w="108" w:type="dxa"/>
          </w:tblCellMar>
        </w:tblPrEx>
        <w:tc>
          <w:tcPr>
            <w:tcW w:w="1454" w:type="dxa"/>
          </w:tcPr>
          <w:p w14:paraId="1C7470C9">
            <w:pPr>
              <w:pStyle w:val="27"/>
              <w:spacing w:line="360" w:lineRule="auto"/>
              <w:jc w:val="both"/>
              <w:rPr>
                <w:sz w:val="21"/>
                <w:szCs w:val="21"/>
              </w:rPr>
            </w:pPr>
            <w:r>
              <w:rPr>
                <w:sz w:val="21"/>
                <w:szCs w:val="21"/>
              </w:rPr>
              <w:t>SVQA-R1</w:t>
            </w:r>
          </w:p>
        </w:tc>
        <w:tc>
          <w:tcPr>
            <w:tcW w:w="1770" w:type="dxa"/>
          </w:tcPr>
          <w:p w14:paraId="3A179A8C">
            <w:pPr>
              <w:pStyle w:val="27"/>
              <w:spacing w:line="360" w:lineRule="auto"/>
              <w:jc w:val="both"/>
              <w:rPr>
                <w:sz w:val="21"/>
                <w:szCs w:val="21"/>
              </w:rPr>
            </w:pPr>
            <w:r>
              <w:rPr>
                <w:rFonts w:hint="eastAsia"/>
                <w:sz w:val="21"/>
                <w:szCs w:val="21"/>
              </w:rPr>
              <w:t>答案一致性级</w:t>
            </w:r>
          </w:p>
        </w:tc>
        <w:tc>
          <w:tcPr>
            <w:tcW w:w="2077" w:type="dxa"/>
          </w:tcPr>
          <w:p w14:paraId="3690CA4C">
            <w:pPr>
              <w:pStyle w:val="27"/>
              <w:spacing w:line="360" w:lineRule="auto"/>
              <w:jc w:val="both"/>
              <w:rPr>
                <w:sz w:val="21"/>
                <w:szCs w:val="21"/>
              </w:rPr>
            </w:pPr>
            <w:r>
              <w:rPr>
                <w:rFonts w:hint="eastAsia"/>
                <w:sz w:val="21"/>
                <w:szCs w:val="21"/>
              </w:rPr>
              <w:t>跨视角一致性惩罚</w:t>
            </w:r>
          </w:p>
        </w:tc>
        <w:tc>
          <w:tcPr>
            <w:tcW w:w="2138" w:type="dxa"/>
          </w:tcPr>
          <w:p w14:paraId="6BAD8C7D">
            <w:pPr>
              <w:pStyle w:val="27"/>
              <w:spacing w:line="360" w:lineRule="auto"/>
              <w:jc w:val="both"/>
              <w:rPr>
                <w:sz w:val="21"/>
                <w:szCs w:val="21"/>
              </w:rPr>
            </w:pPr>
            <w:r>
              <w:rPr>
                <w:rFonts w:hint="eastAsia"/>
                <w:sz w:val="21"/>
                <w:szCs w:val="21"/>
              </w:rPr>
              <w:t>无（自监督）</w:t>
            </w:r>
          </w:p>
        </w:tc>
        <w:tc>
          <w:tcPr>
            <w:tcW w:w="1200" w:type="dxa"/>
          </w:tcPr>
          <w:p w14:paraId="772A691A">
            <w:pPr>
              <w:rPr>
                <w:sz w:val="21"/>
                <w:szCs w:val="21"/>
              </w:rPr>
            </w:pPr>
            <w:r>
              <w:rPr>
                <w:sz w:val="21"/>
                <w:szCs w:val="21"/>
              </w:rPr>
              <w:t>判据</w:t>
            </w:r>
          </w:p>
        </w:tc>
      </w:tr>
      <w:tr w14:paraId="227F4AF9">
        <w:tblPrEx>
          <w:tblCellMar>
            <w:top w:w="0" w:type="dxa"/>
            <w:left w:w="108" w:type="dxa"/>
            <w:bottom w:w="0" w:type="dxa"/>
            <w:right w:w="108" w:type="dxa"/>
          </w:tblCellMar>
        </w:tblPrEx>
        <w:tc>
          <w:tcPr>
            <w:tcW w:w="1454" w:type="dxa"/>
          </w:tcPr>
          <w:p w14:paraId="4A14FEE7">
            <w:pPr>
              <w:pStyle w:val="27"/>
              <w:spacing w:line="360" w:lineRule="auto"/>
              <w:jc w:val="both"/>
              <w:rPr>
                <w:sz w:val="21"/>
                <w:szCs w:val="21"/>
              </w:rPr>
            </w:pPr>
            <w:r>
              <w:rPr>
                <w:sz w:val="21"/>
                <w:szCs w:val="21"/>
              </w:rPr>
              <w:t>Ground-R1</w:t>
            </w:r>
          </w:p>
        </w:tc>
        <w:tc>
          <w:tcPr>
            <w:tcW w:w="1770" w:type="dxa"/>
          </w:tcPr>
          <w:p w14:paraId="2283CD7E">
            <w:pPr>
              <w:pStyle w:val="27"/>
              <w:spacing w:line="360" w:lineRule="auto"/>
              <w:jc w:val="both"/>
              <w:rPr>
                <w:sz w:val="21"/>
                <w:szCs w:val="21"/>
              </w:rPr>
            </w:pPr>
            <w:r>
              <w:rPr>
                <w:rFonts w:hint="eastAsia"/>
                <w:sz w:val="21"/>
                <w:szCs w:val="21"/>
              </w:rPr>
              <w:t>证据区域级</w:t>
            </w:r>
          </w:p>
        </w:tc>
        <w:tc>
          <w:tcPr>
            <w:tcW w:w="2077" w:type="dxa"/>
          </w:tcPr>
          <w:p w14:paraId="356F31FE">
            <w:pPr>
              <w:pStyle w:val="27"/>
              <w:spacing w:line="360" w:lineRule="auto"/>
              <w:jc w:val="both"/>
              <w:rPr>
                <w:sz w:val="21"/>
                <w:szCs w:val="21"/>
              </w:rPr>
            </w:pPr>
            <w:r>
              <w:rPr>
                <w:rFonts w:hint="eastAsia"/>
                <w:sz w:val="21"/>
                <w:szCs w:val="21"/>
              </w:rPr>
              <w:t>两阶段格式+答案奖励</w:t>
            </w:r>
          </w:p>
        </w:tc>
        <w:tc>
          <w:tcPr>
            <w:tcW w:w="2138" w:type="dxa"/>
          </w:tcPr>
          <w:p w14:paraId="05DDA13D">
            <w:pPr>
              <w:pStyle w:val="27"/>
              <w:spacing w:line="360" w:lineRule="auto"/>
              <w:jc w:val="both"/>
              <w:rPr>
                <w:sz w:val="21"/>
                <w:szCs w:val="21"/>
              </w:rPr>
            </w:pPr>
            <w:r>
              <w:rPr>
                <w:rFonts w:hint="eastAsia"/>
                <w:sz w:val="21"/>
                <w:szCs w:val="21"/>
              </w:rPr>
              <w:t>低（仅格式，无框标注）</w:t>
            </w:r>
          </w:p>
        </w:tc>
        <w:tc>
          <w:tcPr>
            <w:tcW w:w="1200" w:type="dxa"/>
          </w:tcPr>
          <w:p w14:paraId="63675550">
            <w:pPr>
              <w:rPr>
                <w:sz w:val="21"/>
                <w:szCs w:val="21"/>
              </w:rPr>
            </w:pPr>
            <w:r>
              <w:rPr>
                <w:sz w:val="21"/>
                <w:szCs w:val="21"/>
              </w:rPr>
              <w:t>信号源</w:t>
            </w:r>
          </w:p>
        </w:tc>
      </w:tr>
      <w:tr w14:paraId="3DA74CFA">
        <w:tblPrEx>
          <w:tblCellMar>
            <w:top w:w="0" w:type="dxa"/>
            <w:left w:w="108" w:type="dxa"/>
            <w:bottom w:w="0" w:type="dxa"/>
            <w:right w:w="108" w:type="dxa"/>
          </w:tblCellMar>
        </w:tblPrEx>
        <w:tc>
          <w:tcPr>
            <w:tcW w:w="1454" w:type="dxa"/>
          </w:tcPr>
          <w:p w14:paraId="086BF393">
            <w:pPr>
              <w:pStyle w:val="27"/>
              <w:spacing w:line="360" w:lineRule="auto"/>
              <w:jc w:val="both"/>
              <w:rPr>
                <w:sz w:val="21"/>
                <w:szCs w:val="21"/>
              </w:rPr>
            </w:pPr>
            <w:r>
              <w:rPr>
                <w:sz w:val="21"/>
                <w:szCs w:val="21"/>
              </w:rPr>
              <w:t>GRIT</w:t>
            </w:r>
          </w:p>
        </w:tc>
        <w:tc>
          <w:tcPr>
            <w:tcW w:w="1770" w:type="dxa"/>
          </w:tcPr>
          <w:p w14:paraId="306BFBF6">
            <w:pPr>
              <w:pStyle w:val="27"/>
              <w:spacing w:line="360" w:lineRule="auto"/>
              <w:jc w:val="both"/>
              <w:rPr>
                <w:sz w:val="21"/>
                <w:szCs w:val="21"/>
              </w:rPr>
            </w:pPr>
            <w:r>
              <w:rPr>
                <w:rFonts w:hint="eastAsia"/>
                <w:sz w:val="21"/>
                <w:szCs w:val="21"/>
              </w:rPr>
              <w:t>区域级（思维链内嵌）</w:t>
            </w:r>
          </w:p>
        </w:tc>
        <w:tc>
          <w:tcPr>
            <w:tcW w:w="2077" w:type="dxa"/>
          </w:tcPr>
          <w:p w14:paraId="39ADD0A1">
            <w:pPr>
              <w:pStyle w:val="27"/>
              <w:spacing w:line="360" w:lineRule="auto"/>
              <w:jc w:val="both"/>
              <w:rPr>
                <w:sz w:val="21"/>
                <w:szCs w:val="21"/>
              </w:rPr>
            </w:pPr>
            <w:r>
              <w:rPr>
                <w:rFonts w:hint="eastAsia"/>
                <w:sz w:val="21"/>
                <w:szCs w:val="21"/>
              </w:rPr>
              <w:t>格式+计数奖励</w:t>
            </w:r>
          </w:p>
        </w:tc>
        <w:tc>
          <w:tcPr>
            <w:tcW w:w="2138" w:type="dxa"/>
          </w:tcPr>
          <w:p w14:paraId="5C29762C">
            <w:pPr>
              <w:pStyle w:val="27"/>
              <w:spacing w:line="360" w:lineRule="auto"/>
              <w:jc w:val="both"/>
              <w:rPr>
                <w:sz w:val="21"/>
                <w:szCs w:val="21"/>
              </w:rPr>
            </w:pPr>
            <w:r>
              <w:rPr>
                <w:rFonts w:hint="eastAsia"/>
                <w:sz w:val="21"/>
                <w:szCs w:val="21"/>
              </w:rPr>
              <w:t>极低（20</w:t>
            </w:r>
            <w:r>
              <w:rPr>
                <w:sz w:val="21"/>
                <w:szCs w:val="21"/>
              </w:rPr>
              <w:t xml:space="preserve"> </w:t>
            </w:r>
            <w:r>
              <w:rPr>
                <w:rFonts w:hint="eastAsia"/>
                <w:sz w:val="21"/>
                <w:szCs w:val="21"/>
              </w:rPr>
              <w:t>个问答三元组）</w:t>
            </w:r>
          </w:p>
        </w:tc>
        <w:tc>
          <w:tcPr>
            <w:tcW w:w="1200" w:type="dxa"/>
          </w:tcPr>
          <w:p w14:paraId="2F5E75C5">
            <w:pPr>
              <w:rPr>
                <w:sz w:val="21"/>
                <w:szCs w:val="21"/>
              </w:rPr>
            </w:pPr>
            <w:r>
              <w:rPr>
                <w:sz w:val="21"/>
                <w:szCs w:val="21"/>
              </w:rPr>
              <w:t>信号源</w:t>
            </w:r>
          </w:p>
        </w:tc>
      </w:tr>
      <w:tr w14:paraId="651BE0F9">
        <w:tblPrEx>
          <w:tblCellMar>
            <w:top w:w="0" w:type="dxa"/>
            <w:left w:w="108" w:type="dxa"/>
            <w:bottom w:w="0" w:type="dxa"/>
            <w:right w:w="108" w:type="dxa"/>
          </w:tblCellMar>
        </w:tblPrEx>
        <w:tc>
          <w:tcPr>
            <w:tcW w:w="1454" w:type="dxa"/>
          </w:tcPr>
          <w:p w14:paraId="5640E83D">
            <w:pPr>
              <w:pStyle w:val="27"/>
              <w:spacing w:line="360" w:lineRule="auto"/>
              <w:jc w:val="both"/>
              <w:rPr>
                <w:sz w:val="21"/>
                <w:szCs w:val="21"/>
              </w:rPr>
            </w:pPr>
            <w:r>
              <w:rPr>
                <w:sz w:val="21"/>
                <w:szCs w:val="21"/>
              </w:rPr>
              <w:t>POLIA</w:t>
            </w:r>
          </w:p>
        </w:tc>
        <w:tc>
          <w:tcPr>
            <w:tcW w:w="1770" w:type="dxa"/>
          </w:tcPr>
          <w:p w14:paraId="131A48B3">
            <w:pPr>
              <w:pStyle w:val="27"/>
              <w:spacing w:line="360" w:lineRule="auto"/>
              <w:jc w:val="both"/>
              <w:rPr>
                <w:sz w:val="21"/>
                <w:szCs w:val="21"/>
              </w:rPr>
            </w:pPr>
            <w:r>
              <w:rPr>
                <w:rFonts w:hint="eastAsia"/>
                <w:sz w:val="21"/>
                <w:szCs w:val="21"/>
              </w:rPr>
              <w:t>物体级</w:t>
            </w:r>
          </w:p>
        </w:tc>
        <w:tc>
          <w:tcPr>
            <w:tcW w:w="2077" w:type="dxa"/>
          </w:tcPr>
          <w:p w14:paraId="7263BB03">
            <w:pPr>
              <w:pStyle w:val="27"/>
              <w:spacing w:line="360" w:lineRule="auto"/>
              <w:jc w:val="both"/>
              <w:rPr>
                <w:sz w:val="21"/>
                <w:szCs w:val="21"/>
              </w:rPr>
            </w:pPr>
            <w:r>
              <w:rPr>
                <w:rFonts w:hint="eastAsia"/>
                <w:sz w:val="21"/>
                <w:szCs w:val="21"/>
              </w:rPr>
              <w:t>置信度修正的物体级内在优势</w:t>
            </w:r>
          </w:p>
        </w:tc>
        <w:tc>
          <w:tcPr>
            <w:tcW w:w="2138" w:type="dxa"/>
          </w:tcPr>
          <w:p w14:paraId="770A66EF">
            <w:pPr>
              <w:pStyle w:val="27"/>
              <w:spacing w:line="360" w:lineRule="auto"/>
              <w:jc w:val="both"/>
              <w:rPr>
                <w:sz w:val="21"/>
                <w:szCs w:val="21"/>
              </w:rPr>
            </w:pPr>
            <w:r>
              <w:rPr>
                <w:rFonts w:hint="eastAsia"/>
                <w:sz w:val="21"/>
                <w:szCs w:val="21"/>
              </w:rPr>
              <w:t>低（利用数据集物体标注）</w:t>
            </w:r>
          </w:p>
        </w:tc>
        <w:tc>
          <w:tcPr>
            <w:tcW w:w="1200" w:type="dxa"/>
          </w:tcPr>
          <w:p w14:paraId="015AA3C1">
            <w:pPr>
              <w:rPr>
                <w:sz w:val="21"/>
                <w:szCs w:val="21"/>
              </w:rPr>
            </w:pPr>
            <w:r>
              <w:rPr>
                <w:sz w:val="21"/>
                <w:szCs w:val="21"/>
              </w:rPr>
              <w:t>信号源</w:t>
            </w:r>
          </w:p>
        </w:tc>
      </w:tr>
      <w:tr w14:paraId="2EB8356D">
        <w:tblPrEx>
          <w:tblCellMar>
            <w:top w:w="0" w:type="dxa"/>
            <w:left w:w="108" w:type="dxa"/>
            <w:bottom w:w="0" w:type="dxa"/>
            <w:right w:w="108" w:type="dxa"/>
          </w:tblCellMar>
        </w:tblPrEx>
        <w:tc>
          <w:tcPr>
            <w:tcW w:w="1454" w:type="dxa"/>
          </w:tcPr>
          <w:p w14:paraId="79929DED">
            <w:pPr>
              <w:pStyle w:val="27"/>
              <w:spacing w:line="360" w:lineRule="auto"/>
              <w:jc w:val="both"/>
              <w:rPr>
                <w:sz w:val="21"/>
                <w:szCs w:val="21"/>
              </w:rPr>
            </w:pPr>
            <w:r>
              <w:rPr>
                <w:sz w:val="21"/>
                <w:szCs w:val="21"/>
              </w:rPr>
              <w:t>Self-Questioning</w:t>
            </w:r>
          </w:p>
        </w:tc>
        <w:tc>
          <w:tcPr>
            <w:tcW w:w="1770" w:type="dxa"/>
          </w:tcPr>
          <w:p w14:paraId="08C17567">
            <w:pPr>
              <w:pStyle w:val="27"/>
              <w:spacing w:line="360" w:lineRule="auto"/>
              <w:jc w:val="both"/>
              <w:rPr>
                <w:sz w:val="21"/>
                <w:szCs w:val="21"/>
              </w:rPr>
            </w:pPr>
            <w:r>
              <w:rPr>
                <w:rFonts w:hint="eastAsia"/>
                <w:sz w:val="21"/>
                <w:szCs w:val="21"/>
              </w:rPr>
              <w:t>子问题结构级</w:t>
            </w:r>
          </w:p>
        </w:tc>
        <w:tc>
          <w:tcPr>
            <w:tcW w:w="2077" w:type="dxa"/>
          </w:tcPr>
          <w:p w14:paraId="00C19DE7">
            <w:pPr>
              <w:pStyle w:val="27"/>
              <w:spacing w:line="360" w:lineRule="auto"/>
              <w:jc w:val="both"/>
              <w:rPr>
                <w:sz w:val="21"/>
                <w:szCs w:val="21"/>
              </w:rPr>
            </w:pPr>
            <w:r>
              <w:rPr>
                <w:rFonts w:hint="eastAsia"/>
                <w:sz w:val="21"/>
                <w:szCs w:val="21"/>
              </w:rPr>
              <w:t>二元格式+正确性奖励</w:t>
            </w:r>
          </w:p>
        </w:tc>
        <w:tc>
          <w:tcPr>
            <w:tcW w:w="2138" w:type="dxa"/>
          </w:tcPr>
          <w:p w14:paraId="1ED36436">
            <w:pPr>
              <w:pStyle w:val="27"/>
              <w:spacing w:line="360" w:lineRule="auto"/>
              <w:jc w:val="both"/>
              <w:rPr>
                <w:sz w:val="21"/>
                <w:szCs w:val="21"/>
              </w:rPr>
            </w:pPr>
            <w:r>
              <w:rPr>
                <w:rFonts w:hint="eastAsia"/>
                <w:sz w:val="21"/>
                <w:szCs w:val="21"/>
              </w:rPr>
              <w:t>无</w:t>
            </w:r>
          </w:p>
        </w:tc>
        <w:tc>
          <w:tcPr>
            <w:tcW w:w="1200" w:type="dxa"/>
          </w:tcPr>
          <w:p w14:paraId="5B75E949">
            <w:pPr>
              <w:rPr>
                <w:sz w:val="21"/>
                <w:szCs w:val="21"/>
              </w:rPr>
            </w:pPr>
            <w:r>
              <w:rPr>
                <w:sz w:val="21"/>
                <w:szCs w:val="21"/>
              </w:rPr>
              <w:t>对象</w:t>
            </w:r>
          </w:p>
        </w:tc>
      </w:tr>
      <w:tr w14:paraId="74DDE230">
        <w:tblPrEx>
          <w:tblCellMar>
            <w:top w:w="0" w:type="dxa"/>
            <w:left w:w="108" w:type="dxa"/>
            <w:bottom w:w="0" w:type="dxa"/>
            <w:right w:w="108" w:type="dxa"/>
          </w:tblCellMar>
        </w:tblPrEx>
        <w:tc>
          <w:tcPr>
            <w:tcW w:w="1454" w:type="dxa"/>
          </w:tcPr>
          <w:p w14:paraId="6BE6525A">
            <w:pPr>
              <w:pStyle w:val="27"/>
              <w:spacing w:line="360" w:lineRule="auto"/>
              <w:jc w:val="both"/>
              <w:rPr>
                <w:sz w:val="21"/>
                <w:szCs w:val="21"/>
              </w:rPr>
            </w:pPr>
            <w:r>
              <w:rPr>
                <w:sz w:val="21"/>
                <w:szCs w:val="21"/>
              </w:rPr>
              <w:t>H-GRPO</w:t>
            </w:r>
          </w:p>
        </w:tc>
        <w:tc>
          <w:tcPr>
            <w:tcW w:w="1770" w:type="dxa"/>
          </w:tcPr>
          <w:p w14:paraId="7DF22E48">
            <w:pPr>
              <w:pStyle w:val="27"/>
              <w:spacing w:line="360" w:lineRule="auto"/>
              <w:jc w:val="both"/>
              <w:rPr>
                <w:sz w:val="21"/>
                <w:szCs w:val="21"/>
              </w:rPr>
            </w:pPr>
            <w:r>
              <w:rPr>
                <w:rFonts w:hint="eastAsia"/>
                <w:sz w:val="21"/>
                <w:szCs w:val="21"/>
              </w:rPr>
              <w:t>推理步骤+证据级</w:t>
            </w:r>
          </w:p>
        </w:tc>
        <w:tc>
          <w:tcPr>
            <w:tcW w:w="2077" w:type="dxa"/>
          </w:tcPr>
          <w:p w14:paraId="4EE671D2">
            <w:pPr>
              <w:pStyle w:val="27"/>
              <w:spacing w:line="360" w:lineRule="auto"/>
              <w:jc w:val="both"/>
              <w:rPr>
                <w:sz w:val="21"/>
                <w:szCs w:val="21"/>
              </w:rPr>
            </w:pPr>
            <w:r>
              <w:rPr>
                <w:rFonts w:hint="eastAsia"/>
                <w:sz w:val="21"/>
                <w:szCs w:val="21"/>
              </w:rPr>
              <w:t>匈牙利门控过程奖励</w:t>
            </w:r>
          </w:p>
        </w:tc>
        <w:tc>
          <w:tcPr>
            <w:tcW w:w="2138" w:type="dxa"/>
          </w:tcPr>
          <w:p w14:paraId="79A97441">
            <w:pPr>
              <w:pStyle w:val="27"/>
              <w:spacing w:line="360" w:lineRule="auto"/>
              <w:jc w:val="both"/>
              <w:rPr>
                <w:sz w:val="21"/>
                <w:szCs w:val="21"/>
              </w:rPr>
            </w:pPr>
            <w:r>
              <w:rPr>
                <w:rFonts w:hint="eastAsia"/>
                <w:sz w:val="21"/>
                <w:szCs w:val="21"/>
              </w:rPr>
              <w:t>无</w:t>
            </w:r>
          </w:p>
        </w:tc>
        <w:tc>
          <w:tcPr>
            <w:tcW w:w="1200" w:type="dxa"/>
          </w:tcPr>
          <w:p w14:paraId="7620955F">
            <w:pPr>
              <w:rPr>
                <w:sz w:val="21"/>
                <w:szCs w:val="21"/>
              </w:rPr>
            </w:pPr>
            <w:r>
              <w:rPr>
                <w:sz w:val="21"/>
                <w:szCs w:val="21"/>
              </w:rPr>
              <w:t>对象</w:t>
            </w:r>
          </w:p>
        </w:tc>
      </w:tr>
    </w:tbl>
    <w:p w14:paraId="7F3B3FF3">
      <w:pPr>
        <w:pStyle w:val="12"/>
        <w:spacing w:line="360" w:lineRule="auto"/>
        <w:jc w:val="center"/>
        <w:rPr>
          <w:i w:val="0"/>
          <w:iCs/>
          <w:sz w:val="21"/>
          <w:szCs w:val="21"/>
        </w:rPr>
      </w:pPr>
      <w:r>
        <w:rPr>
          <w:rFonts w:hint="eastAsia"/>
          <w:i w:val="0"/>
          <w:iCs/>
          <w:color w:val="000000"/>
          <w:sz w:val="21"/>
          <w:szCs w:val="21"/>
        </w:rPr>
        <w:t>表 4：代表方法的实验设置与结果对比（基座模型、评测基准、关键数据/设计与代表性结果）</w:t>
      </w:r>
    </w:p>
    <w:tbl>
      <w:tblPr>
        <w:tblStyle w:val="44"/>
        <w:tblW w:w="5000" w:type="pct"/>
        <w:tblInd w:w="0" w:type="dxa"/>
        <w:tblLayout w:type="fixed"/>
        <w:tblCellMar>
          <w:top w:w="0" w:type="dxa"/>
          <w:left w:w="108" w:type="dxa"/>
          <w:bottom w:w="0" w:type="dxa"/>
          <w:right w:w="108" w:type="dxa"/>
        </w:tblCellMar>
      </w:tblPr>
      <w:tblGrid>
        <w:gridCol w:w="1086"/>
        <w:gridCol w:w="1518"/>
        <w:gridCol w:w="1934"/>
        <w:gridCol w:w="1649"/>
        <w:gridCol w:w="2454"/>
      </w:tblGrid>
      <w:tr w14:paraId="2BE78DBE">
        <w:tblPrEx>
          <w:tblCellMar>
            <w:top w:w="0" w:type="dxa"/>
            <w:left w:w="108" w:type="dxa"/>
            <w:bottom w:w="0" w:type="dxa"/>
            <w:right w:w="108" w:type="dxa"/>
          </w:tblCellMar>
        </w:tblPrEx>
        <w:trPr>
          <w:tblHeader/>
        </w:trPr>
        <w:tc>
          <w:tcPr>
            <w:tcW w:w="628" w:type="pct"/>
            <w:tcBorders>
              <w:bottom w:val="single" w:color="auto" w:sz="0" w:space="0"/>
              <w:insideH w:val="single" w:sz="0" w:space="0"/>
            </w:tcBorders>
            <w:vAlign w:val="bottom"/>
          </w:tcPr>
          <w:p w14:paraId="1F113881">
            <w:pPr>
              <w:pStyle w:val="27"/>
              <w:spacing w:line="360" w:lineRule="auto"/>
              <w:jc w:val="both"/>
              <w:rPr>
                <w:sz w:val="21"/>
                <w:szCs w:val="21"/>
              </w:rPr>
            </w:pPr>
            <w:r>
              <w:rPr>
                <w:rFonts w:hint="eastAsia"/>
                <w:sz w:val="21"/>
                <w:szCs w:val="21"/>
              </w:rPr>
              <w:t>方法</w:t>
            </w:r>
          </w:p>
        </w:tc>
        <w:tc>
          <w:tcPr>
            <w:tcW w:w="878" w:type="pct"/>
            <w:tcBorders>
              <w:bottom w:val="single" w:color="auto" w:sz="0" w:space="0"/>
              <w:insideH w:val="single" w:sz="0" w:space="0"/>
            </w:tcBorders>
            <w:vAlign w:val="bottom"/>
          </w:tcPr>
          <w:p w14:paraId="72B15DA4">
            <w:pPr>
              <w:pStyle w:val="27"/>
              <w:spacing w:line="360" w:lineRule="auto"/>
              <w:jc w:val="both"/>
              <w:rPr>
                <w:sz w:val="21"/>
                <w:szCs w:val="21"/>
              </w:rPr>
            </w:pPr>
            <w:r>
              <w:rPr>
                <w:sz w:val="21"/>
                <w:szCs w:val="21"/>
              </w:rPr>
              <w:t>基座模型</w:t>
            </w:r>
          </w:p>
        </w:tc>
        <w:tc>
          <w:tcPr>
            <w:tcW w:w="1119" w:type="pct"/>
            <w:tcBorders>
              <w:bottom w:val="single" w:color="auto" w:sz="0" w:space="0"/>
              <w:insideH w:val="single" w:sz="0" w:space="0"/>
            </w:tcBorders>
            <w:vAlign w:val="bottom"/>
          </w:tcPr>
          <w:p w14:paraId="424BD476">
            <w:pPr>
              <w:pStyle w:val="27"/>
              <w:spacing w:line="360" w:lineRule="auto"/>
              <w:jc w:val="both"/>
              <w:rPr>
                <w:sz w:val="21"/>
                <w:szCs w:val="21"/>
              </w:rPr>
            </w:pPr>
            <w:r>
              <w:rPr>
                <w:rFonts w:hint="eastAsia"/>
                <w:sz w:val="21"/>
                <w:szCs w:val="21"/>
              </w:rPr>
              <w:t>评测基准</w:t>
            </w:r>
          </w:p>
        </w:tc>
        <w:tc>
          <w:tcPr>
            <w:tcW w:w="954" w:type="pct"/>
            <w:tcBorders>
              <w:bottom w:val="single" w:color="auto" w:sz="0" w:space="0"/>
              <w:insideH w:val="single" w:sz="0" w:space="0"/>
            </w:tcBorders>
            <w:vAlign w:val="bottom"/>
          </w:tcPr>
          <w:p w14:paraId="19623FF0">
            <w:pPr>
              <w:pStyle w:val="27"/>
              <w:spacing w:line="360" w:lineRule="auto"/>
              <w:jc w:val="both"/>
              <w:rPr>
                <w:sz w:val="21"/>
                <w:szCs w:val="21"/>
              </w:rPr>
            </w:pPr>
            <w:r>
              <w:rPr>
                <w:rFonts w:hint="eastAsia"/>
                <w:sz w:val="21"/>
                <w:szCs w:val="21"/>
              </w:rPr>
              <w:t>关键数据/设计</w:t>
            </w:r>
          </w:p>
        </w:tc>
        <w:tc>
          <w:tcPr>
            <w:tcW w:w="1419" w:type="pct"/>
            <w:tcBorders>
              <w:bottom w:val="single" w:color="auto" w:sz="0" w:space="0"/>
              <w:insideH w:val="single" w:sz="0" w:space="0"/>
            </w:tcBorders>
            <w:vAlign w:val="bottom"/>
          </w:tcPr>
          <w:p w14:paraId="693B8844">
            <w:pPr>
              <w:pStyle w:val="27"/>
              <w:spacing w:line="360" w:lineRule="auto"/>
              <w:jc w:val="both"/>
              <w:rPr>
                <w:sz w:val="21"/>
                <w:szCs w:val="21"/>
              </w:rPr>
            </w:pPr>
            <w:r>
              <w:rPr>
                <w:rFonts w:hint="eastAsia"/>
                <w:sz w:val="21"/>
                <w:szCs w:val="21"/>
              </w:rPr>
              <w:t>代表性结果</w:t>
            </w:r>
          </w:p>
        </w:tc>
      </w:tr>
      <w:tr w14:paraId="4939F2BA">
        <w:tblPrEx>
          <w:tblCellMar>
            <w:top w:w="0" w:type="dxa"/>
            <w:left w:w="108" w:type="dxa"/>
            <w:bottom w:w="0" w:type="dxa"/>
            <w:right w:w="108" w:type="dxa"/>
          </w:tblCellMar>
        </w:tblPrEx>
        <w:tc>
          <w:tcPr>
            <w:tcW w:w="628" w:type="pct"/>
          </w:tcPr>
          <w:p w14:paraId="6D358138">
            <w:pPr>
              <w:pStyle w:val="27"/>
              <w:spacing w:line="360" w:lineRule="auto"/>
              <w:jc w:val="both"/>
              <w:rPr>
                <w:sz w:val="21"/>
                <w:szCs w:val="21"/>
              </w:rPr>
            </w:pPr>
            <w:r>
              <w:rPr>
                <w:sz w:val="21"/>
                <w:szCs w:val="21"/>
              </w:rPr>
              <w:t>CR³</w:t>
            </w:r>
          </w:p>
        </w:tc>
        <w:tc>
          <w:tcPr>
            <w:tcW w:w="878" w:type="pct"/>
          </w:tcPr>
          <w:p w14:paraId="38AB4152">
            <w:pPr>
              <w:pStyle w:val="27"/>
              <w:spacing w:line="360" w:lineRule="auto"/>
              <w:jc w:val="both"/>
              <w:rPr>
                <w:sz w:val="21"/>
                <w:szCs w:val="21"/>
              </w:rPr>
            </w:pPr>
            <w:r>
              <w:rPr>
                <w:sz w:val="21"/>
                <w:szCs w:val="21"/>
              </w:rPr>
              <w:t>Qwen2.5-VL-7B / InternVL3-8B</w:t>
            </w:r>
          </w:p>
        </w:tc>
        <w:tc>
          <w:tcPr>
            <w:tcW w:w="1119" w:type="pct"/>
          </w:tcPr>
          <w:p w14:paraId="3B8BDE3C">
            <w:pPr>
              <w:pStyle w:val="27"/>
              <w:spacing w:line="360" w:lineRule="auto"/>
              <w:jc w:val="both"/>
              <w:rPr>
                <w:sz w:val="21"/>
                <w:szCs w:val="21"/>
              </w:rPr>
            </w:pPr>
            <w:r>
              <w:rPr>
                <w:sz w:val="21"/>
                <w:szCs w:val="21"/>
              </w:rPr>
              <w:t>MMVP/Winoground/Cola</w:t>
            </w:r>
          </w:p>
        </w:tc>
        <w:tc>
          <w:tcPr>
            <w:tcW w:w="954" w:type="pct"/>
          </w:tcPr>
          <w:p w14:paraId="1CF5C9EC">
            <w:pPr>
              <w:pStyle w:val="27"/>
              <w:spacing w:line="360" w:lineRule="auto"/>
              <w:jc w:val="both"/>
              <w:rPr>
                <w:sz w:val="21"/>
                <w:szCs w:val="21"/>
              </w:rPr>
            </w:pPr>
            <w:r>
              <w:rPr>
                <w:rFonts w:hint="eastAsia"/>
                <w:sz w:val="21"/>
                <w:szCs w:val="21"/>
              </w:rPr>
              <w:t>语义+视觉双重筛选：18.5</w:t>
            </w:r>
            <w:r>
              <w:rPr>
                <w:sz w:val="21"/>
                <w:szCs w:val="21"/>
              </w:rPr>
              <w:t xml:space="preserve"> </w:t>
            </w:r>
            <w:r>
              <w:rPr>
                <w:rFonts w:hint="eastAsia"/>
                <w:sz w:val="21"/>
                <w:szCs w:val="21"/>
              </w:rPr>
              <w:t>万→1.89</w:t>
            </w:r>
            <w:r>
              <w:rPr>
                <w:sz w:val="21"/>
                <w:szCs w:val="21"/>
              </w:rPr>
              <w:t xml:space="preserve"> </w:t>
            </w:r>
            <w:r>
              <w:rPr>
                <w:rFonts w:hint="eastAsia"/>
                <w:sz w:val="21"/>
                <w:szCs w:val="21"/>
              </w:rPr>
              <w:t>万难负样本</w:t>
            </w:r>
          </w:p>
        </w:tc>
        <w:tc>
          <w:tcPr>
            <w:tcW w:w="1419" w:type="pct"/>
          </w:tcPr>
          <w:p w14:paraId="1C502220">
            <w:pPr>
              <w:pStyle w:val="27"/>
              <w:spacing w:line="360" w:lineRule="auto"/>
              <w:jc w:val="both"/>
              <w:rPr>
                <w:sz w:val="21"/>
                <w:szCs w:val="21"/>
              </w:rPr>
            </w:pPr>
            <w:r>
              <w:rPr>
                <w:rFonts w:hint="eastAsia"/>
                <w:sz w:val="21"/>
                <w:szCs w:val="21"/>
                <w:lang w:val="en-US" w:eastAsia="zh-CN"/>
              </w:rPr>
              <w:t>较原始基线平均超 9 点，较 SFT 超 5 点</w:t>
            </w:r>
          </w:p>
        </w:tc>
      </w:tr>
      <w:tr w14:paraId="05A26C15">
        <w:tblPrEx>
          <w:tblCellMar>
            <w:top w:w="0" w:type="dxa"/>
            <w:left w:w="108" w:type="dxa"/>
            <w:bottom w:w="0" w:type="dxa"/>
            <w:right w:w="108" w:type="dxa"/>
          </w:tblCellMar>
        </w:tblPrEx>
        <w:tc>
          <w:tcPr>
            <w:tcW w:w="628" w:type="pct"/>
          </w:tcPr>
          <w:p w14:paraId="4F219FE3">
            <w:pPr>
              <w:pStyle w:val="27"/>
              <w:spacing w:line="360" w:lineRule="auto"/>
              <w:jc w:val="both"/>
              <w:rPr>
                <w:sz w:val="21"/>
                <w:szCs w:val="21"/>
              </w:rPr>
            </w:pPr>
            <w:r>
              <w:rPr>
                <w:sz w:val="21"/>
                <w:szCs w:val="21"/>
              </w:rPr>
              <w:t>SpatialThinker</w:t>
            </w:r>
          </w:p>
        </w:tc>
        <w:tc>
          <w:tcPr>
            <w:tcW w:w="878" w:type="pct"/>
          </w:tcPr>
          <w:p w14:paraId="57FFAAE5">
            <w:pPr>
              <w:pStyle w:val="27"/>
              <w:spacing w:line="360" w:lineRule="auto"/>
              <w:jc w:val="both"/>
              <w:rPr>
                <w:sz w:val="21"/>
                <w:szCs w:val="21"/>
              </w:rPr>
            </w:pPr>
            <w:r>
              <w:rPr>
                <w:sz w:val="21"/>
                <w:szCs w:val="21"/>
              </w:rPr>
              <w:t>7B</w:t>
            </w:r>
          </w:p>
        </w:tc>
        <w:tc>
          <w:tcPr>
            <w:tcW w:w="1119" w:type="pct"/>
          </w:tcPr>
          <w:p w14:paraId="791DD33B">
            <w:pPr>
              <w:pStyle w:val="27"/>
              <w:spacing w:line="360" w:lineRule="auto"/>
              <w:jc w:val="both"/>
              <w:rPr>
                <w:sz w:val="21"/>
                <w:szCs w:val="21"/>
              </w:rPr>
            </w:pPr>
            <w:r>
              <w:rPr>
                <w:sz w:val="21"/>
                <w:szCs w:val="21"/>
              </w:rPr>
              <w:t xml:space="preserve">14 </w:t>
            </w:r>
            <w:r>
              <w:rPr>
                <w:rFonts w:hint="eastAsia"/>
                <w:sz w:val="21"/>
                <w:szCs w:val="21"/>
              </w:rPr>
              <w:t>基准</w:t>
            </w:r>
          </w:p>
        </w:tc>
        <w:tc>
          <w:tcPr>
            <w:tcW w:w="954" w:type="pct"/>
          </w:tcPr>
          <w:p w14:paraId="064BEE75">
            <w:pPr>
              <w:pStyle w:val="27"/>
              <w:spacing w:line="360" w:lineRule="auto"/>
              <w:jc w:val="both"/>
              <w:rPr>
                <w:sz w:val="21"/>
                <w:szCs w:val="21"/>
              </w:rPr>
            </w:pPr>
            <w:r>
              <w:rPr>
                <w:rFonts w:hint="eastAsia"/>
                <w:sz w:val="21"/>
                <w:szCs w:val="21"/>
              </w:rPr>
              <w:t>匈牙利匹配</w:t>
            </w:r>
            <w:r>
              <w:rPr>
                <w:sz w:val="21"/>
                <w:szCs w:val="21"/>
              </w:rPr>
              <w:t xml:space="preserve"> + CIoU </w:t>
            </w:r>
            <w:r>
              <w:rPr>
                <w:rFonts w:hint="eastAsia"/>
                <w:sz w:val="21"/>
                <w:szCs w:val="21"/>
              </w:rPr>
              <w:t>稠密梯度</w:t>
            </w:r>
          </w:p>
        </w:tc>
        <w:tc>
          <w:tcPr>
            <w:tcW w:w="1419" w:type="pct"/>
          </w:tcPr>
          <w:p w14:paraId="2A07BB1F">
            <w:pPr>
              <w:pStyle w:val="27"/>
              <w:spacing w:line="360" w:lineRule="auto"/>
              <w:jc w:val="both"/>
              <w:rPr>
                <w:sz w:val="21"/>
                <w:szCs w:val="21"/>
              </w:rPr>
            </w:pPr>
            <w:r>
              <w:rPr>
                <w:rFonts w:hint="eastAsia"/>
                <w:sz w:val="21"/>
                <w:szCs w:val="21"/>
              </w:rPr>
              <w:t>14 基准平均超 GPT-4o 4.7 个百分点</w:t>
            </w:r>
          </w:p>
        </w:tc>
      </w:tr>
      <w:tr w14:paraId="2A79EC9A">
        <w:tblPrEx>
          <w:tblCellMar>
            <w:top w:w="0" w:type="dxa"/>
            <w:left w:w="108" w:type="dxa"/>
            <w:bottom w:w="0" w:type="dxa"/>
            <w:right w:w="108" w:type="dxa"/>
          </w:tblCellMar>
        </w:tblPrEx>
        <w:tc>
          <w:tcPr>
            <w:tcW w:w="628" w:type="pct"/>
          </w:tcPr>
          <w:p w14:paraId="4319109C">
            <w:pPr>
              <w:pStyle w:val="27"/>
              <w:spacing w:line="360" w:lineRule="auto"/>
              <w:jc w:val="both"/>
              <w:rPr>
                <w:sz w:val="21"/>
                <w:szCs w:val="21"/>
              </w:rPr>
            </w:pPr>
            <w:r>
              <w:rPr>
                <w:sz w:val="21"/>
                <w:szCs w:val="21"/>
              </w:rPr>
              <w:t>SVQA-R1</w:t>
            </w:r>
          </w:p>
        </w:tc>
        <w:tc>
          <w:tcPr>
            <w:tcW w:w="878" w:type="pct"/>
          </w:tcPr>
          <w:p w14:paraId="339F063E">
            <w:pPr>
              <w:pStyle w:val="27"/>
              <w:spacing w:line="360" w:lineRule="auto"/>
              <w:jc w:val="both"/>
              <w:rPr>
                <w:sz w:val="21"/>
                <w:szCs w:val="21"/>
              </w:rPr>
            </w:pPr>
            <w:r>
              <w:rPr>
                <w:sz w:val="21"/>
                <w:szCs w:val="21"/>
              </w:rPr>
              <w:t>3B</w:t>
            </w:r>
          </w:p>
        </w:tc>
        <w:tc>
          <w:tcPr>
            <w:tcW w:w="1119" w:type="pct"/>
          </w:tcPr>
          <w:p w14:paraId="603EBC27">
            <w:pPr>
              <w:pStyle w:val="27"/>
              <w:spacing w:line="360" w:lineRule="auto"/>
              <w:jc w:val="both"/>
              <w:rPr>
                <w:sz w:val="21"/>
                <w:szCs w:val="21"/>
              </w:rPr>
            </w:pPr>
            <w:r>
              <w:rPr>
                <w:sz w:val="21"/>
                <w:szCs w:val="21"/>
              </w:rPr>
              <w:t>Q-Spatial++</w:t>
            </w:r>
          </w:p>
        </w:tc>
        <w:tc>
          <w:tcPr>
            <w:tcW w:w="954" w:type="pct"/>
          </w:tcPr>
          <w:p w14:paraId="76BF3CA1">
            <w:pPr>
              <w:pStyle w:val="27"/>
              <w:spacing w:line="360" w:lineRule="auto"/>
              <w:jc w:val="both"/>
              <w:rPr>
                <w:sz w:val="21"/>
                <w:szCs w:val="21"/>
              </w:rPr>
            </w:pPr>
            <w:r>
              <w:rPr>
                <w:rFonts w:hint="eastAsia"/>
                <w:sz w:val="21"/>
                <w:szCs w:val="21"/>
              </w:rPr>
              <w:t>镜像翻转问答对</w:t>
            </w:r>
          </w:p>
        </w:tc>
        <w:tc>
          <w:tcPr>
            <w:tcW w:w="1419" w:type="pct"/>
          </w:tcPr>
          <w:p w14:paraId="2185F0F7">
            <w:pPr>
              <w:pStyle w:val="27"/>
              <w:spacing w:line="360" w:lineRule="auto"/>
              <w:jc w:val="both"/>
              <w:rPr>
                <w:sz w:val="21"/>
                <w:szCs w:val="21"/>
              </w:rPr>
            </w:pPr>
            <w:r>
              <w:rPr>
                <w:rFonts w:hint="eastAsia"/>
                <w:sz w:val="21"/>
                <w:szCs w:val="21"/>
              </w:rPr>
              <w:t>较 SFT 提升超 30 个百分点</w:t>
            </w:r>
          </w:p>
        </w:tc>
      </w:tr>
      <w:tr w14:paraId="2DCABE56">
        <w:tblPrEx>
          <w:tblCellMar>
            <w:top w:w="0" w:type="dxa"/>
            <w:left w:w="108" w:type="dxa"/>
            <w:bottom w:w="0" w:type="dxa"/>
            <w:right w:w="108" w:type="dxa"/>
          </w:tblCellMar>
        </w:tblPrEx>
        <w:tc>
          <w:tcPr>
            <w:tcW w:w="628" w:type="pct"/>
          </w:tcPr>
          <w:p w14:paraId="2276A49E">
            <w:pPr>
              <w:pStyle w:val="27"/>
              <w:spacing w:line="360" w:lineRule="auto"/>
              <w:jc w:val="both"/>
              <w:rPr>
                <w:sz w:val="21"/>
                <w:szCs w:val="21"/>
              </w:rPr>
            </w:pPr>
            <w:r>
              <w:rPr>
                <w:sz w:val="21"/>
                <w:szCs w:val="21"/>
              </w:rPr>
              <w:t>Ground-R1</w:t>
            </w:r>
          </w:p>
        </w:tc>
        <w:tc>
          <w:tcPr>
            <w:tcW w:w="878" w:type="pct"/>
          </w:tcPr>
          <w:p w14:paraId="3C95FE9E">
            <w:pPr>
              <w:pStyle w:val="27"/>
              <w:spacing w:line="360" w:lineRule="auto"/>
              <w:jc w:val="both"/>
              <w:rPr>
                <w:sz w:val="21"/>
                <w:szCs w:val="21"/>
              </w:rPr>
            </w:pPr>
            <w:r>
              <w:rPr>
                <w:sz w:val="21"/>
                <w:szCs w:val="21"/>
              </w:rPr>
              <w:t>Qwen2.5-VL-7B</w:t>
            </w:r>
          </w:p>
        </w:tc>
        <w:tc>
          <w:tcPr>
            <w:tcW w:w="1119" w:type="pct"/>
          </w:tcPr>
          <w:p w14:paraId="25123E25">
            <w:pPr>
              <w:pStyle w:val="27"/>
              <w:spacing w:line="360" w:lineRule="auto"/>
              <w:jc w:val="both"/>
              <w:rPr>
                <w:sz w:val="21"/>
                <w:szCs w:val="21"/>
              </w:rPr>
            </w:pPr>
            <w:r>
              <w:rPr>
                <w:rFonts w:hint="eastAsia"/>
                <w:sz w:val="21"/>
                <w:szCs w:val="21"/>
              </w:rPr>
              <w:t>通用</w:t>
            </w:r>
            <w:r>
              <w:rPr>
                <w:sz w:val="21"/>
                <w:szCs w:val="21"/>
              </w:rPr>
              <w:t xml:space="preserve"> VQA </w:t>
            </w:r>
            <w:r>
              <w:rPr>
                <w:rFonts w:hint="eastAsia"/>
                <w:sz w:val="21"/>
                <w:szCs w:val="21"/>
              </w:rPr>
              <w:t>与空间问答</w:t>
            </w:r>
          </w:p>
        </w:tc>
        <w:tc>
          <w:tcPr>
            <w:tcW w:w="954" w:type="pct"/>
          </w:tcPr>
          <w:p w14:paraId="6155B63C">
            <w:pPr>
              <w:pStyle w:val="27"/>
              <w:spacing w:line="360" w:lineRule="auto"/>
              <w:jc w:val="both"/>
              <w:rPr>
                <w:sz w:val="21"/>
                <w:szCs w:val="21"/>
              </w:rPr>
            </w:pPr>
            <w:r>
              <w:rPr>
                <w:rFonts w:hint="eastAsia"/>
                <w:sz w:val="21"/>
                <w:szCs w:val="21"/>
              </w:rPr>
              <w:t>两阶段 rollout + 尺度分箱归一化</w:t>
            </w:r>
          </w:p>
        </w:tc>
        <w:tc>
          <w:tcPr>
            <w:tcW w:w="1419" w:type="pct"/>
          </w:tcPr>
          <w:p w14:paraId="303CF689">
            <w:pPr>
              <w:pStyle w:val="27"/>
              <w:spacing w:line="360" w:lineRule="auto"/>
              <w:jc w:val="both"/>
              <w:rPr>
                <w:sz w:val="21"/>
                <w:szCs w:val="21"/>
              </w:rPr>
            </w:pPr>
            <w:r>
              <w:rPr>
                <w:rFonts w:hint="eastAsia"/>
                <w:sz w:val="21"/>
                <w:szCs w:val="21"/>
              </w:rPr>
              <w:t>较标准 GRPO：V* +2.1、HR-4K +1.2 个百分点</w:t>
            </w:r>
          </w:p>
        </w:tc>
      </w:tr>
      <w:tr w14:paraId="30037705">
        <w:tblPrEx>
          <w:tblCellMar>
            <w:top w:w="0" w:type="dxa"/>
            <w:left w:w="108" w:type="dxa"/>
            <w:bottom w:w="0" w:type="dxa"/>
            <w:right w:w="108" w:type="dxa"/>
          </w:tblCellMar>
        </w:tblPrEx>
        <w:tc>
          <w:tcPr>
            <w:tcW w:w="628" w:type="pct"/>
          </w:tcPr>
          <w:p w14:paraId="55F4B78B">
            <w:pPr>
              <w:pStyle w:val="27"/>
              <w:spacing w:line="360" w:lineRule="auto"/>
              <w:jc w:val="both"/>
              <w:rPr>
                <w:sz w:val="21"/>
                <w:szCs w:val="21"/>
              </w:rPr>
            </w:pPr>
            <w:r>
              <w:rPr>
                <w:sz w:val="21"/>
                <w:szCs w:val="21"/>
              </w:rPr>
              <w:t>GRIT</w:t>
            </w:r>
          </w:p>
        </w:tc>
        <w:tc>
          <w:tcPr>
            <w:tcW w:w="878" w:type="pct"/>
          </w:tcPr>
          <w:p w14:paraId="28322238">
            <w:pPr>
              <w:pStyle w:val="27"/>
              <w:spacing w:line="360" w:lineRule="auto"/>
              <w:jc w:val="both"/>
              <w:rPr>
                <w:sz w:val="21"/>
                <w:szCs w:val="21"/>
              </w:rPr>
            </w:pPr>
            <w:r>
              <w:rPr>
                <w:sz w:val="21"/>
                <w:szCs w:val="21"/>
              </w:rPr>
              <w:t>Qwen2.5-VL-3B / InternVL3-2B</w:t>
            </w:r>
          </w:p>
        </w:tc>
        <w:tc>
          <w:tcPr>
            <w:tcW w:w="1119" w:type="pct"/>
          </w:tcPr>
          <w:p w14:paraId="2E932D38">
            <w:pPr>
              <w:pStyle w:val="27"/>
              <w:spacing w:line="360" w:lineRule="auto"/>
              <w:jc w:val="both"/>
              <w:rPr>
                <w:sz w:val="21"/>
                <w:szCs w:val="21"/>
              </w:rPr>
            </w:pPr>
            <w:r>
              <w:rPr>
                <w:rFonts w:hint="eastAsia"/>
                <w:sz w:val="21"/>
                <w:szCs w:val="21"/>
              </w:rPr>
              <w:t>通用</w:t>
            </w:r>
            <w:r>
              <w:rPr>
                <w:sz w:val="21"/>
                <w:szCs w:val="21"/>
              </w:rPr>
              <w:t xml:space="preserve"> VQA </w:t>
            </w:r>
            <w:r>
              <w:rPr>
                <w:rFonts w:hint="eastAsia"/>
                <w:sz w:val="21"/>
                <w:szCs w:val="21"/>
              </w:rPr>
              <w:t>与空间问答</w:t>
            </w:r>
          </w:p>
        </w:tc>
        <w:tc>
          <w:tcPr>
            <w:tcW w:w="954" w:type="pct"/>
          </w:tcPr>
          <w:p w14:paraId="26578634">
            <w:pPr>
              <w:pStyle w:val="27"/>
              <w:spacing w:line="360" w:lineRule="auto"/>
              <w:jc w:val="both"/>
              <w:rPr>
                <w:sz w:val="21"/>
                <w:szCs w:val="21"/>
              </w:rPr>
            </w:pPr>
            <w:r>
              <w:rPr>
                <w:rFonts w:hint="eastAsia"/>
                <w:sz w:val="21"/>
                <w:szCs w:val="21"/>
              </w:rPr>
              <w:t>bbox 坐标内嵌思维链（仅 20 个问答三元组）</w:t>
            </w:r>
          </w:p>
        </w:tc>
        <w:tc>
          <w:tcPr>
            <w:tcW w:w="1419" w:type="pct"/>
          </w:tcPr>
          <w:p w14:paraId="06C433CA">
            <w:pPr>
              <w:pStyle w:val="27"/>
              <w:spacing w:line="360" w:lineRule="auto"/>
              <w:jc w:val="both"/>
              <w:rPr>
                <w:sz w:val="21"/>
                <w:szCs w:val="21"/>
              </w:rPr>
            </w:pPr>
            <w:r>
              <w:rPr>
                <w:rFonts w:ascii="Times New Roman" w:eastAsia="宋体"/>
                <w:sz w:val="21"/>
                <w:szCs w:val="21"/>
              </w:rPr>
              <w:t>接地 IoU 0.349→0.387</w:t>
            </w:r>
          </w:p>
        </w:tc>
      </w:tr>
      <w:tr w14:paraId="46E9CC75">
        <w:tblPrEx>
          <w:tblCellMar>
            <w:top w:w="0" w:type="dxa"/>
            <w:left w:w="108" w:type="dxa"/>
            <w:bottom w:w="0" w:type="dxa"/>
            <w:right w:w="108" w:type="dxa"/>
          </w:tblCellMar>
        </w:tblPrEx>
        <w:tc>
          <w:tcPr>
            <w:tcW w:w="628" w:type="pct"/>
          </w:tcPr>
          <w:p w14:paraId="0FF9BBDC">
            <w:pPr>
              <w:pStyle w:val="27"/>
              <w:spacing w:line="360" w:lineRule="auto"/>
              <w:jc w:val="both"/>
              <w:rPr>
                <w:sz w:val="21"/>
                <w:szCs w:val="21"/>
              </w:rPr>
            </w:pPr>
            <w:r>
              <w:rPr>
                <w:sz w:val="21"/>
                <w:szCs w:val="21"/>
              </w:rPr>
              <w:t>POLIA</w:t>
            </w:r>
          </w:p>
        </w:tc>
        <w:tc>
          <w:tcPr>
            <w:tcW w:w="878" w:type="pct"/>
          </w:tcPr>
          <w:p w14:paraId="7AA88D82">
            <w:pPr>
              <w:pStyle w:val="27"/>
              <w:spacing w:line="360" w:lineRule="auto"/>
              <w:jc w:val="both"/>
              <w:rPr>
                <w:sz w:val="21"/>
                <w:szCs w:val="21"/>
              </w:rPr>
            </w:pPr>
            <w:r>
              <w:rPr>
                <w:sz w:val="21"/>
                <w:szCs w:val="21"/>
              </w:rPr>
              <w:t>Qwen2.5-VL-7B</w:t>
            </w:r>
          </w:p>
        </w:tc>
        <w:tc>
          <w:tcPr>
            <w:tcW w:w="1119" w:type="pct"/>
          </w:tcPr>
          <w:p w14:paraId="03FB9B51">
            <w:pPr>
              <w:pStyle w:val="27"/>
              <w:spacing w:line="360" w:lineRule="auto"/>
              <w:jc w:val="both"/>
              <w:rPr>
                <w:sz w:val="21"/>
                <w:szCs w:val="21"/>
              </w:rPr>
            </w:pPr>
            <w:r>
              <w:rPr>
                <w:sz w:val="21"/>
                <w:szCs w:val="21"/>
              </w:rPr>
              <w:t>VSR</w:t>
            </w:r>
          </w:p>
        </w:tc>
        <w:tc>
          <w:tcPr>
            <w:tcW w:w="954" w:type="pct"/>
          </w:tcPr>
          <w:p w14:paraId="2F49A2F9">
            <w:pPr>
              <w:pStyle w:val="27"/>
              <w:spacing w:line="360" w:lineRule="auto"/>
              <w:jc w:val="both"/>
              <w:rPr>
                <w:sz w:val="21"/>
                <w:szCs w:val="21"/>
              </w:rPr>
            </w:pPr>
            <w:r>
              <w:rPr>
                <w:rFonts w:hint="eastAsia"/>
                <w:sz w:val="21"/>
                <w:szCs w:val="21"/>
              </w:rPr>
              <w:t>双层优势</w:t>
            </w:r>
            <w:r>
              <w:rPr>
                <w:sz w:val="21"/>
                <w:szCs w:val="21"/>
              </w:rPr>
              <w:t xml:space="preserve"> </w:t>
            </w:r>
            <m:oMath>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ext</m:t>
                  </m:r>
                  <m:ctrlPr>
                    <w:rPr>
                      <w:rFonts w:ascii="Cambria Math" w:hAnsi="Cambria Math"/>
                      <w:sz w:val="21"/>
                      <w:szCs w:val="21"/>
                    </w:rPr>
                  </m:ctrlPr>
                </m:sub>
              </m:sSub>
              <m:r>
                <m:rPr/>
                <w:rPr>
                  <w:rFonts w:hint="default" w:ascii="Cambria Math" w:hAnsi="Cambria Math"/>
                  <w:sz w:val="21"/>
                  <w:szCs w:val="21"/>
                </w:rPr>
                <m:t>+ω</m:t>
              </m:r>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int</m:t>
                  </m:r>
                  <m:ctrlPr>
                    <w:rPr>
                      <w:rFonts w:ascii="Cambria Math" w:hAnsi="Cambria Math"/>
                      <w:sz w:val="21"/>
                      <w:szCs w:val="21"/>
                    </w:rPr>
                  </m:ctrlPr>
                </m:sub>
              </m:sSub>
            </m:oMath>
          </w:p>
        </w:tc>
        <w:tc>
          <w:tcPr>
            <w:tcW w:w="1419" w:type="pct"/>
          </w:tcPr>
          <w:p w14:paraId="36FDEFEB">
            <w:pPr>
              <w:pStyle w:val="27"/>
              <w:spacing w:line="360" w:lineRule="auto"/>
              <w:jc w:val="both"/>
              <w:rPr>
                <w:sz w:val="21"/>
                <w:szCs w:val="21"/>
              </w:rPr>
            </w:pPr>
            <w:r>
              <w:rPr>
                <w:sz w:val="21"/>
                <w:szCs w:val="21"/>
              </w:rPr>
              <w:t>GRPO 基线 59.0→81.3</w:t>
            </w:r>
          </w:p>
        </w:tc>
      </w:tr>
      <w:tr w14:paraId="7391E999">
        <w:tblPrEx>
          <w:tblCellMar>
            <w:top w:w="0" w:type="dxa"/>
            <w:left w:w="108" w:type="dxa"/>
            <w:bottom w:w="0" w:type="dxa"/>
            <w:right w:w="108" w:type="dxa"/>
          </w:tblCellMar>
        </w:tblPrEx>
        <w:tc>
          <w:tcPr>
            <w:tcW w:w="628" w:type="pct"/>
          </w:tcPr>
          <w:p w14:paraId="1255864A">
            <w:pPr>
              <w:pStyle w:val="27"/>
              <w:spacing w:line="360" w:lineRule="auto"/>
              <w:jc w:val="both"/>
              <w:rPr>
                <w:sz w:val="21"/>
                <w:szCs w:val="21"/>
              </w:rPr>
            </w:pPr>
            <w:r>
              <w:rPr>
                <w:sz w:val="21"/>
                <w:szCs w:val="21"/>
              </w:rPr>
              <w:t>Self-Questioning</w:t>
            </w:r>
          </w:p>
        </w:tc>
        <w:tc>
          <w:tcPr>
            <w:tcW w:w="878" w:type="pct"/>
          </w:tcPr>
          <w:p w14:paraId="760D79EE">
            <w:pPr>
              <w:pStyle w:val="27"/>
              <w:spacing w:line="360" w:lineRule="auto"/>
              <w:jc w:val="both"/>
              <w:rPr>
                <w:sz w:val="21"/>
                <w:szCs w:val="21"/>
              </w:rPr>
            </w:pPr>
            <w:r>
              <w:rPr>
                <w:sz w:val="21"/>
                <w:szCs w:val="21"/>
              </w:rPr>
              <w:t>Qwen2.5-VL-3B</w:t>
            </w:r>
          </w:p>
        </w:tc>
        <w:tc>
          <w:tcPr>
            <w:tcW w:w="1119" w:type="pct"/>
          </w:tcPr>
          <w:p w14:paraId="594353B0">
            <w:pPr>
              <w:pStyle w:val="27"/>
              <w:spacing w:line="360" w:lineRule="auto"/>
              <w:jc w:val="both"/>
              <w:rPr>
                <w:sz w:val="21"/>
                <w:szCs w:val="21"/>
              </w:rPr>
            </w:pPr>
            <w:r>
              <w:rPr>
                <w:sz w:val="21"/>
                <w:szCs w:val="21"/>
              </w:rPr>
              <w:t>A-OKVQA</w:t>
            </w:r>
          </w:p>
        </w:tc>
        <w:tc>
          <w:tcPr>
            <w:tcW w:w="954" w:type="pct"/>
          </w:tcPr>
          <w:p w14:paraId="7E0B9060">
            <w:pPr>
              <w:pStyle w:val="27"/>
              <w:spacing w:line="360" w:lineRule="auto"/>
              <w:jc w:val="both"/>
              <w:rPr>
                <w:sz w:val="21"/>
                <w:szCs w:val="21"/>
              </w:rPr>
            </w:pPr>
            <w:r>
              <w:rPr>
                <w:rFonts w:hint="eastAsia"/>
                <w:sz w:val="21"/>
                <w:szCs w:val="21"/>
              </w:rPr>
              <w:t>子问题质量刻意不检查</w:t>
            </w:r>
          </w:p>
        </w:tc>
        <w:tc>
          <w:tcPr>
            <w:tcW w:w="1419" w:type="pct"/>
          </w:tcPr>
          <w:p w14:paraId="1CAEA8E4">
            <w:pPr>
              <w:pStyle w:val="27"/>
              <w:spacing w:line="360" w:lineRule="auto"/>
              <w:jc w:val="both"/>
              <w:rPr>
                <w:sz w:val="21"/>
                <w:szCs w:val="21"/>
              </w:rPr>
            </w:pPr>
            <w:r>
              <w:rPr>
                <w:sz w:val="21"/>
                <w:szCs w:val="21"/>
              </w:rPr>
              <w:t>52.2（基座 46.8 / 标准 RL 51.6）</w:t>
            </w:r>
          </w:p>
        </w:tc>
      </w:tr>
      <w:tr w14:paraId="4FBF9381">
        <w:tblPrEx>
          <w:tblCellMar>
            <w:top w:w="0" w:type="dxa"/>
            <w:left w:w="108" w:type="dxa"/>
            <w:bottom w:w="0" w:type="dxa"/>
            <w:right w:w="108" w:type="dxa"/>
          </w:tblCellMar>
        </w:tblPrEx>
        <w:tc>
          <w:tcPr>
            <w:tcW w:w="628" w:type="pct"/>
          </w:tcPr>
          <w:p w14:paraId="3FBB8A51">
            <w:pPr>
              <w:pStyle w:val="27"/>
              <w:spacing w:line="360" w:lineRule="auto"/>
              <w:jc w:val="both"/>
              <w:rPr>
                <w:sz w:val="21"/>
                <w:szCs w:val="21"/>
              </w:rPr>
            </w:pPr>
            <w:r>
              <w:rPr>
                <w:sz w:val="21"/>
                <w:szCs w:val="21"/>
              </w:rPr>
              <w:t>H-GRPO</w:t>
            </w:r>
          </w:p>
        </w:tc>
        <w:tc>
          <w:tcPr>
            <w:tcW w:w="878" w:type="pct"/>
          </w:tcPr>
          <w:p w14:paraId="18B62975">
            <w:pPr>
              <w:pStyle w:val="27"/>
              <w:spacing w:line="360" w:lineRule="auto"/>
              <w:jc w:val="both"/>
              <w:rPr>
                <w:sz w:val="21"/>
                <w:szCs w:val="21"/>
              </w:rPr>
            </w:pPr>
            <w:r>
              <w:rPr>
                <w:sz w:val="21"/>
                <w:szCs w:val="21"/>
              </w:rPr>
              <w:t>SmolVLM-2.2B / Qwen2.5-VL-3B</w:t>
            </w:r>
          </w:p>
        </w:tc>
        <w:tc>
          <w:tcPr>
            <w:tcW w:w="1119" w:type="pct"/>
          </w:tcPr>
          <w:p w14:paraId="5501367C">
            <w:pPr>
              <w:pStyle w:val="27"/>
              <w:spacing w:line="360" w:lineRule="auto"/>
              <w:jc w:val="both"/>
              <w:rPr>
                <w:sz w:val="21"/>
                <w:szCs w:val="21"/>
              </w:rPr>
            </w:pPr>
            <w:r>
              <w:rPr>
                <w:sz w:val="21"/>
                <w:szCs w:val="21"/>
              </w:rPr>
              <w:t xml:space="preserve">A-OKVQA </w:t>
            </w:r>
            <w:r>
              <w:rPr>
                <w:rFonts w:hint="eastAsia"/>
                <w:sz w:val="21"/>
                <w:szCs w:val="21"/>
              </w:rPr>
              <w:t>与自建</w:t>
            </w:r>
            <w:r>
              <w:rPr>
                <w:sz w:val="21"/>
                <w:szCs w:val="21"/>
              </w:rPr>
              <w:t xml:space="preserve"> OOD </w:t>
            </w:r>
            <w:r>
              <w:rPr>
                <w:rFonts w:hint="eastAsia"/>
                <w:sz w:val="21"/>
                <w:szCs w:val="21"/>
              </w:rPr>
              <w:t>基准</w:t>
            </w:r>
          </w:p>
        </w:tc>
        <w:tc>
          <w:tcPr>
            <w:tcW w:w="954" w:type="pct"/>
          </w:tcPr>
          <w:p w14:paraId="1F6133CA">
            <w:pPr>
              <w:pStyle w:val="27"/>
              <w:spacing w:line="360" w:lineRule="auto"/>
              <w:jc w:val="both"/>
              <w:rPr>
                <w:sz w:val="21"/>
                <w:szCs w:val="21"/>
              </w:rPr>
            </w:pPr>
            <w:r>
              <w:rPr>
                <w:rFonts w:hint="eastAsia"/>
                <w:sz w:val="21"/>
                <w:szCs w:val="21"/>
              </w:rPr>
              <w:t>三元组序列（子问题/子答案/证据框）匹配</w:t>
            </w:r>
          </w:p>
        </w:tc>
        <w:tc>
          <w:tcPr>
            <w:tcW w:w="1419" w:type="pct"/>
          </w:tcPr>
          <w:p w14:paraId="6F0C8E64">
            <w:pPr>
              <w:pStyle w:val="27"/>
              <w:spacing w:line="360" w:lineRule="auto"/>
              <w:jc w:val="both"/>
              <w:rPr>
                <w:sz w:val="21"/>
                <w:szCs w:val="21"/>
              </w:rPr>
            </w:pPr>
            <w:r>
              <w:rPr>
                <w:sz w:val="21"/>
                <w:szCs w:val="21"/>
              </w:rPr>
              <w:t>SmolVLM-2.2B A-OKVQA 73.4%</w:t>
            </w:r>
          </w:p>
        </w:tc>
      </w:tr>
    </w:tbl>
    <w:p w14:paraId="5EA66AB5">
      <w:pPr>
        <w:pStyle w:val="3"/>
        <w:spacing w:line="360" w:lineRule="auto"/>
        <w:jc w:val="both"/>
      </w:pPr>
      <w:r>
        <w:rPr>
          <w:rFonts w:hint="eastAsia"/>
          <w:color w:val="000000"/>
        </w:rPr>
        <w:t>注：表中数值均为论文报告值；“提升”“超出”均指绝对百分点；GIoU 为接地 IoU。各方法基座、训练数据与评测协议不同，数值不可直接横向比较（见 4.3 节）。</w:t>
      </w:r>
    </w:p>
    <w:p w14:paraId="7778623B">
      <w:pPr>
        <w:pStyle w:val="50"/>
        <w:spacing w:line="360" w:lineRule="auto"/>
        <w:jc w:val="both"/>
      </w:pPr>
      <w:r>
        <w:drawing>
          <wp:inline distT="0" distB="0" distL="114300" distR="114300">
            <wp:extent cx="5334000" cy="2858135"/>
            <wp:effectExtent l="0" t="0" r="0" b="8890"/>
            <wp:docPr id="18" name="Picture" descr="图 1：奖励信号设计空间演化示意图（草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图 1：奖励信号设计空间演化示意图（草稿）"/>
                    <pic:cNvPicPr>
                      <a:picLocks noChangeAspect="1" noChangeArrowheads="1"/>
                    </pic:cNvPicPr>
                  </pic:nvPicPr>
                  <pic:blipFill>
                    <a:blip r:embed="rId7"/>
                    <a:stretch>
                      <a:fillRect/>
                    </a:stretch>
                  </pic:blipFill>
                  <pic:spPr>
                    <a:xfrm>
                      <a:off x="0" y="0"/>
                      <a:ext cx="5334000" cy="2858476"/>
                    </a:xfrm>
                    <a:prstGeom prst="rect">
                      <a:avLst/>
                    </a:prstGeom>
                    <a:noFill/>
                    <a:ln w="9525">
                      <a:noFill/>
                    </a:ln>
                  </pic:spPr>
                </pic:pic>
              </a:graphicData>
            </a:graphic>
          </wp:inline>
        </w:drawing>
      </w:r>
    </w:p>
    <w:p w14:paraId="605D6AE4">
      <w:pPr>
        <w:pStyle w:val="48"/>
        <w:spacing w:line="360" w:lineRule="auto"/>
        <w:jc w:val="center"/>
        <w:rPr>
          <w:i w:val="0"/>
          <w:iCs/>
          <w:sz w:val="21"/>
          <w:szCs w:val="21"/>
        </w:rPr>
      </w:pPr>
      <w:r>
        <w:rPr>
          <w:rFonts w:hint="eastAsia"/>
          <w:i w:val="0"/>
          <w:iCs/>
          <w:sz w:val="21"/>
          <w:szCs w:val="21"/>
        </w:rPr>
        <w:t>图</w:t>
      </w:r>
      <w:r>
        <w:rPr>
          <w:i w:val="0"/>
          <w:iCs/>
          <w:sz w:val="21"/>
          <w:szCs w:val="21"/>
        </w:rPr>
        <w:t xml:space="preserve"> </w:t>
      </w:r>
      <w:r>
        <w:rPr>
          <w:rFonts w:hint="eastAsia"/>
          <w:i w:val="0"/>
          <w:iCs/>
          <w:sz w:val="21"/>
          <w:szCs w:val="21"/>
        </w:rPr>
        <w:t>1：奖励信号设计空间演化示意图</w:t>
      </w:r>
    </w:p>
    <w:bookmarkEnd w:id="5"/>
    <w:bookmarkEnd w:id="9"/>
    <w:p w14:paraId="7ADA9799">
      <w:pPr>
        <w:pStyle w:val="4"/>
        <w:spacing w:line="360" w:lineRule="auto"/>
        <w:jc w:val="both"/>
        <w:rPr>
          <w:rFonts w:eastAsia="宋体"/>
        </w:rPr>
      </w:pPr>
      <w:bookmarkStart w:id="10" w:name="discussion"/>
      <w:r>
        <w:rPr>
          <w:rFonts w:ascii="Times New Roman" w:hAnsi="Times New Roman" w:eastAsia="宋体"/>
        </w:rPr>
        <w:t xml:space="preserve">4. </w:t>
      </w:r>
      <w:r>
        <w:rPr>
          <w:rFonts w:hint="eastAsia" w:ascii="Times New Roman" w:hAnsi="Times New Roman" w:eastAsia="宋体"/>
        </w:rPr>
        <w:t>探讨</w:t>
      </w:r>
      <w:r>
        <w:rPr>
          <w:rStyle w:val="24"/>
          <w:rFonts w:eastAsia="宋体"/>
          <w:sz w:val="32"/>
          <w:szCs w:val="32"/>
        </w:rPr>
        <w:commentReference w:id="21"/>
      </w:r>
    </w:p>
    <w:p w14:paraId="2EF6C291">
      <w:pPr>
        <w:pStyle w:val="5"/>
        <w:spacing w:line="360" w:lineRule="auto"/>
        <w:jc w:val="both"/>
      </w:pPr>
      <w:bookmarkStart w:id="11" w:name="奖励信号连续谱"/>
      <w:r>
        <w:rPr>
          <w:rFonts w:eastAsia="宋体"/>
        </w:rPr>
        <w:t xml:space="preserve">4.1 </w:t>
      </w:r>
      <w:r>
        <w:rPr>
          <w:rFonts w:hint="eastAsia" w:eastAsia="宋体"/>
        </w:rPr>
        <w:t>奖励信号连续谱</w:t>
      </w:r>
    </w:p>
    <w:p w14:paraId="4B93036D">
      <w:pPr>
        <w:pStyle w:val="26"/>
        <w:spacing w:line="360" w:lineRule="auto"/>
        <w:ind w:firstLine="480" w:firstLineChars="200"/>
        <w:jc w:val="both"/>
      </w:pPr>
      <w:r>
        <w:rPr>
          <w:rFonts w:hint="eastAsia"/>
          <w:color w:val="000000"/>
        </w:rPr>
        <w:t>3.4 节的三分法在描述上是方便的，但表 3 的粒度刻度揭示了一个更本质的事实：三类方法并非离散的类别，而</w:t>
      </w:r>
      <w:bookmarkStart w:id="17" w:name="_GoBack"/>
      <w:bookmarkEnd w:id="17"/>
      <w:r>
        <w:rPr>
          <w:rFonts w:hint="eastAsia"/>
          <w:color w:val="000000"/>
        </w:rPr>
        <w:t>是同一奖励设计空间中的连续谱。这一判断有数学层面的支撑：如 2.2 节所述，在 token 级策略梯度与单次更新的设定下，标准 GRPO 与 PRM-aware 目标等价 [11]，结果奖励本就在隐式地做过程级信用分配。方法层面同样呈现连续的混合形态：H-GRPO 同时包含结果验证与过程匹配两种信号，POLIA 的外在优势与内在优势同处一个损失函数，SVQA-R1 的一致性惩罚则介于验证器与自监督对齐之间。所谓“演进”并非时间上的先后淘汰，而是奖励设计空间的维度扩展：推理展开维度上自答案级（CR³）经结构级（SpatialThinker）延伸至步骤级（H-GRPO），视觉锚定维度上自区域级（Ground-R1）细化至物体级（POLIA）；两个维度相互独立、不可直接比较，各刻度至今仍在并行发展。</w:t>
      </w:r>
    </w:p>
    <w:bookmarkEnd w:id="11"/>
    <w:p w14:paraId="61F742C3">
      <w:pPr>
        <w:pStyle w:val="5"/>
        <w:spacing w:line="360" w:lineRule="auto"/>
        <w:jc w:val="both"/>
      </w:pPr>
      <w:bookmarkStart w:id="12" w:name="组合正确性正变得可验证"/>
      <w:r>
        <w:rPr>
          <w:rFonts w:eastAsia="宋体"/>
        </w:rPr>
        <w:t xml:space="preserve">4.2 </w:t>
      </w:r>
      <w:r>
        <w:rPr>
          <w:rFonts w:hint="eastAsia" w:eastAsia="宋体"/>
        </w:rPr>
        <w:t>组合正确性正变得可验证</w:t>
      </w:r>
    </w:p>
    <w:p w14:paraId="65C92EB2">
      <w:pPr>
        <w:pStyle w:val="26"/>
        <w:spacing w:line="360" w:lineRule="auto"/>
        <w:ind w:firstLine="480" w:firstLineChars="200"/>
        <w:jc w:val="both"/>
      </w:pPr>
      <w:r>
        <w:rPr>
          <w:rFonts w:hint="eastAsia"/>
          <w:color w:val="000000"/>
        </w:rPr>
        <w:t>本文 3.1 的验证器方法都建立在“正确性可定义”的前提上，而这一前提正被评测基准的构建方式不断加固。MM-CondChain [21] 展示了组合推理正确性程序化验证的完整范式：用可执行程序把多层组合条件构造出来并机械验证；其 975 道题由程序化管线生成并机械验证，评分全可复现，最强模型也仅得 53.33 分（Path F1），说明深度组合推理的可验证评测不仅是可能的，且当前模型远未饱和。但程序化验证的是逻辑层的一致性，自然图像域的感知事实仍依赖 MLLM 提取；当 MLLM 感知能力不足时，提取出的“视觉事实”本身带噪声，以它为输入的验证器只会放大噪声。这恰好划定了可验证奖励的适用半径：当正确性可分解为离散逻辑结构时，奖励可以完全规则化；当绑定依赖开放感知判断时，只能回到人工标注或自监督的近似。</w:t>
      </w:r>
    </w:p>
    <w:bookmarkEnd w:id="12"/>
    <w:p w14:paraId="7211462B">
      <w:pPr>
        <w:pStyle w:val="5"/>
        <w:spacing w:line="360" w:lineRule="auto"/>
        <w:jc w:val="both"/>
      </w:pPr>
      <w:bookmarkStart w:id="13" w:name="基准碎片化与-swap-试金石"/>
      <w:r>
        <w:rPr>
          <w:rFonts w:eastAsia="宋体"/>
        </w:rPr>
        <w:t xml:space="preserve">4.3 </w:t>
      </w:r>
      <w:r>
        <w:rPr>
          <w:rFonts w:hint="eastAsia" w:eastAsia="宋体"/>
        </w:rPr>
        <w:t>基准碎片化与</w:t>
      </w:r>
      <w:r>
        <w:rPr>
          <w:rFonts w:eastAsia="宋体"/>
        </w:rPr>
        <w:t xml:space="preserve"> Swap </w:t>
      </w:r>
      <w:r>
        <w:rPr>
          <w:rFonts w:hint="eastAsia" w:eastAsia="宋体"/>
        </w:rPr>
        <w:t>试金石</w:t>
      </w:r>
    </w:p>
    <w:p w14:paraId="1BBDC1DB">
      <w:pPr>
        <w:pStyle w:val="26"/>
        <w:spacing w:line="360" w:lineRule="auto"/>
        <w:ind w:firstLine="480" w:firstLineChars="200"/>
        <w:jc w:val="both"/>
      </w:pPr>
      <w:r>
        <w:rPr>
          <w:rFonts w:hint="eastAsia"/>
          <w:color w:val="000000"/>
        </w:rPr>
        <w:t>三类方法在评测上各行其是：CR³ 报告 MMVP、Winoground、Cola，SpatialThinker 横跨 14 个基准，SVQA-R1 聚焦 Q-Spatial++，Ground-R1 在通用与高分辨率基准上验证，POLIA 主要在通用 VQA 与空间问答上验证，H-GRPO 则依赖 A-OKVQA 与自建 OOD 基准，任何两篇方法论文的结果都难以直接横向比较。现有共识恰好指向一个可作统一试金石的子任务：SugarCrepe 的 Swap，即交换两个同类别概念而不引入新概念，是最纯粹的绑定测试</w:t>
      </w:r>
      <w:r>
        <w:rPr>
          <w:rFonts w:hint="eastAsia"/>
          <w:color w:val="000000"/>
          <w:lang w:val="en-US" w:eastAsia="zh-CN"/>
        </w:rPr>
        <w:t xml:space="preserve"> </w:t>
      </w:r>
      <w:r>
        <w:rPr>
          <w:rFonts w:hint="eastAsia"/>
          <w:color w:val="000000"/>
        </w:rPr>
        <w:t>[3]。Swap 不依赖场景图标注、判别性强且与 RL 训练接口简单（规则可判定），因此建议直接采用 SugarCrepe 官方 Swap 子集作为统一附加基准。</w:t>
      </w:r>
    </w:p>
    <w:bookmarkEnd w:id="13"/>
    <w:p w14:paraId="59C2A721">
      <w:pPr>
        <w:pStyle w:val="5"/>
        <w:spacing w:line="360" w:lineRule="auto"/>
        <w:jc w:val="both"/>
      </w:pPr>
      <w:bookmarkStart w:id="14" w:name="开放问题"/>
      <w:r>
        <w:rPr>
          <w:rFonts w:eastAsia="宋体"/>
        </w:rPr>
        <w:t xml:space="preserve">4.4 </w:t>
      </w:r>
      <w:r>
        <w:rPr>
          <w:rFonts w:hint="eastAsia" w:eastAsia="宋体"/>
        </w:rPr>
        <w:t>开放问题</w:t>
      </w:r>
    </w:p>
    <w:p w14:paraId="1B927C26">
      <w:pPr>
        <w:pStyle w:val="26"/>
        <w:spacing w:line="360" w:lineRule="auto"/>
        <w:ind w:firstLine="480" w:firstLineChars="200"/>
        <w:jc w:val="both"/>
      </w:pPr>
      <w:r>
        <w:rPr>
          <w:rFonts w:hint="eastAsia"/>
          <w:color w:val="000000"/>
        </w:rPr>
        <w:t>三个开放问题贯穿全文。其一，文本偏置仍未根治：H-GRPO 的动机正是“忽略图像仅凭文本也能得分”的捷径 [20]，而结果验证方法无法区分“真的看了图”与“恰好蒙对”；视觉对齐奖励虽触及此点，但其评测多在通用 VQA 上，显式组合基准的覆盖仍然不足。其二，组合推理“无唯一答案”与“可验证奖励”存在结构性冲突：验证器只能验证可结构化的侧面，这一约束同时限制了三类方法的上限。其三，外部标注成本：SpatialThinker 依赖 7K 人工场景图标注，POLIA 需要数据集物体标注，Ground-R1 证明了无框监督的可行性，但代价是“看对地方”无法被直接验证。</w:t>
      </w:r>
    </w:p>
    <w:bookmarkEnd w:id="10"/>
    <w:bookmarkEnd w:id="14"/>
    <w:p w14:paraId="5DB18B81">
      <w:pPr>
        <w:pStyle w:val="4"/>
        <w:spacing w:line="360" w:lineRule="auto"/>
        <w:jc w:val="both"/>
        <w:rPr>
          <w:rFonts w:eastAsia="宋体"/>
        </w:rPr>
      </w:pPr>
      <w:bookmarkStart w:id="15" w:name="future-directions"/>
      <w:r>
        <w:rPr>
          <w:rFonts w:ascii="Times New Roman" w:hAnsi="Times New Roman" w:eastAsia="宋体"/>
        </w:rPr>
        <w:t xml:space="preserve">5. </w:t>
      </w:r>
      <w:r>
        <w:rPr>
          <w:rFonts w:hint="eastAsia" w:ascii="Times New Roman" w:hAnsi="Times New Roman" w:eastAsia="宋体"/>
        </w:rPr>
        <w:t>未来方向</w:t>
      </w:r>
    </w:p>
    <w:p w14:paraId="7F41BB8F">
      <w:pPr>
        <w:pStyle w:val="26"/>
        <w:spacing w:line="360" w:lineRule="auto"/>
        <w:ind w:firstLine="480" w:firstLineChars="200"/>
        <w:jc w:val="both"/>
      </w:pPr>
      <w:r>
        <w:rPr>
          <w:rFonts w:hint="eastAsia"/>
          <w:color w:val="000000"/>
        </w:rPr>
        <w:t>分解式可验证奖励。AlphaGRPO 的 DVReward 将复杂请求分解为原子化可验证子问题，再由通用 MLLM 逐项评估 [22]。这一思想对组合推理的直接启示是：将组合提示分解为可验证的子奖励（物体存在性、属性匹配、关系成立），使奖励沿组合结构逐项可判。当前 H-GRPO 的三元组匹配已具备雏形，但子奖励仍依赖参考链而非程序化判定；文本事实核查已有先例（FactScore 的原子事实分解 [23]），迁移到视觉绑定子奖励是自然延伸。</w:t>
      </w:r>
    </w:p>
    <w:p w14:paraId="0BD2590E">
      <w:pPr>
        <w:pStyle w:val="3"/>
        <w:spacing w:line="360" w:lineRule="auto"/>
        <w:ind w:firstLine="480" w:firstLineChars="200"/>
        <w:jc w:val="both"/>
      </w:pPr>
      <w:r>
        <w:rPr>
          <w:rFonts w:hint="eastAsia"/>
          <w:color w:val="000000"/>
        </w:rPr>
        <w:t>统一奖励框架。3.4 节显示三类信号已在方法层面互相渗透；下一步更系统的方向是显式加权融合，即结果验证保证正确性、视觉对齐约束证据、过程信号塑造推理结构，并以多模态 PRM [12] 为统一载体。但需审慎的是，多模态 PRM 主要面向数学推理，是否具备判断组合绑定正确性所需的感知与对齐能力尚待验证；因此“将组合绑定纳入多模态 PRM 的步骤定义”本身是一个尚待验证的前提，而非现成的解决方案。</w:t>
      </w:r>
    </w:p>
    <w:p w14:paraId="1FAF1580">
      <w:pPr>
        <w:pStyle w:val="3"/>
        <w:spacing w:line="360" w:lineRule="auto"/>
        <w:ind w:firstLine="480" w:firstLineChars="200"/>
        <w:jc w:val="both"/>
      </w:pPr>
      <w:r>
        <w:rPr>
          <w:rFonts w:hint="eastAsia"/>
          <w:color w:val="000000"/>
        </w:rPr>
        <w:t>评测协议标准化。承接 4.3，向 Swap 式纯绑定测试收敛：统一 Swap 评测协议、共享训练/测试划分，使不同奖励设计在同一试金石上可比；MM-CondChain 的程序化验证范式亦可为标准化提供基础设施 [21]。</w:t>
      </w:r>
    </w:p>
    <w:bookmarkEnd w:id="15"/>
    <w:p w14:paraId="1AD897CF">
      <w:pPr>
        <w:pStyle w:val="4"/>
        <w:spacing w:line="360" w:lineRule="auto"/>
        <w:jc w:val="both"/>
        <w:rPr>
          <w:rFonts w:eastAsia="宋体"/>
        </w:rPr>
      </w:pPr>
      <w:bookmarkStart w:id="16" w:name="conclusion"/>
      <w:r>
        <w:rPr>
          <w:rFonts w:ascii="Times New Roman" w:hAnsi="Times New Roman" w:eastAsia="宋体"/>
        </w:rPr>
        <w:t xml:space="preserve">6. </w:t>
      </w:r>
      <w:r>
        <w:rPr>
          <w:rFonts w:hint="eastAsia" w:ascii="Times New Roman" w:hAnsi="Times New Roman" w:eastAsia="宋体"/>
        </w:rPr>
        <w:t>结论</w:t>
      </w:r>
    </w:p>
    <w:p w14:paraId="02449E8B">
      <w:pPr>
        <w:pStyle w:val="26"/>
        <w:spacing w:line="360" w:lineRule="auto"/>
        <w:ind w:firstLine="480" w:firstLineChars="200"/>
        <w:jc w:val="both"/>
      </w:pPr>
      <w:r>
        <w:rPr>
          <w:rFonts w:hint="eastAsia"/>
          <w:color w:val="000000"/>
        </w:rPr>
        <w:t>本文以奖励信号为主线，梳理了 2024</w:t>
      </w:r>
      <w:r>
        <w:rPr>
          <w:rFonts w:hint="eastAsia"/>
          <w:color w:val="000000"/>
          <w:lang w:val="en-US" w:eastAsia="zh-CN"/>
        </w:rPr>
        <w:t xml:space="preserve"> ~ </w:t>
      </w:r>
      <w:r>
        <w:rPr>
          <w:rFonts w:hint="eastAsia"/>
          <w:color w:val="000000"/>
        </w:rPr>
        <w:t>2026 年间用强化学习增强 MLLM 组合推理的代表性工作。这些工作围绕“如何为组合推理定义有效奖励信号”这一共同问题，在粒度维度上形成结果验证、视觉对齐与推理过程优化三类互补探索，共同构成奖励信号设计空间中的连续谱（推理展开：答案级→结构级→步骤级；视觉锚定：区域级→物体级）。推动这一空间不断扩展的深层驱动力，是“正确性必须可定义”的约束；面向组合绑定的显式视觉语义奖励仍是当前最有前景、也最亟待填补的研究缺口，现有工作（POLIA）已推进到物体级，向属性-关系组合绑定的扩展尚未被系统探索。随着组合正确性评测走向程序化验证，奖励信号设计有望获得更坚实的地基，但感知事实的验证边界与基准碎片化问题决定了这一扩展仍将是渐进而非跳跃的过程。</w:t>
      </w:r>
    </w:p>
    <w:p w14:paraId="1D82F2C5">
      <w:pPr>
        <w:spacing w:line="360" w:lineRule="auto"/>
        <w:jc w:val="both"/>
      </w:pPr>
      <w:r>
        <w:pict>
          <v:rect id="_x0000_i1025" o:spt="1" style="height:1.5pt;width:0pt;" coordsize="21600,21600" o:hr="t" o:hrstd="t" o:hralign="center">
            <v:path/>
            <v:fill focussize="0,0"/>
            <v:stroke/>
            <v:imagedata o:title=""/>
            <o:lock v:ext="edit"/>
            <w10:wrap type="none"/>
            <w10:anchorlock/>
          </v:rect>
        </w:pict>
      </w:r>
    </w:p>
    <w:bookmarkEnd w:id="16"/>
    <w:p w14:paraId="43A832DB">
      <w:pPr>
        <w:pStyle w:val="4"/>
        <w:spacing w:line="360" w:lineRule="auto"/>
        <w:jc w:val="both"/>
      </w:pPr>
      <w:r>
        <w:rPr>
          <w:rFonts w:hint="eastAsia" w:ascii="Times New Roman" w:hAnsi="Times New Roman" w:eastAsia="宋体"/>
        </w:rPr>
        <w:t>参考文献</w:t>
      </w:r>
    </w:p>
    <w:p w14:paraId="26B3CA63">
      <w:pPr>
        <w:pStyle w:val="26"/>
        <w:spacing w:before="0" w:after="60" w:line="360" w:lineRule="auto"/>
        <w:ind w:left="480" w:hanging="480" w:hangingChars="200"/>
        <w:jc w:val="both"/>
      </w:pPr>
      <w:r>
        <w:t>[1] CREPE: Can Vision-Language Foundation Models Reason Compositionally? arXiv:2212.07796, CVPR 2023.</w:t>
      </w:r>
    </w:p>
    <w:p w14:paraId="5A67EEBC">
      <w:pPr>
        <w:pStyle w:val="3"/>
        <w:spacing w:before="0" w:after="60" w:line="360" w:lineRule="auto"/>
        <w:ind w:left="480" w:hanging="480" w:hangingChars="200"/>
        <w:jc w:val="both"/>
      </w:pPr>
      <w:r>
        <w:t>[2] When and Why Vision-Language Models Behave Like Bags-of-Words, and What to Do About It? arXiv:2210.01936, ICLR 2023.</w:t>
      </w:r>
    </w:p>
    <w:p w14:paraId="603E9A08">
      <w:pPr>
        <w:pStyle w:val="3"/>
        <w:spacing w:before="0" w:after="60" w:line="360" w:lineRule="auto"/>
        <w:ind w:left="480" w:hanging="480" w:hangingChars="200"/>
        <w:jc w:val="both"/>
      </w:pPr>
      <w:r>
        <w:t>[3] SugarCrepe: Fixing Hackable Benchmarks for Vision-Language Compositionality. arXiv:2306.14610, NeurIPS 2023.</w:t>
      </w:r>
    </w:p>
    <w:p w14:paraId="5CA808C9">
      <w:pPr>
        <w:pStyle w:val="3"/>
        <w:spacing w:before="0" w:after="60" w:line="360" w:lineRule="auto"/>
        <w:ind w:left="480" w:hanging="480" w:hangingChars="200"/>
        <w:jc w:val="both"/>
      </w:pPr>
      <w:r>
        <w:t>[4] CR³: Boosting Compositional Reasoning in MLLMs through Rule-based Reinforcement Learning. AAAI 2026, doi:10.1609/aaai.v40i29.39680.</w:t>
      </w:r>
    </w:p>
    <w:p w14:paraId="3565E5BB">
      <w:pPr>
        <w:pStyle w:val="3"/>
        <w:spacing w:before="0" w:after="60" w:line="360" w:lineRule="auto"/>
        <w:ind w:left="480" w:hanging="480" w:hangingChars="200"/>
        <w:jc w:val="both"/>
      </w:pPr>
      <w:r>
        <w:t>[5] VALSE: A Task-Independent Benchmark for Vision and Language Models Centered on Linguistic Phenomena. arXiv:2112.07566, ACL 2022.</w:t>
      </w:r>
    </w:p>
    <w:p w14:paraId="212B0131">
      <w:pPr>
        <w:pStyle w:val="3"/>
        <w:spacing w:before="0" w:after="60" w:line="360" w:lineRule="auto"/>
        <w:ind w:left="480" w:hanging="480" w:hangingChars="200"/>
        <w:jc w:val="both"/>
      </w:pPr>
      <w:r>
        <w:t>[6] Aligning Large Multimodal Models with Factually Augmented RLHF (LLaVA-RLHF). arXiv:2309.14525.</w:t>
      </w:r>
    </w:p>
    <w:p w14:paraId="09D96881">
      <w:pPr>
        <w:pStyle w:val="3"/>
        <w:spacing w:before="0" w:after="60" w:line="360" w:lineRule="auto"/>
        <w:ind w:left="480" w:hanging="480" w:hangingChars="200"/>
        <w:jc w:val="both"/>
      </w:pPr>
      <w:r>
        <w:t>[7] RLHF-V: Towards Trustworthy MLLMs via Behavior Alignment from Fine-grained Correctional Human Feedback. arXiv:2312.00849, CVPR 2024.</w:t>
      </w:r>
    </w:p>
    <w:p w14:paraId="748ADD13">
      <w:pPr>
        <w:pStyle w:val="3"/>
        <w:spacing w:before="0" w:after="60" w:line="360" w:lineRule="auto"/>
        <w:ind w:left="480" w:hanging="480" w:hangingChars="200"/>
        <w:jc w:val="both"/>
      </w:pPr>
      <w:r>
        <w:t>[8] Aligning Large Vision-Language Models with AI Feedback (Silkie). arXiv:2410.09421.</w:t>
      </w:r>
    </w:p>
    <w:p w14:paraId="0E50154C">
      <w:pPr>
        <w:pStyle w:val="3"/>
        <w:spacing w:before="0" w:after="60" w:line="360" w:lineRule="auto"/>
        <w:ind w:left="480" w:hanging="480" w:hangingChars="200"/>
        <w:jc w:val="both"/>
      </w:pPr>
      <w:r>
        <w:t>[9] DeepSeekMath: Pushing the Limits of Mathematical Reasoning in Open Language Models. arXiv:2402.03300.</w:t>
      </w:r>
    </w:p>
    <w:p w14:paraId="66383157">
      <w:pPr>
        <w:pStyle w:val="3"/>
        <w:spacing w:before="0" w:after="60" w:line="360" w:lineRule="auto"/>
        <w:ind w:left="480" w:hanging="480" w:hangingChars="200"/>
        <w:jc w:val="both"/>
      </w:pPr>
      <w:r>
        <w:rPr>
          <w:rFonts w:ascii="Times New Roman" w:eastAsia="宋体"/>
          <w:color w:val="000000"/>
        </w:rPr>
        <w:t>[10] Direct Preference Optimization: Your Language Model is Secretly a Reward Model. arXiv:2305.18290, NeurIPS 2023.</w:t>
      </w:r>
    </w:p>
    <w:p w14:paraId="314DAD99">
      <w:pPr>
        <w:pStyle w:val="3"/>
        <w:spacing w:before="0" w:after="60" w:line="360" w:lineRule="auto"/>
        <w:ind w:left="480" w:hanging="480" w:hangingChars="200"/>
        <w:jc w:val="both"/>
      </w:pPr>
      <w:r>
        <w:t>[11] GRPO is Secretly a Process Reward Model. arXiv:2509.21154, 2025.</w:t>
      </w:r>
    </w:p>
    <w:p w14:paraId="0C0987C6">
      <w:pPr>
        <w:pStyle w:val="3"/>
        <w:spacing w:before="0" w:after="60" w:line="360" w:lineRule="auto"/>
        <w:ind w:left="480" w:hanging="480" w:hangingChars="200"/>
        <w:jc w:val="both"/>
      </w:pPr>
      <w:r>
        <w:t>[12] VisualPRM: An Effective Process Reward Model for Multimodal Reasoning. arXiv:2503.10291, 2025.</w:t>
      </w:r>
    </w:p>
    <w:p w14:paraId="64AA6B74">
      <w:pPr>
        <w:pStyle w:val="3"/>
        <w:spacing w:before="0" w:after="60" w:line="360" w:lineRule="auto"/>
        <w:ind w:left="480" w:hanging="480" w:hangingChars="200"/>
        <w:jc w:val="both"/>
      </w:pPr>
      <w:r>
        <w:t>[13] SpatialThinker: Reinforcing Scene Graph-Grounded Spatial Reasoning via Dense Rewards. arXiv:2511.07403, NeurIPS 2025.</w:t>
      </w:r>
    </w:p>
    <w:p w14:paraId="78E927A4">
      <w:pPr>
        <w:pStyle w:val="3"/>
        <w:spacing w:before="0" w:after="60" w:line="360" w:lineRule="auto"/>
        <w:ind w:left="480" w:hanging="480" w:hangingChars="200"/>
        <w:jc w:val="both"/>
      </w:pPr>
      <w:r>
        <w:t>[14] SVQA-R1: Reinforcing Spatial Reasoning in MLLMs via View-Consistent Reward Optimization. arXiv:2506.01371, ICLR 2026.</w:t>
      </w:r>
    </w:p>
    <w:p w14:paraId="23A2AB00">
      <w:pPr>
        <w:pStyle w:val="3"/>
        <w:spacing w:before="0" w:after="60" w:line="360" w:lineRule="auto"/>
        <w:ind w:left="480" w:hanging="480" w:hangingChars="200"/>
        <w:jc w:val="both"/>
      </w:pPr>
      <w:r>
        <w:t>[15] Ground-R1: Thinking with Images via Scale Relative Policy Optimization. arXiv:2505.20272 (v3), 2026.</w:t>
      </w:r>
    </w:p>
    <w:p w14:paraId="3286F28C">
      <w:pPr>
        <w:pStyle w:val="3"/>
        <w:spacing w:before="0" w:after="60" w:line="360" w:lineRule="auto"/>
        <w:ind w:left="480" w:hanging="480" w:hangingChars="200"/>
        <w:jc w:val="both"/>
      </w:pPr>
      <w:r>
        <w:t>[16] GRIT: Teaching MLLMs to Think with Images. arXiv:2505.15879, 2025.</w:t>
      </w:r>
    </w:p>
    <w:p w14:paraId="7E13ACA3">
      <w:pPr>
        <w:pStyle w:val="3"/>
        <w:spacing w:before="0" w:after="60" w:line="360" w:lineRule="auto"/>
        <w:ind w:left="480" w:hanging="480" w:hangingChars="200"/>
        <w:jc w:val="both"/>
      </w:pPr>
      <w:r>
        <w:t>[17] POLIA: Policy Optimization with Visual-Object-Level Intrinsic Advantage for Multimodal Reasoning. ICML 2026.</w:t>
      </w:r>
    </w:p>
    <w:p w14:paraId="1923CFD9">
      <w:pPr>
        <w:pStyle w:val="3"/>
        <w:spacing w:before="0" w:after="60" w:line="360" w:lineRule="auto"/>
        <w:ind w:left="480" w:hanging="480" w:hangingChars="200"/>
        <w:jc w:val="both"/>
      </w:pPr>
      <w:r>
        <w:rPr>
          <w:rFonts w:ascii="Times New Roman" w:eastAsia="宋体"/>
          <w:color w:val="000000"/>
        </w:rPr>
        <w:t>[18] Do MLLMs Really See It: Reinforcing Visual Attention in Multimodal LLMs (SAYO). arXiv:2602.08241, 2026.</w:t>
      </w:r>
    </w:p>
    <w:p w14:paraId="5D62BED7">
      <w:pPr>
        <w:pStyle w:val="3"/>
        <w:spacing w:before="0" w:after="60" w:line="360" w:lineRule="auto"/>
        <w:ind w:left="480" w:hanging="480" w:hangingChars="200"/>
        <w:jc w:val="both"/>
      </w:pPr>
      <w:r>
        <w:rPr>
          <w:rFonts w:ascii="Times New Roman" w:eastAsia="宋体"/>
          <w:color w:val="000000"/>
        </w:rPr>
        <w:t>[19] Self-Questioning Vision-Language Models: Reinforcement Learning for Compositional Visual Reasoning. arXiv:2606.15651, 2026.</w:t>
      </w:r>
    </w:p>
    <w:p w14:paraId="30402C1A">
      <w:pPr>
        <w:pStyle w:val="3"/>
        <w:spacing w:before="0" w:after="60" w:line="360" w:lineRule="auto"/>
        <w:ind w:left="480" w:hanging="480" w:hangingChars="200"/>
        <w:jc w:val="both"/>
      </w:pPr>
      <w:r>
        <w:rPr>
          <w:rFonts w:ascii="Times New Roman" w:eastAsia="宋体"/>
          <w:color w:val="000000"/>
        </w:rPr>
        <w:t>[20] H-GRPO: Permutation-Invariant Reinforcement Learning for Grounded Visual Reasoning. arXiv:2606.29915, 2026.</w:t>
      </w:r>
    </w:p>
    <w:p w14:paraId="01604879">
      <w:pPr>
        <w:pStyle w:val="3"/>
        <w:spacing w:before="0" w:after="60" w:line="360" w:lineRule="auto"/>
        <w:ind w:left="480" w:hanging="480" w:hangingChars="200"/>
        <w:jc w:val="both"/>
      </w:pPr>
      <w:r>
        <w:rPr>
          <w:rFonts w:ascii="Times New Roman" w:eastAsia="宋体"/>
          <w:color w:val="000000"/>
        </w:rPr>
        <w:t>[21] MM-CondChain: A Programmatically Verified Benchmark for Visually Grounded Deep Compositional Reasoning. arXiv:2603.12266, 2026.</w:t>
      </w:r>
    </w:p>
    <w:p w14:paraId="65C909DE">
      <w:pPr>
        <w:pStyle w:val="3"/>
        <w:spacing w:before="0" w:after="60" w:line="360" w:lineRule="auto"/>
        <w:ind w:left="480" w:hanging="480" w:hangingChars="200"/>
        <w:jc w:val="both"/>
      </w:pPr>
      <w:r>
        <w:rPr>
          <w:rFonts w:ascii="Times New Roman" w:eastAsia="宋体"/>
          <w:color w:val="000000"/>
        </w:rPr>
        <w:t>[22] AlphaGRPO: Unlocking Self-Reflective Multimodal Generation in UMMs via Decompositional Verifiable Reward. arXiv:2605.12495, ICML 2026.</w:t>
      </w:r>
    </w:p>
    <w:p w14:paraId="4E9E492E">
      <w:pPr>
        <w:pStyle w:val="3"/>
        <w:spacing w:before="0" w:after="60" w:line="360" w:lineRule="auto"/>
        <w:ind w:left="480" w:hanging="480" w:hangingChars="200"/>
        <w:jc w:val="both"/>
      </w:pPr>
      <w:r>
        <w:rPr>
          <w:rFonts w:ascii="Times New Roman" w:eastAsia="宋体"/>
          <w:color w:val="000000"/>
        </w:rPr>
        <w:t>[23]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张老师" w:date="2026-08-14T13:53:00Z" w:initials="G">
    <w:p w14:paraId="07EA310E">
      <w:pPr>
        <w:pStyle w:val="13"/>
        <w:rPr>
          <w:rFonts w:hint="eastAsia"/>
        </w:rPr>
      </w:pPr>
      <w:r>
        <w:rPr>
          <w:rFonts w:hint="eastAsia"/>
        </w:rPr>
        <w:t>当前整体文章的篇幅是过长了，会议论文要求尽可能精简，不像毕业论文或期刊那样，英文整体字数通常在3000words左右，对应的中文字数建议是写到5000-7000字就可以了，因此需要对文章各部分的内容再描述的时候更加概括一些</w:t>
      </w:r>
    </w:p>
  </w:comment>
  <w:comment w:id="1" w:author="张老师" w:date="2026-08-14T13:56:00Z" w:initials="G">
    <w:p w14:paraId="09E70FCB">
      <w:pPr>
        <w:pStyle w:val="13"/>
        <w:rPr>
          <w:rFonts w:hint="eastAsia"/>
        </w:rPr>
      </w:pPr>
      <w:r>
        <w:rPr>
          <w:rFonts w:hint="eastAsia"/>
        </w:rPr>
        <w:t>摘要字数建议控制在250-350字中文之间，前面的背景意义用一句话带过即可，然后后面主要说本文做了什么发现了什么就可以，不用有太多详细的解释，比如对演进的一些解释等可以概括精简</w:t>
      </w:r>
    </w:p>
  </w:comment>
  <w:comment w:id="2" w:author="张老师" w:date="2026-08-14T13:58:00Z" w:initials="G">
    <w:p w14:paraId="6FF9C1B3">
      <w:pPr>
        <w:pStyle w:val="13"/>
        <w:rPr>
          <w:rFonts w:hint="eastAsia"/>
        </w:rPr>
      </w:pPr>
      <w:r>
        <w:rPr>
          <w:rFonts w:hint="eastAsia"/>
        </w:rPr>
        <w:t>全文尽量不要使用横线或者破折号来连接句子，可以换一种表达方式组织成连贯的句子</w:t>
      </w:r>
    </w:p>
  </w:comment>
  <w:comment w:id="3" w:author="张老师" w:date="2026-08-14T14:00:00Z" w:initials="G">
    <w:p w14:paraId="5622FC14">
      <w:pPr>
        <w:pStyle w:val="13"/>
        <w:rPr>
          <w:rFonts w:hint="eastAsia"/>
        </w:rPr>
      </w:pPr>
      <w:r>
        <w:rPr>
          <w:rFonts w:hint="eastAsia"/>
        </w:rPr>
        <w:t>第一章引言的字数通常在800-1000字左右；比如可以删减一些例子介绍像“给定“左边的橙子发霉了，右边的橙子是新鲜的”这样一句描述，模型必须准确地把“左边”与“发霉”、把“右边”与“新鲜”绑定到正确的对象上“</w:t>
      </w:r>
    </w:p>
  </w:comment>
  <w:comment w:id="4" w:author="张老师" w:date="2026-08-14T13:59:00Z" w:initials="G">
    <w:p w14:paraId="4BE3AD31">
      <w:pPr>
        <w:pStyle w:val="13"/>
        <w:rPr>
          <w:rFonts w:hint="eastAsia"/>
        </w:rPr>
      </w:pPr>
      <w:r>
        <w:rPr>
          <w:rFonts w:hint="eastAsia"/>
        </w:rPr>
        <w:t>当前全文一共引用了30篇参考文献，正常建议引用的数量是10-20篇即可，因此需要删减一些非必要的文献引用，同时调整删减正文对应引用的内容</w:t>
      </w:r>
    </w:p>
  </w:comment>
  <w:comment w:id="5" w:author="张老师" w:date="2026-08-14T14:01:00Z" w:initials="G">
    <w:p w14:paraId="4D211838">
      <w:pPr>
        <w:pStyle w:val="13"/>
      </w:pPr>
      <w:r>
        <w:rPr>
          <w:rFonts w:hint="eastAsia"/>
        </w:rPr>
        <w:t>对应这个问题</w:t>
      </w:r>
      <w:r>
        <w:t>5.参考文献数量有点多，主要是先前不太全面，做了一些补充，如果太多我可以删一些非必要或不完全切题仅用作补充和引入的</w:t>
      </w:r>
    </w:p>
  </w:comment>
  <w:comment w:id="6" w:author="张老师" w:date="2026-08-14T14:22:00Z" w:initials="G">
    <w:p w14:paraId="02901EE4">
      <w:pPr>
        <w:pStyle w:val="13"/>
      </w:pPr>
      <w:r>
        <w:rPr>
          <w:rFonts w:ascii="Cambria Math" w:hAnsi="Cambria Math" w:cs="Cambria Math"/>
        </w:rPr>
        <w:t>①</w:t>
      </w:r>
      <w:r>
        <w:t>在介绍当前的研究现状或者相关工作时，可以展开介绍一下其他研究做了什么，每篇文章大概两句话简单概括提出的方法得到的结果可以分析出什么，当前描述地较为概括——这个我没太理解，因为相关研究很多，第三部分主要讲，如果在引言中提到我不知道提哪些；</w:t>
      </w:r>
    </w:p>
  </w:comment>
  <w:comment w:id="7" w:author="张老师" w:date="2026-08-14T14:22:00Z" w:initials="G">
    <w:p w14:paraId="05066EB9">
      <w:pPr>
        <w:pStyle w:val="13"/>
        <w:rPr>
          <w:rFonts w:hint="eastAsia"/>
        </w:rPr>
      </w:pPr>
      <w:r>
        <w:rPr>
          <w:rFonts w:hint="eastAsia"/>
        </w:rPr>
        <w:t>这个建议主要指的是在你的引言中介绍背景的时候是可以通过引用介绍几个其他研究者做的工作辅助证明当前存在的一些问题或者研究空白，比如可以明确提到研究者xxx提出或者使用了xx模型，然后通过做了什么得出什么结果，然后发现了什么这样来介绍，当前没有太明确是哪些研究者做了什么直接说xxx证明了xxx会显得比较概括</w:t>
      </w:r>
    </w:p>
  </w:comment>
  <w:comment w:id="8" w:author="张老师" w:date="2026-08-14T14:03:00Z" w:initials="G">
    <w:p w14:paraId="2973CA84">
      <w:pPr>
        <w:pStyle w:val="13"/>
        <w:rPr>
          <w:rFonts w:hint="eastAsia"/>
        </w:rPr>
      </w:pPr>
      <w:r>
        <w:rPr>
          <w:rFonts w:hint="eastAsia"/>
        </w:rPr>
        <w:t>避免主观性表达 我，我们等，可以替换成本文，本综述</w:t>
      </w:r>
    </w:p>
  </w:comment>
  <w:comment w:id="9" w:author="张老师" w:date="2026-08-14T14:08:00Z" w:initials="G">
    <w:p w14:paraId="3DD76018">
      <w:pPr>
        <w:pStyle w:val="13"/>
        <w:rPr>
          <w:rFonts w:hint="eastAsia"/>
        </w:rPr>
      </w:pPr>
      <w:r>
        <w:rPr>
          <w:rFonts w:hint="eastAsia"/>
        </w:rPr>
        <w:t>不要在正文里出现1，2，3等表示，需要替换成首先，其次，然后或者第一，第二，第三等来代替</w:t>
      </w:r>
    </w:p>
  </w:comment>
  <w:comment w:id="10" w:author="张老师" w:date="2026-08-14T14:06:00Z" w:initials="G">
    <w:p w14:paraId="2A29AE9F">
      <w:pPr>
        <w:pStyle w:val="13"/>
        <w:rPr>
          <w:rFonts w:hint="eastAsia"/>
        </w:rPr>
      </w:pPr>
      <w:r>
        <w:t>将每个基准的描述压缩至一句话概括关键发现</w:t>
      </w:r>
      <w:r>
        <w:rPr>
          <w:rFonts w:hint="eastAsia"/>
        </w:rPr>
        <w:t>然后再说说</w:t>
      </w:r>
      <w:r>
        <w:t>与本文的直接关联</w:t>
      </w:r>
      <w:r>
        <w:rPr>
          <w:rFonts w:hint="eastAsia"/>
        </w:rPr>
        <w:t>就可以，因为下面有一个表格直观地进行展示，所以文字尽量避免出现重复性地介绍，只需要在表格的基础上简单描述分析即可</w:t>
      </w:r>
    </w:p>
  </w:comment>
  <w:comment w:id="11" w:author="张老师" w:date="2026-08-14T14:08:00Z" w:initials="G">
    <w:p w14:paraId="596C1904">
      <w:pPr>
        <w:pStyle w:val="13"/>
      </w:pPr>
      <w:r>
        <w:t>3.期刊投稿对ai率有要求吗？初稿放paperpass查了一下，aigc炸了</w:t>
      </w:r>
    </w:p>
  </w:comment>
  <w:comment w:id="12" w:author="张老师" w:date="2026-08-14T14:08:00Z" w:initials="G">
    <w:p w14:paraId="38D83161">
      <w:pPr>
        <w:pStyle w:val="13"/>
        <w:rPr>
          <w:rFonts w:hint="eastAsia"/>
        </w:rPr>
      </w:pPr>
      <w:r>
        <w:rPr>
          <w:rFonts w:hint="eastAsia"/>
        </w:rPr>
        <w:t>因为不同的网站检索ai率的检索方式都不同，同学只需要确保内容不是由ai撰写生成即可，包括后续翻译的过程中也不要借助ai翻译，对于ai率和重复率的检测等论文全部完成后再联系你的学管老师进行后续的工作即可，当前无需检测；且最后通常也只查英文版的重复率和ai率</w:t>
      </w:r>
    </w:p>
  </w:comment>
  <w:comment w:id="13" w:author="张老师" w:date="2026-08-14T14:13:00Z" w:initials="G">
    <w:p w14:paraId="6AC078CA">
      <w:pPr>
        <w:pStyle w:val="13"/>
      </w:pPr>
      <w:r>
        <w:rPr>
          <w:rFonts w:hint="eastAsia"/>
        </w:rPr>
        <w:t>可以</w:t>
      </w:r>
      <w:r>
        <w:t>将LLaVA-RLHF、RLHF-V、Silkie三项早期RLHF工作合并为一句话</w:t>
      </w:r>
      <w:r>
        <w:rPr>
          <w:rFonts w:hint="eastAsia"/>
        </w:rPr>
        <w:t>一起介绍</w:t>
      </w:r>
    </w:p>
  </w:comment>
  <w:comment w:id="14" w:author="张老师" w:date="2026-08-14T14:11:00Z" w:initials="G">
    <w:p w14:paraId="4EA9AF60">
      <w:pPr>
        <w:pStyle w:val="13"/>
      </w:pPr>
      <w:r>
        <w:t>1.参考文献pdf和一些杂七杂八的东西我放到https://github.com/xzy06/mllm-rl-survey了，不过价值不大</w:t>
      </w:r>
    </w:p>
  </w:comment>
  <w:comment w:id="15" w:author="张老师" w:date="2026-08-14T14:11:00Z" w:initials="G">
    <w:p w14:paraId="4EF2929B">
      <w:pPr>
        <w:pStyle w:val="13"/>
        <w:rPr>
          <w:rFonts w:hint="eastAsia"/>
        </w:rPr>
      </w:pPr>
      <w:r>
        <w:rPr>
          <w:rFonts w:hint="eastAsia"/>
        </w:rPr>
        <w:t>论文中不需要将文献的pdf等资料展示，因此上传github并不做要求，通常一些研究型论文上传代码结果实验环境等才需上传github公开</w:t>
      </w:r>
    </w:p>
  </w:comment>
  <w:comment w:id="16" w:author="张老师" w:date="2026-08-14T14:14:00Z" w:initials="G">
    <w:p w14:paraId="446D5A5E">
      <w:pPr>
        <w:pStyle w:val="13"/>
        <w:rPr>
          <w:rFonts w:hint="eastAsia"/>
        </w:rPr>
      </w:pPr>
      <w:r>
        <w:rPr>
          <w:rFonts w:hint="eastAsia"/>
        </w:rPr>
        <w:t>后面内容主要存在的问题都是对于文献的工作陈述介绍地过于详细，对于每篇文献工作可以</w:t>
      </w:r>
      <w:r>
        <w:t>保留核心公式（1</w:t>
      </w:r>
      <w:r>
        <w:rPr>
          <w:rFonts w:hint="eastAsia"/>
        </w:rPr>
        <w:t>个</w:t>
      </w:r>
      <w:r>
        <w:t>）</w:t>
      </w:r>
      <w:r>
        <w:rPr>
          <w:rFonts w:hint="eastAsia"/>
        </w:rPr>
        <w:t>也可以不展示公式</w:t>
      </w:r>
      <w:r>
        <w:t>、关键</w:t>
      </w:r>
      <w:r>
        <w:rPr>
          <w:rFonts w:hint="eastAsia"/>
        </w:rPr>
        <w:t>地结果</w:t>
      </w:r>
      <w:r>
        <w:t>数据（1-2个）和核心结论（1句</w:t>
      </w:r>
      <w:r>
        <w:rPr>
          <w:rFonts w:hint="eastAsia"/>
        </w:rPr>
        <w:t>话左右</w:t>
      </w:r>
      <w:r>
        <w:t>）</w:t>
      </w:r>
      <w:r>
        <w:rPr>
          <w:rFonts w:hint="eastAsia"/>
        </w:rPr>
        <w:t>就可以了，减少一些过多的背景铺垫和基础概念介绍，根据这些修改方式来改第三章的内容可以缩减很多字数</w:t>
      </w:r>
    </w:p>
  </w:comment>
  <w:comment w:id="17" w:author="张老师" w:date="2026-08-14T14:17:00Z" w:initials="G">
    <w:p w14:paraId="29C1A9F4">
      <w:pPr>
        <w:pStyle w:val="13"/>
      </w:pPr>
      <w:r>
        <w:t>4.文中数据和表格准确性还没有核对，先看看初稿大方向行不行</w:t>
      </w:r>
    </w:p>
  </w:comment>
  <w:comment w:id="18" w:author="张老师" w:date="2026-08-14T14:18:00Z" w:initials="G">
    <w:p w14:paraId="534663F0">
      <w:pPr>
        <w:pStyle w:val="13"/>
        <w:rPr>
          <w:rFonts w:hint="eastAsia"/>
        </w:rPr>
      </w:pPr>
      <w:r>
        <w:rPr>
          <w:rFonts w:hint="eastAsia"/>
        </w:rPr>
        <w:t>方向可以，对于表格的内容可以在对应的文献内容或资料核实是否正确，表格的标题注意只从表1 2 3开始标起就可以，不需要划分成表3A，表3B这样；</w:t>
      </w:r>
    </w:p>
  </w:comment>
  <w:comment w:id="19" w:author="张老师" w:date="2026-08-14T14:20:00Z" w:initials="G">
    <w:p w14:paraId="30B551B7">
      <w:pPr>
        <w:pStyle w:val="13"/>
      </w:pPr>
      <w:r>
        <w:rPr>
          <w:rFonts w:ascii="Cambria Math" w:hAnsi="Cambria Math" w:cs="Cambria Math"/>
        </w:rPr>
        <w:t>②</w:t>
      </w:r>
      <w:r>
        <w:t>表格引用对模型添加参考文献——这个在初稿中有点多，初稿是按方法分类，一目了然，不确定还要不要加</w:t>
      </w:r>
    </w:p>
  </w:comment>
  <w:comment w:id="20" w:author="张老师" w:date="2026-08-14T14:20:00Z" w:initials="G">
    <w:p w14:paraId="23B78C39">
      <w:pPr>
        <w:pStyle w:val="13"/>
        <w:rPr>
          <w:rFonts w:hint="eastAsia"/>
        </w:rPr>
      </w:pPr>
      <w:r>
        <w:rPr>
          <w:rFonts w:hint="eastAsia"/>
        </w:rPr>
        <w:t>可以不在表格中每个模型标注文献引用，但是在对应小节正文分析介绍表格的时候，一些对应的文字介绍建议标注文献引用</w:t>
      </w:r>
    </w:p>
  </w:comment>
  <w:comment w:id="21" w:author="张老师" w:date="2026-08-14T14:16:00Z" w:initials="G">
    <w:p w14:paraId="21A097D5">
      <w:pPr>
        <w:pStyle w:val="13"/>
      </w:pPr>
      <w:r>
        <w:rPr>
          <w:rFonts w:hint="eastAsia"/>
        </w:rPr>
        <w:t>对于讨论部分同理，只需要保留一些核心的建议，对于背景性的描述需要尽可能减少概括</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7EA310E" w15:done="1"/>
  <w15:commentEx w15:paraId="09E70FCB" w15:done="1"/>
  <w15:commentEx w15:paraId="6FF9C1B3" w15:done="1"/>
  <w15:commentEx w15:paraId="5622FC14" w15:done="1"/>
  <w15:commentEx w15:paraId="4BE3AD31" w15:done="0"/>
  <w15:commentEx w15:paraId="4D211838" w15:done="0" w15:paraIdParent="4BE3AD31"/>
  <w15:commentEx w15:paraId="02901EE4" w15:done="1"/>
  <w15:commentEx w15:paraId="05066EB9" w15:done="1" w15:paraIdParent="02901EE4"/>
  <w15:commentEx w15:paraId="2973CA84" w15:done="1"/>
  <w15:commentEx w15:paraId="3DD76018" w15:done="1"/>
  <w15:commentEx w15:paraId="2A29AE9F" w15:done="1"/>
  <w15:commentEx w15:paraId="596C1904" w15:done="1"/>
  <w15:commentEx w15:paraId="38D83161" w15:done="1" w15:paraIdParent="596C1904"/>
  <w15:commentEx w15:paraId="6AC078CA" w15:done="1"/>
  <w15:commentEx w15:paraId="4EA9AF60" w15:done="1"/>
  <w15:commentEx w15:paraId="4EF2929B" w15:done="1" w15:paraIdParent="4EA9AF60"/>
  <w15:commentEx w15:paraId="446D5A5E" w15:done="1"/>
  <w15:commentEx w15:paraId="29C1A9F4" w15:done="1"/>
  <w15:commentEx w15:paraId="534663F0" w15:done="1" w15:paraIdParent="29C1A9F4"/>
  <w15:commentEx w15:paraId="30B551B7" w15:done="1"/>
  <w15:commentEx w15:paraId="23B78C39" w15:done="1" w15:paraIdParent="30B551B7"/>
  <w15:commentEx w15:paraId="21A097D5"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张老师">
    <w15:presenceInfo w15:providerId="None" w15:userId="张老师"/>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9C6"/>
    <w:rsid w:val="001135D3"/>
    <w:rsid w:val="003279C6"/>
    <w:rsid w:val="00422193"/>
    <w:rsid w:val="005328BC"/>
    <w:rsid w:val="00A06B09"/>
    <w:rsid w:val="00A54951"/>
    <w:rsid w:val="00B83B9A"/>
    <w:rsid w:val="00EA1D72"/>
    <w:rsid w:val="051C39E9"/>
    <w:rsid w:val="05C313AC"/>
    <w:rsid w:val="07F27D26"/>
    <w:rsid w:val="0B963653"/>
    <w:rsid w:val="0E4F1A2E"/>
    <w:rsid w:val="16DA2B7A"/>
    <w:rsid w:val="1AEF1EA3"/>
    <w:rsid w:val="2B3B6E60"/>
    <w:rsid w:val="42B90F27"/>
    <w:rsid w:val="55FD0C16"/>
    <w:rsid w:val="58DE2AF2"/>
    <w:rsid w:val="59070080"/>
    <w:rsid w:val="5C092CAE"/>
    <w:rsid w:val="5CAD44AB"/>
    <w:rsid w:val="5CF40AB7"/>
    <w:rsid w:val="5F015635"/>
    <w:rsid w:val="60B66CA1"/>
    <w:rsid w:val="624C13D9"/>
    <w:rsid w:val="64A86918"/>
    <w:rsid w:val="656658CC"/>
    <w:rsid w:val="6B3709F5"/>
    <w:rsid w:val="6E396833"/>
    <w:rsid w:val="72D40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34"/>
    <w:qFormat/>
    <w:uiPriority w:val="9"/>
    <w:pPr>
      <w:keepNext/>
      <w:keepLines/>
      <w:spacing w:before="360" w:after="80"/>
      <w:outlineLvl w:val="0"/>
    </w:pPr>
    <w:rPr>
      <w:rFonts w:asciiTheme="majorHAnsi" w:hAnsiTheme="majorHAnsi" w:eastAsiaTheme="majorEastAsia" w:cstheme="majorBidi"/>
      <w:b/>
      <w:sz w:val="40"/>
      <w:szCs w:val="40"/>
    </w:rPr>
  </w:style>
  <w:style w:type="paragraph" w:styleId="4">
    <w:name w:val="heading 2"/>
    <w:basedOn w:val="1"/>
    <w:next w:val="3"/>
    <w:link w:val="35"/>
    <w:semiHidden/>
    <w:unhideWhenUsed/>
    <w:qFormat/>
    <w:uiPriority w:val="9"/>
    <w:pPr>
      <w:keepNext/>
      <w:keepLines/>
      <w:spacing w:before="160" w:after="80"/>
      <w:outlineLvl w:val="1"/>
    </w:pPr>
    <w:rPr>
      <w:rFonts w:asciiTheme="majorHAnsi" w:hAnsiTheme="majorHAnsi" w:eastAsiaTheme="majorEastAsia" w:cstheme="majorBidi"/>
      <w:b/>
      <w:sz w:val="32"/>
      <w:szCs w:val="32"/>
    </w:rPr>
  </w:style>
  <w:style w:type="paragraph" w:styleId="5">
    <w:name w:val="heading 3"/>
    <w:basedOn w:val="1"/>
    <w:next w:val="3"/>
    <w:link w:val="36"/>
    <w:semiHidden/>
    <w:unhideWhenUsed/>
    <w:qFormat/>
    <w:uiPriority w:val="9"/>
    <w:pPr>
      <w:keepNext/>
      <w:keepLines/>
      <w:spacing w:before="160" w:after="80"/>
      <w:outlineLvl w:val="2"/>
    </w:pPr>
    <w:rPr>
      <w:rFonts w:eastAsiaTheme="majorEastAsia" w:cstheme="majorBidi"/>
      <w:b/>
      <w:sz w:val="28"/>
      <w:szCs w:val="28"/>
    </w:rPr>
  </w:style>
  <w:style w:type="paragraph" w:styleId="6">
    <w:name w:val="heading 4"/>
    <w:basedOn w:val="1"/>
    <w:next w:val="3"/>
    <w:link w:val="37"/>
    <w:semiHidden/>
    <w:unhideWhenUsed/>
    <w:qFormat/>
    <w:uiPriority w:val="9"/>
    <w:pPr>
      <w:keepNext/>
      <w:keepLines/>
      <w:spacing w:before="80" w:after="40"/>
      <w:outlineLvl w:val="3"/>
    </w:pPr>
    <w:rPr>
      <w:rFonts w:eastAsiaTheme="majorEastAsia" w:cstheme="majorBidi"/>
      <w:b/>
      <w:i/>
      <w:iCs/>
    </w:rPr>
  </w:style>
  <w:style w:type="paragraph" w:styleId="7">
    <w:name w:val="heading 5"/>
    <w:basedOn w:val="1"/>
    <w:next w:val="3"/>
    <w:link w:val="38"/>
    <w:semiHidden/>
    <w:unhideWhenUsed/>
    <w:qFormat/>
    <w:uiPriority w:val="9"/>
    <w:pPr>
      <w:keepNext/>
      <w:keepLines/>
      <w:spacing w:before="80" w:after="40"/>
      <w:outlineLvl w:val="4"/>
    </w:pPr>
    <w:rPr>
      <w:rFonts w:eastAsiaTheme="majorEastAsia" w:cstheme="majorBidi"/>
      <w:b/>
    </w:rPr>
  </w:style>
  <w:style w:type="paragraph" w:styleId="8">
    <w:name w:val="heading 6"/>
    <w:basedOn w:val="1"/>
    <w:next w:val="3"/>
    <w:link w:val="39"/>
    <w:semiHidden/>
    <w:unhideWhenUsed/>
    <w:qFormat/>
    <w:uiPriority w:val="9"/>
    <w:pPr>
      <w:keepNext/>
      <w:keepLines/>
      <w:spacing w:before="40" w:after="0"/>
      <w:outlineLvl w:val="5"/>
    </w:pPr>
    <w:rPr>
      <w:rFonts w:eastAsiaTheme="majorEastAsia" w:cstheme="majorBidi"/>
      <w:b/>
      <w:i/>
      <w:iCs/>
    </w:rPr>
  </w:style>
  <w:style w:type="paragraph" w:styleId="9">
    <w:name w:val="heading 7"/>
    <w:basedOn w:val="1"/>
    <w:next w:val="3"/>
    <w:link w:val="4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4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4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jc w:val="center"/>
    </w:pPr>
    <w:rPr>
      <w:b/>
      <w:i/>
    </w:rPr>
  </w:style>
  <w:style w:type="paragraph" w:styleId="13">
    <w:name w:val="annotation text"/>
    <w:basedOn w:val="1"/>
    <w:link w:val="86"/>
    <w:qFormat/>
    <w:uiPriority w:val="0"/>
  </w:style>
  <w:style w:type="paragraph" w:styleId="14">
    <w:name w:val="Block Text"/>
    <w:basedOn w:val="3"/>
    <w:next w:val="3"/>
    <w:unhideWhenUsed/>
    <w:qFormat/>
    <w:uiPriority w:val="9"/>
    <w:pPr>
      <w:spacing w:before="100" w:after="100"/>
      <w:ind w:left="480" w:right="480"/>
    </w:pPr>
  </w:style>
  <w:style w:type="paragraph" w:styleId="15">
    <w:name w:val="Date"/>
    <w:basedOn w:val="16"/>
    <w:next w:val="3"/>
    <w:qFormat/>
    <w:uiPriority w:val="0"/>
    <w:pPr>
      <w:keepNext/>
      <w:keepLines/>
    </w:pPr>
    <w:rPr>
      <w:sz w:val="24"/>
      <w:szCs w:val="24"/>
    </w:rPr>
  </w:style>
  <w:style w:type="paragraph" w:styleId="16">
    <w:name w:val="Title"/>
    <w:basedOn w:val="1"/>
    <w:next w:val="3"/>
    <w:link w:val="28"/>
    <w:qFormat/>
    <w:uiPriority w:val="10"/>
    <w:pPr>
      <w:spacing w:after="80"/>
      <w:contextualSpacing/>
      <w:jc w:val="center"/>
    </w:pPr>
    <w:rPr>
      <w:rFonts w:asciiTheme="majorHAnsi" w:hAnsiTheme="majorHAnsi" w:eastAsiaTheme="majorEastAsia" w:cstheme="majorBidi"/>
      <w:sz w:val="56"/>
      <w:szCs w:val="56"/>
    </w:rPr>
  </w:style>
  <w:style w:type="paragraph" w:styleId="17">
    <w:name w:val="Subtitle"/>
    <w:basedOn w:val="16"/>
    <w:next w:val="3"/>
    <w:link w:val="29"/>
    <w:qFormat/>
    <w:uiPriority w:val="11"/>
    <w:rPr>
      <w:spacing w:val="15"/>
      <w:sz w:val="28"/>
      <w:szCs w:val="28"/>
    </w:rPr>
  </w:style>
  <w:style w:type="paragraph" w:styleId="18">
    <w:name w:val="footnote text"/>
    <w:basedOn w:val="1"/>
    <w:unhideWhenUsed/>
    <w:qFormat/>
    <w:uiPriority w:val="9"/>
  </w:style>
  <w:style w:type="paragraph" w:styleId="19">
    <w:name w:val="annotation subject"/>
    <w:basedOn w:val="13"/>
    <w:next w:val="13"/>
    <w:link w:val="87"/>
    <w:qFormat/>
    <w:uiPriority w:val="0"/>
    <w:rPr>
      <w:b/>
      <w:bCs/>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1"/>
    <w:link w:val="3"/>
    <w:qFormat/>
    <w:uiPriority w:val="0"/>
  </w:style>
  <w:style w:type="character" w:styleId="24">
    <w:name w:val="annotation reference"/>
    <w:basedOn w:val="21"/>
    <w:qFormat/>
    <w:uiPriority w:val="0"/>
    <w:rPr>
      <w:sz w:val="21"/>
      <w:szCs w:val="21"/>
    </w:rPr>
  </w:style>
  <w:style w:type="character" w:styleId="25">
    <w:name w:val="footnote reference"/>
    <w:basedOn w:val="23"/>
    <w:qFormat/>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标题 字符"/>
    <w:basedOn w:val="21"/>
    <w:link w:val="16"/>
    <w:qFormat/>
    <w:uiPriority w:val="10"/>
    <w:rPr>
      <w:rFonts w:asciiTheme="majorHAnsi" w:hAnsiTheme="majorHAnsi" w:eastAsiaTheme="majorEastAsia" w:cstheme="majorBidi"/>
      <w:sz w:val="56"/>
      <w:szCs w:val="56"/>
    </w:rPr>
  </w:style>
  <w:style w:type="character" w:customStyle="1" w:styleId="29">
    <w:name w:val="副标题 字符"/>
    <w:basedOn w:val="2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0">
    <w:name w:val="Author"/>
    <w:basedOn w:val="16"/>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书目1"/>
    <w:basedOn w:val="1"/>
    <w:qFormat/>
    <w:uiPriority w:val="0"/>
  </w:style>
  <w:style w:type="character" w:customStyle="1" w:styleId="34">
    <w:name w:val="标题 1 字符"/>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35">
    <w:name w:val="标题 2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36">
    <w:name w:val="标题 3 字符"/>
    <w:basedOn w:val="21"/>
    <w:link w:val="5"/>
    <w:semiHidden/>
    <w:qFormat/>
    <w:uiPriority w:val="9"/>
    <w:rPr>
      <w:rFonts w:eastAsiaTheme="majorEastAsia" w:cstheme="majorBidi"/>
      <w:color w:val="104862" w:themeColor="accent1" w:themeShade="BF"/>
      <w:sz w:val="28"/>
      <w:szCs w:val="28"/>
    </w:rPr>
  </w:style>
  <w:style w:type="character" w:customStyle="1" w:styleId="37">
    <w:name w:val="标题 4 字符"/>
    <w:basedOn w:val="21"/>
    <w:link w:val="6"/>
    <w:semiHidden/>
    <w:qFormat/>
    <w:uiPriority w:val="9"/>
    <w:rPr>
      <w:rFonts w:eastAsiaTheme="majorEastAsia" w:cstheme="majorBidi"/>
      <w:i/>
      <w:iCs/>
      <w:color w:val="104862" w:themeColor="accent1" w:themeShade="BF"/>
    </w:rPr>
  </w:style>
  <w:style w:type="character" w:customStyle="1" w:styleId="38">
    <w:name w:val="标题 5 字符"/>
    <w:basedOn w:val="21"/>
    <w:link w:val="7"/>
    <w:semiHidden/>
    <w:qFormat/>
    <w:uiPriority w:val="9"/>
    <w:rPr>
      <w:rFonts w:eastAsiaTheme="majorEastAsia" w:cstheme="majorBidi"/>
      <w:color w:val="104862" w:themeColor="accent1" w:themeShade="BF"/>
    </w:rPr>
  </w:style>
  <w:style w:type="character" w:customStyle="1" w:styleId="39">
    <w:name w:val="标题 6 字符"/>
    <w:basedOn w:val="21"/>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0">
    <w:name w:val="标题 7 字符"/>
    <w:basedOn w:val="21"/>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1">
    <w:name w:val="标题 8 字符"/>
    <w:basedOn w:val="21"/>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2">
    <w:name w:val="标题 9 字符"/>
    <w:basedOn w:val="21"/>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3">
    <w:name w:val="Footnote Block Text"/>
    <w:basedOn w:val="18"/>
    <w:next w:val="18"/>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qFormat/>
    <w:uiPriority w:val="0"/>
    <w:pPr>
      <w:keepNext/>
      <w:keepLines/>
      <w:spacing w:after="0"/>
    </w:pPr>
    <w:rPr>
      <w:b/>
    </w:rPr>
  </w:style>
  <w:style w:type="paragraph" w:customStyle="1" w:styleId="46">
    <w:name w:val="Definition"/>
    <w:basedOn w:val="1"/>
    <w:qFormat/>
    <w:uiPriority w:val="0"/>
  </w:style>
  <w:style w:type="paragraph" w:customStyle="1" w:styleId="47">
    <w:name w:val="Table Caption"/>
    <w:basedOn w:val="12"/>
    <w:qFormat/>
    <w:uiPriority w:val="0"/>
    <w:pPr>
      <w:keepNext/>
    </w:pPr>
  </w:style>
  <w:style w:type="paragraph" w:customStyle="1" w:styleId="48">
    <w:name w:val="Image Caption"/>
    <w:basedOn w:val="12"/>
    <w:qFormat/>
    <w:uiPriority w:val="0"/>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23"/>
    <w:link w:val="52"/>
    <w:qFormat/>
    <w:uiPriority w:val="0"/>
    <w:rPr>
      <w:rFonts w:ascii="Consolas" w:hAnsi="Consolas"/>
      <w:sz w:val="22"/>
    </w:rPr>
  </w:style>
  <w:style w:type="paragraph" w:customStyle="1" w:styleId="52">
    <w:name w:val="Source Code"/>
    <w:basedOn w:val="1"/>
    <w:link w:val="51"/>
    <w:qFormat/>
    <w:uiPriority w:val="0"/>
    <w:pPr>
      <w:wordWrap w:val="0"/>
    </w:pPr>
  </w:style>
  <w:style w:type="character" w:customStyle="1" w:styleId="53">
    <w:name w:val="Section Number"/>
    <w:basedOn w:val="23"/>
    <w:qFormat/>
    <w:uiPriority w:val="0"/>
  </w:style>
  <w:style w:type="paragraph" w:customStyle="1" w:styleId="54">
    <w:name w:val="TOC 标题1"/>
    <w:basedOn w:val="2"/>
    <w:next w:val="3"/>
    <w:unhideWhenUsed/>
    <w:qFormat/>
    <w:uiPriority w:val="39"/>
    <w:pPr>
      <w:spacing w:before="240" w:line="259" w:lineRule="auto"/>
      <w:outlineLvl w:val="9"/>
    </w:pPr>
    <w:rPr>
      <w:b w:val="0"/>
      <w:color w:val="104862" w:themeColor="accent1" w:themeShade="BF"/>
    </w:rPr>
  </w:style>
  <w:style w:type="character" w:customStyle="1" w:styleId="55">
    <w:name w:val="KeywordTok"/>
    <w:basedOn w:val="51"/>
    <w:qFormat/>
    <w:uiPriority w:val="0"/>
    <w:rPr>
      <w:rFonts w:ascii="Consolas" w:hAnsi="Consolas"/>
      <w:b/>
      <w:color w:val="007020"/>
      <w:sz w:val="22"/>
    </w:rPr>
  </w:style>
  <w:style w:type="character" w:customStyle="1" w:styleId="56">
    <w:name w:val="DataTypeTok"/>
    <w:basedOn w:val="51"/>
    <w:qFormat/>
    <w:uiPriority w:val="0"/>
    <w:rPr>
      <w:rFonts w:ascii="Consolas" w:hAnsi="Consolas"/>
      <w:color w:val="902000"/>
      <w:sz w:val="22"/>
    </w:rPr>
  </w:style>
  <w:style w:type="character" w:customStyle="1" w:styleId="57">
    <w:name w:val="DecValTok"/>
    <w:basedOn w:val="51"/>
    <w:qFormat/>
    <w:uiPriority w:val="0"/>
    <w:rPr>
      <w:rFonts w:ascii="Consolas" w:hAnsi="Consolas"/>
      <w:color w:val="40A070"/>
      <w:sz w:val="22"/>
    </w:rPr>
  </w:style>
  <w:style w:type="character" w:customStyle="1" w:styleId="58">
    <w:name w:val="BaseNTok"/>
    <w:basedOn w:val="51"/>
    <w:qFormat/>
    <w:uiPriority w:val="0"/>
    <w:rPr>
      <w:rFonts w:ascii="Consolas" w:hAnsi="Consolas"/>
      <w:color w:val="40A070"/>
      <w:sz w:val="22"/>
    </w:rPr>
  </w:style>
  <w:style w:type="character" w:customStyle="1" w:styleId="59">
    <w:name w:val="FloatTok"/>
    <w:basedOn w:val="51"/>
    <w:qFormat/>
    <w:uiPriority w:val="0"/>
    <w:rPr>
      <w:rFonts w:ascii="Consolas" w:hAnsi="Consolas"/>
      <w:color w:val="40A070"/>
      <w:sz w:val="22"/>
    </w:rPr>
  </w:style>
  <w:style w:type="character" w:customStyle="1" w:styleId="60">
    <w:name w:val="ConstantTok"/>
    <w:basedOn w:val="51"/>
    <w:qFormat/>
    <w:uiPriority w:val="0"/>
    <w:rPr>
      <w:rFonts w:ascii="Consolas" w:hAnsi="Consolas"/>
      <w:color w:val="880000"/>
      <w:sz w:val="22"/>
    </w:rPr>
  </w:style>
  <w:style w:type="character" w:customStyle="1" w:styleId="61">
    <w:name w:val="CharTok"/>
    <w:basedOn w:val="51"/>
    <w:qFormat/>
    <w:uiPriority w:val="0"/>
    <w:rPr>
      <w:rFonts w:ascii="Consolas" w:hAnsi="Consolas"/>
      <w:color w:val="4070A0"/>
      <w:sz w:val="22"/>
    </w:rPr>
  </w:style>
  <w:style w:type="character" w:customStyle="1" w:styleId="62">
    <w:name w:val="SpecialCharTok"/>
    <w:basedOn w:val="51"/>
    <w:qFormat/>
    <w:uiPriority w:val="0"/>
    <w:rPr>
      <w:rFonts w:ascii="Consolas" w:hAnsi="Consolas"/>
      <w:color w:val="4070A0"/>
      <w:sz w:val="22"/>
    </w:rPr>
  </w:style>
  <w:style w:type="character" w:customStyle="1" w:styleId="63">
    <w:name w:val="StringTok"/>
    <w:basedOn w:val="51"/>
    <w:qFormat/>
    <w:uiPriority w:val="0"/>
    <w:rPr>
      <w:rFonts w:ascii="Consolas" w:hAnsi="Consolas"/>
      <w:color w:val="4070A0"/>
      <w:sz w:val="22"/>
    </w:rPr>
  </w:style>
  <w:style w:type="character" w:customStyle="1" w:styleId="64">
    <w:name w:val="VerbatimStringTok"/>
    <w:basedOn w:val="51"/>
    <w:qFormat/>
    <w:uiPriority w:val="0"/>
    <w:rPr>
      <w:rFonts w:ascii="Consolas" w:hAnsi="Consolas"/>
      <w:color w:val="4070A0"/>
      <w:sz w:val="22"/>
    </w:rPr>
  </w:style>
  <w:style w:type="character" w:customStyle="1" w:styleId="65">
    <w:name w:val="SpecialStringTok"/>
    <w:basedOn w:val="51"/>
    <w:qFormat/>
    <w:uiPriority w:val="0"/>
    <w:rPr>
      <w:rFonts w:ascii="Consolas" w:hAnsi="Consolas"/>
      <w:color w:val="BB6688"/>
      <w:sz w:val="22"/>
    </w:rPr>
  </w:style>
  <w:style w:type="character" w:customStyle="1" w:styleId="66">
    <w:name w:val="ImportTok"/>
    <w:basedOn w:val="51"/>
    <w:qFormat/>
    <w:uiPriority w:val="0"/>
    <w:rPr>
      <w:rFonts w:ascii="Consolas" w:hAnsi="Consolas"/>
      <w:b/>
      <w:color w:val="008000"/>
      <w:sz w:val="22"/>
    </w:rPr>
  </w:style>
  <w:style w:type="character" w:customStyle="1" w:styleId="67">
    <w:name w:val="CommentTok"/>
    <w:basedOn w:val="51"/>
    <w:qFormat/>
    <w:uiPriority w:val="0"/>
    <w:rPr>
      <w:rFonts w:ascii="Consolas" w:hAnsi="Consolas"/>
      <w:i/>
      <w:color w:val="60A0B0"/>
      <w:sz w:val="22"/>
    </w:rPr>
  </w:style>
  <w:style w:type="character" w:customStyle="1" w:styleId="68">
    <w:name w:val="DocumentationTok"/>
    <w:basedOn w:val="51"/>
    <w:qFormat/>
    <w:uiPriority w:val="0"/>
    <w:rPr>
      <w:rFonts w:ascii="Consolas" w:hAnsi="Consolas"/>
      <w:i/>
      <w:color w:val="BA2121"/>
      <w:sz w:val="22"/>
    </w:rPr>
  </w:style>
  <w:style w:type="character" w:customStyle="1" w:styleId="69">
    <w:name w:val="AnnotationTok"/>
    <w:basedOn w:val="51"/>
    <w:qFormat/>
    <w:uiPriority w:val="0"/>
    <w:rPr>
      <w:rFonts w:ascii="Consolas" w:hAnsi="Consolas"/>
      <w:b/>
      <w:i/>
      <w:color w:val="60A0B0"/>
      <w:sz w:val="22"/>
    </w:rPr>
  </w:style>
  <w:style w:type="character" w:customStyle="1" w:styleId="70">
    <w:name w:val="CommentVarTok"/>
    <w:basedOn w:val="51"/>
    <w:qFormat/>
    <w:uiPriority w:val="0"/>
    <w:rPr>
      <w:rFonts w:ascii="Consolas" w:hAnsi="Consolas"/>
      <w:b/>
      <w:i/>
      <w:color w:val="60A0B0"/>
      <w:sz w:val="22"/>
    </w:rPr>
  </w:style>
  <w:style w:type="character" w:customStyle="1" w:styleId="71">
    <w:name w:val="OtherTok"/>
    <w:basedOn w:val="51"/>
    <w:qFormat/>
    <w:uiPriority w:val="0"/>
    <w:rPr>
      <w:rFonts w:ascii="Consolas" w:hAnsi="Consolas"/>
      <w:color w:val="007020"/>
      <w:sz w:val="22"/>
    </w:rPr>
  </w:style>
  <w:style w:type="character" w:customStyle="1" w:styleId="72">
    <w:name w:val="FunctionTok"/>
    <w:basedOn w:val="51"/>
    <w:qFormat/>
    <w:uiPriority w:val="0"/>
    <w:rPr>
      <w:rFonts w:ascii="Consolas" w:hAnsi="Consolas"/>
      <w:color w:val="06287E"/>
      <w:sz w:val="22"/>
    </w:rPr>
  </w:style>
  <w:style w:type="character" w:customStyle="1" w:styleId="73">
    <w:name w:val="VariableTok"/>
    <w:basedOn w:val="51"/>
    <w:qFormat/>
    <w:uiPriority w:val="0"/>
    <w:rPr>
      <w:rFonts w:ascii="Consolas" w:hAnsi="Consolas"/>
      <w:color w:val="19177C"/>
      <w:sz w:val="22"/>
    </w:rPr>
  </w:style>
  <w:style w:type="character" w:customStyle="1" w:styleId="74">
    <w:name w:val="ControlFlowTok"/>
    <w:basedOn w:val="51"/>
    <w:qFormat/>
    <w:uiPriority w:val="0"/>
    <w:rPr>
      <w:rFonts w:ascii="Consolas" w:hAnsi="Consolas"/>
      <w:b/>
      <w:color w:val="007020"/>
      <w:sz w:val="22"/>
    </w:rPr>
  </w:style>
  <w:style w:type="character" w:customStyle="1" w:styleId="75">
    <w:name w:val="OperatorTok"/>
    <w:basedOn w:val="51"/>
    <w:qFormat/>
    <w:uiPriority w:val="0"/>
    <w:rPr>
      <w:rFonts w:ascii="Consolas" w:hAnsi="Consolas"/>
      <w:color w:val="666666"/>
      <w:sz w:val="22"/>
    </w:rPr>
  </w:style>
  <w:style w:type="character" w:customStyle="1" w:styleId="76">
    <w:name w:val="BuiltInTok"/>
    <w:basedOn w:val="51"/>
    <w:qFormat/>
    <w:uiPriority w:val="0"/>
    <w:rPr>
      <w:rFonts w:ascii="Consolas" w:hAnsi="Consolas"/>
      <w:color w:val="008000"/>
      <w:sz w:val="22"/>
    </w:rPr>
  </w:style>
  <w:style w:type="character" w:customStyle="1" w:styleId="77">
    <w:name w:val="ExtensionTok"/>
    <w:basedOn w:val="51"/>
    <w:qFormat/>
    <w:uiPriority w:val="0"/>
    <w:rPr>
      <w:rFonts w:ascii="Consolas" w:hAnsi="Consolas"/>
      <w:sz w:val="22"/>
    </w:rPr>
  </w:style>
  <w:style w:type="character" w:customStyle="1" w:styleId="78">
    <w:name w:val="PreprocessorTok"/>
    <w:basedOn w:val="51"/>
    <w:qFormat/>
    <w:uiPriority w:val="0"/>
    <w:rPr>
      <w:rFonts w:ascii="Consolas" w:hAnsi="Consolas"/>
      <w:color w:val="BC7A00"/>
      <w:sz w:val="22"/>
    </w:rPr>
  </w:style>
  <w:style w:type="character" w:customStyle="1" w:styleId="79">
    <w:name w:val="AttributeTok"/>
    <w:basedOn w:val="51"/>
    <w:qFormat/>
    <w:uiPriority w:val="0"/>
    <w:rPr>
      <w:rFonts w:ascii="Consolas" w:hAnsi="Consolas"/>
      <w:color w:val="7D9029"/>
      <w:sz w:val="22"/>
    </w:rPr>
  </w:style>
  <w:style w:type="character" w:customStyle="1" w:styleId="80">
    <w:name w:val="RegionMarkerTok"/>
    <w:basedOn w:val="51"/>
    <w:qFormat/>
    <w:uiPriority w:val="0"/>
    <w:rPr>
      <w:rFonts w:ascii="Consolas" w:hAnsi="Consolas"/>
      <w:sz w:val="22"/>
    </w:rPr>
  </w:style>
  <w:style w:type="character" w:customStyle="1" w:styleId="81">
    <w:name w:val="InformationTok"/>
    <w:basedOn w:val="51"/>
    <w:qFormat/>
    <w:uiPriority w:val="0"/>
    <w:rPr>
      <w:rFonts w:ascii="Consolas" w:hAnsi="Consolas"/>
      <w:b/>
      <w:i/>
      <w:color w:val="60A0B0"/>
      <w:sz w:val="22"/>
    </w:rPr>
  </w:style>
  <w:style w:type="character" w:customStyle="1" w:styleId="82">
    <w:name w:val="WarningTok"/>
    <w:basedOn w:val="51"/>
    <w:qFormat/>
    <w:uiPriority w:val="0"/>
    <w:rPr>
      <w:rFonts w:ascii="Consolas" w:hAnsi="Consolas"/>
      <w:b/>
      <w:i/>
      <w:color w:val="60A0B0"/>
      <w:sz w:val="22"/>
    </w:rPr>
  </w:style>
  <w:style w:type="character" w:customStyle="1" w:styleId="83">
    <w:name w:val="AlertTok"/>
    <w:basedOn w:val="51"/>
    <w:qFormat/>
    <w:uiPriority w:val="0"/>
    <w:rPr>
      <w:rFonts w:ascii="Consolas" w:hAnsi="Consolas"/>
      <w:b/>
      <w:color w:val="FF0000"/>
      <w:sz w:val="22"/>
    </w:rPr>
  </w:style>
  <w:style w:type="character" w:customStyle="1" w:styleId="84">
    <w:name w:val="ErrorTok"/>
    <w:basedOn w:val="51"/>
    <w:qFormat/>
    <w:uiPriority w:val="0"/>
    <w:rPr>
      <w:rFonts w:ascii="Consolas" w:hAnsi="Consolas"/>
      <w:b/>
      <w:color w:val="FF0000"/>
      <w:sz w:val="22"/>
    </w:rPr>
  </w:style>
  <w:style w:type="character" w:customStyle="1" w:styleId="85">
    <w:name w:val="NormalTok"/>
    <w:basedOn w:val="51"/>
    <w:qFormat/>
    <w:uiPriority w:val="0"/>
    <w:rPr>
      <w:rFonts w:ascii="Consolas" w:hAnsi="Consolas"/>
      <w:sz w:val="22"/>
    </w:rPr>
  </w:style>
  <w:style w:type="character" w:customStyle="1" w:styleId="86">
    <w:name w:val="批注文字 字符"/>
    <w:basedOn w:val="21"/>
    <w:link w:val="13"/>
    <w:qFormat/>
    <w:uiPriority w:val="0"/>
    <w:rPr>
      <w:rFonts w:ascii="Times New Roman" w:hAnsi="Times New Roman" w:eastAsia="宋体"/>
      <w:color w:val="000000"/>
      <w:sz w:val="24"/>
      <w:szCs w:val="24"/>
    </w:rPr>
  </w:style>
  <w:style w:type="character" w:customStyle="1" w:styleId="87">
    <w:name w:val="批注主题 字符"/>
    <w:basedOn w:val="86"/>
    <w:link w:val="19"/>
    <w:qFormat/>
    <w:uiPriority w:val="0"/>
    <w:rPr>
      <w:rFonts w:ascii="Times New Roman" w:hAnsi="Times New Roman" w:eastAsia="宋体"/>
      <w:b/>
      <w:bCs/>
      <w:color w:val="000000"/>
      <w:sz w:val="24"/>
      <w:szCs w:val="24"/>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17</Pages>
  <Words>8022</Words>
  <Characters>9862</Characters>
  <Lines>502</Lines>
  <Paragraphs>510</Paragraphs>
  <TotalTime>98</TotalTime>
  <ScaleCrop>false</ScaleCrop>
  <LinksUpToDate>false</LinksUpToDate>
  <CharactersWithSpaces>10327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2026-08-14T06:24:00Z</dcterms:created>
  <dc:creator>席致远</dc:creator>
  <cp:lastModifiedBy>席致远</cp:lastModifiedBy>
  <dcterms:modified xsi:type="dcterms:W3CDTF">2026-08-18T09:49:50Z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99EDE39D38274646BCF541428837DFE2_13</vt:lpwstr>
  </property>
</Properties>
</file>