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假设检验</w:t>
      </w:r>
      <w:r>
        <w:rPr>
          <w:rFonts w:hint="eastAsia"/>
          <w:lang w:val="en-US" w:eastAsia="zh-CN"/>
        </w:rPr>
        <w:t>：通常设定两个检验：零假设和备择假设，然后通过拒绝零假设来接受北泽假设，从而完成检验。p值中p表示概率，指零假设若成立，得到样本情况的概率。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1.1例题：给老鼠注射药物测试神经反应是否变快，没注射平均反应时间1.2秒，注射100只平均反应时间1.05秒标准差0.5秒，试问注射是否有效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零假设：药物无效注射了药物反应均值仍为1.2秒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备择假设：药物有效注射药物反应均值不为1.2秒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假设零假设成立：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20pt;width:23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8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12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一般设P门槛值为0.005，小于则拒绝零假设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由于上述假设只检验是否有效，正效果反效果都被认为有效，称为双侧检验。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再次进行单侧假设：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零假设：药物无效注射了药物反应均值仍为1.2秒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>备择假设：药物有效注射药物反应均值小于1.2秒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由于样本大于30，可以使用正态分布作为抽样分布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此时p值为0.0015，可以拒绝假设检验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z统计与t统计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样本较大时使用正态分布，较小时使用t分布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第一类错误：</w:t>
      </w:r>
      <w:r>
        <w:rPr>
          <w:rFonts w:hint="eastAsia"/>
          <w:lang w:val="en-US" w:eastAsia="zh-CN"/>
        </w:rPr>
        <w:t xml:space="preserve">拒绝了事实上正确的零假设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第二类错误</w:t>
      </w:r>
      <w:r>
        <w:rPr>
          <w:rFonts w:hint="eastAsia"/>
          <w:lang w:val="en-US" w:eastAsia="zh-CN"/>
        </w:rPr>
        <w:t>：接受了事实上不成立的零假设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例题一：规定引擎平均排放到达20 ppm达标，抽样10台引擎测试排放如下：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15.6 16.2 22.5 20.5 16.4 19.4 16.6 17.9 12.7 13.9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第1问：假设接受概率 1% 的第一类错误，是否满足排放标准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解：样本均值17.17，样本方差2.98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零假设均值20ppm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备择假设均值小于20ppm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样本小于30用 t 分布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28"/>
          <w:lang w:val="en-US" w:eastAsia="zh-CN"/>
        </w:rPr>
        <w:object>
          <v:shape id="_x0000_i1032" o:spt="75" type="#_x0000_t75" style="height:33pt;width:1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 t 值表格，自由度10-1=9，概率99% t值 2.81,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对称可得 小于-2.81概率为 1%，-3在拒绝零假设的范围之内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所以可以相对可靠地拒绝零假设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第2问：求实际排放均值的95%的置信区间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解：查t值表得t=2.262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28"/>
          <w:lang w:val="en-US" w:eastAsia="zh-CN"/>
        </w:rPr>
        <w:object>
          <v:shape id="_x0000_i1033" o:spt="75" type="#_x0000_t75" style="height:33pt;width:13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8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例题二：检验超过30%美国家庭接通互联网，抽样150户，联网57户，设p门槛值5%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解：零假设：等于30%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备择假设：大于30%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设零假设成立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19pt;width:4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6" o:spt="75" type="#_x0000_t75" style="height:21pt;width:121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7" o:spt="75" type="#_x0000_t75" style="height:20pt;width:9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8" o:spt="75" type="#_x0000_t75" style="height:35pt;width:9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9" o:spt="75" type="#_x0000_t75" style="height:31pt;width:10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查z值表95.05%，临界z等于1.65，显然z大于临界z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拒绝零假设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相互独立的随机变量X 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position w:val="-70"/>
          <w:lang w:val="en-US" w:eastAsia="zh-CN"/>
        </w:rPr>
        <w:object>
          <v:shape id="_x0000_i1040" o:spt="75" type="#_x0000_t75" style="height:76pt;width:9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注意方差是用和平均值的距离的平方来衡量离散度，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所以X-Y和X+Y的方差相同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二维独立随机变量也满足中心极限定理，样本足够大时，其抽样分布近似于正态分布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不同饮食习惯对体重影响为例：1组低脂饮食，2组正常饮食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一段时间后，1组平均体重降低9.3,，样本方差4.67,2组平均体重降低7.40，样本方差4.04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解法一：查z表95%的z值1.96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41" o:spt="75" type="#_x0000_t75" style="height:74pt;width:265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95%的概率低脂饮食能降低体重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解法二：零假设：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4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备择假设：</w: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18pt;width:4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查z值表，临界z  1.65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4" o:spt="75" type="#_x0000_t75" style="height:18pt;width:6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1.65*0.617=1.02&lt;1.91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拒绝零假设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例题投给某人的男性投票率与女型投票率是否有显著区别（两个随机变量的伯努利分布）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抽样1000男性p1=0.642, 1000女性p2=0.591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</w:t>
      </w:r>
      <w:r>
        <w:rPr>
          <w:rFonts w:hint="default"/>
          <w:position w:val="-12"/>
          <w:lang w:val="en-US" w:eastAsia="zh-CN"/>
        </w:rPr>
        <w:object>
          <v:shape id="_x0000_i1045" o:spt="75" type="#_x0000_t75" style="height:20pt;width:11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6" o:spt="75" type="#_x0000_t75" style="height:20pt;width:114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47" o:spt="75" type="#_x0000_t75" style="height:20pt;width:11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8" o:spt="75" type="#_x0000_t75" style="height:37pt;width:193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49" o:spt="75" type="#_x0000_t75" style="height:20pt;width: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查阅z值表z=1.96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1.96*0.022=0.043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0.051±0.043=0.008~0.094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95%的几率男性投票率高于女性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二：直接使用假设检验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90C10"/>
    <w:rsid w:val="08431901"/>
    <w:rsid w:val="12690C10"/>
    <w:rsid w:val="247B0520"/>
    <w:rsid w:val="6885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2019-05-13T04:47:00Z</dcterms:created>
  <dc:creator>愚蠢的黑猪</dc:creator>
  <cp:lastModifiedBy>愚蠢的黑猪</cp:lastModifiedBy>
  <dcterms:modified xsi:type="dcterms:W3CDTF">2019-05-14T11:34:45Z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