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6"/>
        <w:gridCol w:w="2160"/>
      </w:tblGrid>
      <w:tr w14:paraId="00EE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right"/>
        </w:trPr>
        <w:tc>
          <w:tcPr>
            <w:tcW w:w="1626" w:type="dxa"/>
            <w:tcBorders>
              <w:top w:val="nil"/>
              <w:left w:val="nil"/>
              <w:bottom w:val="nil"/>
              <w:right w:val="nil"/>
            </w:tcBorders>
            <w:vAlign w:val="center"/>
          </w:tcPr>
          <w:p w14:paraId="2A74CB1D">
            <w:pPr>
              <w:widowControl/>
              <w:tabs>
                <w:tab w:val="left" w:pos="6120"/>
              </w:tabs>
              <w:bidi w:val="0"/>
              <w:spacing w:before="100" w:beforeAutospacing="1" w:after="100" w:afterAutospacing="1" w:line="300" w:lineRule="auto"/>
              <w:ind w:firstLine="0"/>
              <w:jc w:val="center"/>
              <w:rPr>
                <w:rFonts w:eastAsia="黑体" w:cs="Times New Roman"/>
                <w:kern w:val="0"/>
                <w:sz w:val="21"/>
                <w:szCs w:val="21"/>
                <w:lang w:val="en-US" w:eastAsia="zh-CN" w:bidi="ar-SA"/>
              </w:rPr>
            </w:pPr>
            <w:bookmarkStart w:id="0" w:name="_Toc168444961"/>
            <w:r>
              <w:rPr>
                <w:rFonts w:eastAsia="黑体" w:cs="Times New Roman"/>
                <w:kern w:val="0"/>
                <w:sz w:val="21"/>
                <w:szCs w:val="21"/>
                <w:lang w:val="en-US" w:eastAsia="zh-CN" w:bidi="ar-SA"/>
              </w:rPr>
              <w:t>图书分类号：</w:t>
            </w:r>
          </w:p>
        </w:tc>
        <w:tc>
          <w:tcPr>
            <w:tcW w:w="2160" w:type="dxa"/>
            <w:tcBorders>
              <w:top w:val="nil"/>
              <w:left w:val="nil"/>
              <w:right w:val="nil"/>
            </w:tcBorders>
            <w:vAlign w:val="center"/>
          </w:tcPr>
          <w:p w14:paraId="5DA0E7EF">
            <w:pPr>
              <w:widowControl/>
              <w:tabs>
                <w:tab w:val="left" w:pos="6120"/>
              </w:tabs>
              <w:bidi w:val="0"/>
              <w:spacing w:before="100" w:beforeAutospacing="1" w:after="100" w:afterAutospacing="1" w:line="300" w:lineRule="auto"/>
              <w:ind w:firstLine="0"/>
              <w:jc w:val="center"/>
              <w:rPr>
                <w:rFonts w:eastAsia="黑体" w:cs="Times New Roman"/>
                <w:kern w:val="0"/>
                <w:sz w:val="21"/>
                <w:szCs w:val="21"/>
                <w:lang w:val="en-US" w:eastAsia="zh-CN" w:bidi="ar-SA"/>
              </w:rPr>
            </w:pPr>
          </w:p>
        </w:tc>
      </w:tr>
      <w:tr w14:paraId="6AAD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626" w:type="dxa"/>
            <w:tcBorders>
              <w:top w:val="nil"/>
              <w:left w:val="nil"/>
              <w:bottom w:val="nil"/>
              <w:right w:val="nil"/>
            </w:tcBorders>
            <w:vAlign w:val="center"/>
          </w:tcPr>
          <w:p w14:paraId="5B5DD306">
            <w:pPr>
              <w:widowControl/>
              <w:tabs>
                <w:tab w:val="left" w:pos="6120"/>
              </w:tabs>
              <w:bidi w:val="0"/>
              <w:spacing w:before="100" w:beforeAutospacing="1" w:after="100" w:afterAutospacing="1" w:line="300" w:lineRule="auto"/>
              <w:ind w:firstLine="0"/>
              <w:jc w:val="center"/>
              <w:rPr>
                <w:rFonts w:eastAsia="黑体" w:cs="Times New Roman"/>
                <w:kern w:val="0"/>
                <w:sz w:val="21"/>
                <w:szCs w:val="21"/>
                <w:lang w:val="en-US" w:eastAsia="zh-CN" w:bidi="ar-SA"/>
              </w:rPr>
            </w:pPr>
            <w:r>
              <w:rPr>
                <w:rFonts w:eastAsia="黑体" w:cs="Times New Roman"/>
                <w:kern w:val="0"/>
                <w:sz w:val="21"/>
                <w:szCs w:val="21"/>
                <w:lang w:val="en-US" w:eastAsia="zh-CN" w:bidi="ar-SA"/>
              </w:rPr>
              <w:t>密</w:t>
            </w:r>
            <w:r>
              <w:rPr>
                <w:rFonts w:hint="eastAsia" w:eastAsia="黑体" w:cs="Times New Roman"/>
                <w:kern w:val="0"/>
                <w:sz w:val="21"/>
                <w:szCs w:val="21"/>
                <w:lang w:val="en-US" w:eastAsia="zh-CN" w:bidi="ar-SA"/>
              </w:rPr>
              <w:t xml:space="preserve">            </w:t>
            </w:r>
            <w:r>
              <w:rPr>
                <w:rFonts w:eastAsia="黑体" w:cs="Times New Roman"/>
                <w:kern w:val="0"/>
                <w:sz w:val="21"/>
                <w:szCs w:val="21"/>
                <w:lang w:val="en-US" w:eastAsia="zh-CN" w:bidi="ar-SA"/>
              </w:rPr>
              <w:t>级：</w:t>
            </w:r>
          </w:p>
        </w:tc>
        <w:tc>
          <w:tcPr>
            <w:tcW w:w="2160" w:type="dxa"/>
            <w:tcBorders>
              <w:left w:val="nil"/>
              <w:right w:val="nil"/>
            </w:tcBorders>
            <w:vAlign w:val="center"/>
          </w:tcPr>
          <w:p w14:paraId="397578EE">
            <w:pPr>
              <w:widowControl/>
              <w:tabs>
                <w:tab w:val="left" w:pos="6120"/>
              </w:tabs>
              <w:bidi w:val="0"/>
              <w:spacing w:before="100" w:beforeAutospacing="1" w:after="100" w:afterAutospacing="1" w:line="300" w:lineRule="auto"/>
              <w:ind w:firstLine="0"/>
              <w:jc w:val="center"/>
              <w:rPr>
                <w:rFonts w:eastAsia="黑体" w:cs="Times New Roman"/>
                <w:kern w:val="0"/>
                <w:sz w:val="21"/>
                <w:szCs w:val="21"/>
                <w:lang w:val="en-US" w:eastAsia="zh-CN" w:bidi="ar-SA"/>
              </w:rPr>
            </w:pPr>
          </w:p>
        </w:tc>
      </w:tr>
    </w:tbl>
    <w:p w14:paraId="0B40C8E3">
      <w:pPr>
        <w:widowControl/>
        <w:tabs>
          <w:tab w:val="left" w:pos="6120"/>
        </w:tabs>
        <w:adjustRightInd/>
        <w:snapToGrid/>
        <w:spacing w:before="100" w:beforeAutospacing="1" w:after="100" w:afterAutospacing="1" w:line="300" w:lineRule="auto"/>
        <w:ind w:right="840" w:firstLine="0" w:firstLineChars="0"/>
        <w:rPr>
          <w:rFonts w:eastAsia="黑体"/>
          <w:color w:val="000000"/>
          <w:kern w:val="0"/>
          <w:sz w:val="21"/>
          <w:szCs w:val="21"/>
        </w:rPr>
      </w:pPr>
    </w:p>
    <w:p w14:paraId="4F67506E">
      <w:pPr>
        <w:spacing w:line="240" w:lineRule="auto"/>
        <w:ind w:firstLine="0" w:firstLineChars="0"/>
        <w:jc w:val="center"/>
        <w:rPr>
          <w:rFonts w:eastAsia="黑体"/>
          <w:sz w:val="28"/>
        </w:rPr>
      </w:pPr>
      <w:r>
        <w:drawing>
          <wp:inline distT="0" distB="0" distL="0" distR="0">
            <wp:extent cx="2939415" cy="56578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3">
                      <a:extLst>
                        <a:ext uri="{28A0092B-C50C-407E-A947-70E740481C1C}">
                          <a14:useLocalDpi xmlns:a14="http://schemas.microsoft.com/office/drawing/2010/main" val="0"/>
                        </a:ext>
                      </a:extLst>
                    </a:blip>
                    <a:srcRect r="-829" b="31473"/>
                    <a:stretch>
                      <a:fillRect/>
                    </a:stretch>
                  </pic:blipFill>
                  <pic:spPr>
                    <a:xfrm>
                      <a:off x="0" y="0"/>
                      <a:ext cx="2939415" cy="565785"/>
                    </a:xfrm>
                    <a:prstGeom prst="rect">
                      <a:avLst/>
                    </a:prstGeom>
                    <a:noFill/>
                    <a:ln>
                      <a:noFill/>
                    </a:ln>
                  </pic:spPr>
                </pic:pic>
              </a:graphicData>
            </a:graphic>
          </wp:inline>
        </w:drawing>
      </w:r>
    </w:p>
    <w:p w14:paraId="1EB32EBB">
      <w:pPr>
        <w:keepNext w:val="0"/>
        <w:keepLines w:val="0"/>
        <w:pageBreakBefore w:val="0"/>
        <w:widowControl/>
        <w:kinsoku/>
        <w:wordWrap/>
        <w:overflowPunct/>
        <w:topLinePunct w:val="0"/>
        <w:autoSpaceDE/>
        <w:autoSpaceDN/>
        <w:bidi w:val="0"/>
        <w:adjustRightInd/>
        <w:snapToGrid/>
        <w:spacing w:before="240" w:beforeLines="100" w:after="0" w:line="240" w:lineRule="auto"/>
        <w:ind w:firstLine="0" w:firstLineChars="0"/>
        <w:jc w:val="center"/>
        <w:textAlignment w:val="auto"/>
        <w:rPr>
          <w:rFonts w:hint="eastAsia" w:ascii="黑体" w:eastAsia="黑体"/>
          <w:color w:val="000000"/>
          <w:spacing w:val="20"/>
          <w:sz w:val="84"/>
          <w:szCs w:val="84"/>
        </w:rPr>
      </w:pPr>
      <w:r>
        <w:rPr>
          <w:rFonts w:hint="eastAsia" w:ascii="黑体" w:eastAsia="黑体"/>
          <w:color w:val="000000"/>
          <w:spacing w:val="20"/>
          <w:sz w:val="84"/>
          <w:szCs w:val="84"/>
        </w:rPr>
        <w:t>毕业论文</w:t>
      </w:r>
    </w:p>
    <w:p w14:paraId="6B65909D">
      <w:pPr>
        <w:keepNext w:val="0"/>
        <w:keepLines w:val="0"/>
        <w:pageBreakBefore w:val="0"/>
        <w:widowControl/>
        <w:kinsoku/>
        <w:wordWrap/>
        <w:overflowPunct/>
        <w:topLinePunct w:val="0"/>
        <w:autoSpaceDE/>
        <w:autoSpaceDN/>
        <w:bidi w:val="0"/>
        <w:adjustRightInd/>
        <w:snapToGrid/>
        <w:spacing w:before="240" w:beforeLines="100" w:after="0" w:line="240" w:lineRule="auto"/>
        <w:ind w:firstLine="0" w:firstLineChars="0"/>
        <w:jc w:val="center"/>
        <w:textAlignment w:val="auto"/>
        <w:rPr>
          <w:rFonts w:hint="eastAsia" w:ascii="黑体" w:eastAsia="黑体"/>
          <w:color w:val="000000"/>
          <w:spacing w:val="20"/>
          <w:sz w:val="28"/>
          <w:szCs w:val="28"/>
        </w:rPr>
      </w:pPr>
    </w:p>
    <w:tbl>
      <w:tblPr>
        <w:tblStyle w:val="13"/>
        <w:tblW w:w="10200" w:type="dxa"/>
        <w:jc w:val="center"/>
        <w:tblLayout w:type="fixed"/>
        <w:tblCellMar>
          <w:top w:w="0" w:type="dxa"/>
          <w:left w:w="108" w:type="dxa"/>
          <w:bottom w:w="0" w:type="dxa"/>
          <w:right w:w="108" w:type="dxa"/>
        </w:tblCellMar>
      </w:tblPr>
      <w:tblGrid>
        <w:gridCol w:w="10200"/>
      </w:tblGrid>
      <w:tr w14:paraId="3DE57412">
        <w:tblPrEx>
          <w:tblCellMar>
            <w:top w:w="0" w:type="dxa"/>
            <w:left w:w="108" w:type="dxa"/>
            <w:bottom w:w="0" w:type="dxa"/>
            <w:right w:w="108" w:type="dxa"/>
          </w:tblCellMar>
        </w:tblPrEx>
        <w:trPr>
          <w:trHeight w:val="725" w:hRule="atLeast"/>
          <w:jc w:val="center"/>
        </w:trPr>
        <w:tc>
          <w:tcPr>
            <w:tcW w:w="10200" w:type="dxa"/>
            <w:vAlign w:val="center"/>
          </w:tcPr>
          <w:p w14:paraId="5B148955">
            <w:pPr>
              <w:keepNext w:val="0"/>
              <w:keepLines w:val="0"/>
              <w:pageBreakBefore w:val="0"/>
              <w:widowControl/>
              <w:kinsoku/>
              <w:wordWrap/>
              <w:overflowPunct/>
              <w:topLinePunct w:val="0"/>
              <w:autoSpaceDE/>
              <w:autoSpaceDN/>
              <w:bidi w:val="0"/>
              <w:adjustRightInd/>
              <w:snapToGrid/>
              <w:spacing w:before="120" w:beforeLines="50" w:line="240" w:lineRule="auto"/>
              <w:ind w:firstLine="0" w:firstLineChars="0"/>
              <w:jc w:val="center"/>
              <w:textAlignment w:val="auto"/>
              <w:rPr>
                <w:rFonts w:hint="eastAsia" w:ascii="黑体" w:hAnsi="黑体" w:eastAsia="黑体" w:cs="黑体"/>
              </w:rPr>
            </w:pPr>
            <w:r>
              <w:rPr>
                <w:rFonts w:hint="eastAsia" w:ascii="黑体" w:hAnsi="黑体" w:eastAsia="黑体" w:cs="黑体"/>
                <w:sz w:val="44"/>
                <w:szCs w:val="44"/>
                <w:lang w:val="en-US" w:eastAsia="zh-CN"/>
              </w:rPr>
              <w:t>加工品电商品牌路径研究</w:t>
            </w:r>
            <w:r>
              <w:rPr>
                <w:rFonts w:hint="eastAsia" w:ascii="黑体" w:hAnsi="黑体" w:eastAsia="黑体" w:cs="黑体"/>
                <w:sz w:val="44"/>
                <w:szCs w:val="44"/>
              </w:rPr>
              <w:t>——</w:t>
            </w:r>
            <w:r>
              <w:rPr>
                <w:rFonts w:hint="eastAsia" w:ascii="黑体" w:hAnsi="黑体" w:eastAsia="黑体" w:cs="黑体"/>
                <w:sz w:val="44"/>
                <w:szCs w:val="44"/>
                <w:lang w:val="en-US" w:eastAsia="zh-CN"/>
              </w:rPr>
              <w:t>以南京盐水鸭为例</w:t>
            </w:r>
          </w:p>
        </w:tc>
      </w:tr>
      <w:tr w14:paraId="494CD6CF">
        <w:tblPrEx>
          <w:tblCellMar>
            <w:top w:w="0" w:type="dxa"/>
            <w:left w:w="108" w:type="dxa"/>
            <w:bottom w:w="0" w:type="dxa"/>
            <w:right w:w="108" w:type="dxa"/>
          </w:tblCellMar>
        </w:tblPrEx>
        <w:trPr>
          <w:trHeight w:val="1539" w:hRule="atLeast"/>
          <w:jc w:val="center"/>
        </w:trPr>
        <w:tc>
          <w:tcPr>
            <w:tcW w:w="10200" w:type="dxa"/>
            <w:vAlign w:val="center"/>
          </w:tcPr>
          <w:p w14:paraId="26A2A97D">
            <w:pPr>
              <w:widowControl w:val="0"/>
              <w:bidi w:val="0"/>
              <w:spacing w:after="0" w:line="400" w:lineRule="exact"/>
              <w:ind w:firstLine="880" w:firstLineChars="200"/>
              <w:jc w:val="center"/>
              <w:rPr>
                <w:rFonts w:hint="default" w:ascii="Arial" w:hAnsi="Arial" w:cs="Arial"/>
              </w:rPr>
            </w:pPr>
            <w:r>
              <w:rPr>
                <w:rFonts w:hint="default" w:ascii="Arial" w:hAnsi="Arial" w:eastAsia="黑体" w:cs="Arial"/>
                <w:caps/>
                <w:color w:val="000000" w:themeColor="text1"/>
                <w:kern w:val="2"/>
                <w:sz w:val="44"/>
                <w:szCs w:val="24"/>
                <w:lang w:val="en-US" w:eastAsia="zh-CN" w:bidi="ar-SA"/>
                <w14:textFill>
                  <w14:solidFill>
                    <w14:schemeClr w14:val="tx1"/>
                  </w14:solidFill>
                </w14:textFill>
                <w14:ligatures w14:val="standardContextual"/>
              </w:rPr>
              <w:t>RESEARCH ON E-COMMERCE BRAND DEVELOPMENT PATH OF PROCESSED PRODUCTS ——A CASE STUDY OF NANJING SALTED DUCK</w:t>
            </w:r>
          </w:p>
        </w:tc>
      </w:tr>
    </w:tbl>
    <w:p w14:paraId="666AE412">
      <w:pPr>
        <w:tabs>
          <w:tab w:val="left" w:pos="1897"/>
          <w:tab w:val="left" w:pos="4057"/>
        </w:tabs>
        <w:adjustRightInd/>
        <w:snapToGrid/>
        <w:spacing w:line="600" w:lineRule="exact"/>
        <w:ind w:right="172" w:firstLine="0" w:firstLineChars="0"/>
        <w:jc w:val="both"/>
        <w:rPr>
          <w:rFonts w:eastAsia="黑体"/>
          <w:spacing w:val="22"/>
          <w:kern w:val="10"/>
          <w:sz w:val="30"/>
          <w:szCs w:val="24"/>
        </w:rPr>
      </w:pPr>
      <w:bookmarkStart w:id="1" w:name="_Hlk130069516"/>
    </w:p>
    <w:tbl>
      <w:tblPr>
        <w:tblStyle w:val="13"/>
        <w:tblW w:w="0" w:type="auto"/>
        <w:tblInd w:w="1025" w:type="dxa"/>
        <w:tblLayout w:type="fixed"/>
        <w:tblCellMar>
          <w:top w:w="0" w:type="dxa"/>
          <w:left w:w="108" w:type="dxa"/>
          <w:bottom w:w="0" w:type="dxa"/>
          <w:right w:w="108" w:type="dxa"/>
        </w:tblCellMar>
      </w:tblPr>
      <w:tblGrid>
        <w:gridCol w:w="2448"/>
        <w:gridCol w:w="4371"/>
      </w:tblGrid>
      <w:tr w14:paraId="61680CA2">
        <w:tblPrEx>
          <w:tblCellMar>
            <w:top w:w="0" w:type="dxa"/>
            <w:left w:w="108" w:type="dxa"/>
            <w:bottom w:w="0" w:type="dxa"/>
            <w:right w:w="108" w:type="dxa"/>
          </w:tblCellMar>
        </w:tblPrEx>
        <w:trPr>
          <w:trHeight w:val="616" w:hRule="atLeast"/>
        </w:trPr>
        <w:tc>
          <w:tcPr>
            <w:tcW w:w="2448" w:type="dxa"/>
            <w:vAlign w:val="center"/>
          </w:tcPr>
          <w:p w14:paraId="0B3FC577">
            <w:pPr>
              <w:widowControl w:val="0"/>
              <w:bidi w:val="0"/>
              <w:spacing w:after="0" w:line="600" w:lineRule="exact"/>
              <w:ind w:firstLine="0"/>
              <w:jc w:val="center"/>
              <w:rPr>
                <w:rFonts w:ascii="Times New Roman" w:hAnsi="Times New Roman" w:eastAsia="黑体" w:cs="Times New Roman"/>
                <w:spacing w:val="30"/>
                <w:kern w:val="10"/>
                <w:sz w:val="30"/>
                <w:szCs w:val="24"/>
                <w:lang w:val="en-US" w:eastAsia="zh-CN" w:bidi="ar-SA"/>
              </w:rPr>
            </w:pPr>
            <w:r>
              <w:rPr>
                <w:rFonts w:ascii="Times New Roman" w:hAnsi="Times New Roman" w:eastAsia="黑体" w:cs="Times New Roman"/>
                <w:spacing w:val="30"/>
                <w:kern w:val="10"/>
                <w:sz w:val="30"/>
                <w:szCs w:val="24"/>
                <w:lang w:val="en-US" w:eastAsia="zh-CN" w:bidi="ar-SA"/>
              </w:rPr>
              <w:t>学生姓名</w:t>
            </w:r>
          </w:p>
        </w:tc>
        <w:tc>
          <w:tcPr>
            <w:tcW w:w="4371" w:type="dxa"/>
            <w:tcBorders>
              <w:bottom w:val="single" w:color="auto" w:sz="4" w:space="0"/>
            </w:tcBorders>
            <w:vAlign w:val="center"/>
          </w:tcPr>
          <w:p w14:paraId="2887161D">
            <w:pPr>
              <w:widowControl w:val="0"/>
              <w:bidi w:val="0"/>
              <w:spacing w:after="0" w:line="600" w:lineRule="exact"/>
              <w:ind w:firstLine="0"/>
              <w:jc w:val="center"/>
              <w:rPr>
                <w:rFonts w:hint="default" w:ascii="Times New Roman" w:hAnsi="Times New Roman" w:eastAsia="黑体" w:cs="Times New Roman"/>
                <w:spacing w:val="30"/>
                <w:kern w:val="10"/>
                <w:sz w:val="30"/>
                <w:szCs w:val="24"/>
                <w:lang w:val="en-US" w:eastAsia="zh-CN" w:bidi="ar-SA"/>
              </w:rPr>
            </w:pPr>
            <w:r>
              <w:rPr>
                <w:rFonts w:hint="eastAsia" w:eastAsia="黑体" w:cs="Times New Roman"/>
                <w:spacing w:val="30"/>
                <w:kern w:val="10"/>
                <w:sz w:val="30"/>
                <w:szCs w:val="24"/>
                <w:lang w:val="en-US" w:eastAsia="zh-CN" w:bidi="ar-SA"/>
              </w:rPr>
              <w:t>夏兴阳</w:t>
            </w:r>
          </w:p>
        </w:tc>
      </w:tr>
      <w:tr w14:paraId="5CEFBCC1">
        <w:tblPrEx>
          <w:tblCellMar>
            <w:top w:w="0" w:type="dxa"/>
            <w:left w:w="108" w:type="dxa"/>
            <w:bottom w:w="0" w:type="dxa"/>
            <w:right w:w="108" w:type="dxa"/>
          </w:tblCellMar>
        </w:tblPrEx>
        <w:trPr>
          <w:trHeight w:val="616" w:hRule="atLeast"/>
        </w:trPr>
        <w:tc>
          <w:tcPr>
            <w:tcW w:w="2448" w:type="dxa"/>
            <w:vAlign w:val="center"/>
          </w:tcPr>
          <w:p w14:paraId="6FB9823C">
            <w:pPr>
              <w:widowControl w:val="0"/>
              <w:bidi w:val="0"/>
              <w:spacing w:after="0" w:line="600" w:lineRule="exact"/>
              <w:ind w:firstLine="0"/>
              <w:jc w:val="center"/>
              <w:rPr>
                <w:rFonts w:ascii="Times New Roman" w:hAnsi="Times New Roman" w:eastAsia="黑体" w:cs="Times New Roman"/>
                <w:spacing w:val="30"/>
                <w:kern w:val="10"/>
                <w:sz w:val="30"/>
                <w:szCs w:val="24"/>
                <w:lang w:val="en-US" w:eastAsia="zh-CN" w:bidi="ar-SA"/>
              </w:rPr>
            </w:pPr>
            <w:r>
              <w:rPr>
                <w:rFonts w:ascii="Times New Roman" w:hAnsi="Times New Roman" w:eastAsia="黑体" w:cs="Times New Roman"/>
                <w:spacing w:val="30"/>
                <w:kern w:val="10"/>
                <w:sz w:val="30"/>
                <w:szCs w:val="24"/>
                <w:lang w:val="en-US" w:eastAsia="zh-CN" w:bidi="ar-SA"/>
              </w:rPr>
              <w:t>学号</w:t>
            </w:r>
          </w:p>
        </w:tc>
        <w:tc>
          <w:tcPr>
            <w:tcW w:w="4371" w:type="dxa"/>
            <w:tcBorders>
              <w:top w:val="single" w:color="auto" w:sz="4" w:space="0"/>
              <w:bottom w:val="single" w:color="auto" w:sz="4" w:space="0"/>
            </w:tcBorders>
            <w:vAlign w:val="center"/>
          </w:tcPr>
          <w:p w14:paraId="3AC61A67">
            <w:pPr>
              <w:widowControl w:val="0"/>
              <w:bidi w:val="0"/>
              <w:spacing w:after="0" w:line="600" w:lineRule="exact"/>
              <w:ind w:firstLine="0"/>
              <w:jc w:val="center"/>
              <w:rPr>
                <w:rFonts w:hint="default" w:ascii="Times New Roman" w:hAnsi="Times New Roman" w:eastAsia="黑体" w:cs="Times New Roman"/>
                <w:spacing w:val="30"/>
                <w:kern w:val="10"/>
                <w:sz w:val="30"/>
                <w:szCs w:val="24"/>
                <w:lang w:val="en-US" w:eastAsia="zh-CN" w:bidi="ar-SA"/>
              </w:rPr>
            </w:pPr>
            <w:r>
              <w:rPr>
                <w:rFonts w:hint="default" w:ascii="Times New Roman" w:hAnsi="Times New Roman" w:eastAsia="黑体" w:cs="Times New Roman"/>
                <w:spacing w:val="30"/>
                <w:kern w:val="10"/>
                <w:sz w:val="30"/>
                <w:szCs w:val="24"/>
                <w:lang w:val="en-US" w:eastAsia="zh-CN" w:bidi="ar-SA"/>
              </w:rPr>
              <w:t>221704111</w:t>
            </w:r>
            <w:r>
              <w:rPr>
                <w:rFonts w:hint="eastAsia" w:eastAsia="黑体" w:cs="Times New Roman"/>
                <w:spacing w:val="30"/>
                <w:kern w:val="10"/>
                <w:sz w:val="30"/>
                <w:szCs w:val="24"/>
                <w:lang w:val="en-US" w:eastAsia="zh-CN" w:bidi="ar-SA"/>
              </w:rPr>
              <w:t>30</w:t>
            </w:r>
          </w:p>
        </w:tc>
      </w:tr>
      <w:tr w14:paraId="2283B806">
        <w:tblPrEx>
          <w:tblCellMar>
            <w:top w:w="0" w:type="dxa"/>
            <w:left w:w="108" w:type="dxa"/>
            <w:bottom w:w="0" w:type="dxa"/>
            <w:right w:w="108" w:type="dxa"/>
          </w:tblCellMar>
        </w:tblPrEx>
        <w:trPr>
          <w:trHeight w:val="601" w:hRule="atLeast"/>
        </w:trPr>
        <w:tc>
          <w:tcPr>
            <w:tcW w:w="2448" w:type="dxa"/>
            <w:vAlign w:val="center"/>
          </w:tcPr>
          <w:p w14:paraId="7429220F">
            <w:pPr>
              <w:widowControl w:val="0"/>
              <w:bidi w:val="0"/>
              <w:spacing w:after="0" w:line="600" w:lineRule="exact"/>
              <w:ind w:firstLine="0"/>
              <w:jc w:val="center"/>
              <w:rPr>
                <w:rFonts w:ascii="Times New Roman" w:hAnsi="Times New Roman" w:eastAsia="黑体" w:cs="Times New Roman"/>
                <w:spacing w:val="30"/>
                <w:kern w:val="10"/>
                <w:sz w:val="30"/>
                <w:szCs w:val="24"/>
                <w:lang w:val="en-US" w:eastAsia="zh-CN" w:bidi="ar-SA"/>
              </w:rPr>
            </w:pPr>
            <w:r>
              <w:rPr>
                <w:rFonts w:ascii="Times New Roman" w:hAnsi="Times New Roman" w:eastAsia="黑体" w:cs="Times New Roman"/>
                <w:spacing w:val="30"/>
                <w:kern w:val="10"/>
                <w:sz w:val="30"/>
                <w:szCs w:val="24"/>
                <w:lang w:val="en-US" w:eastAsia="zh-CN" w:bidi="ar-SA"/>
              </w:rPr>
              <w:t>班级</w:t>
            </w:r>
          </w:p>
        </w:tc>
        <w:tc>
          <w:tcPr>
            <w:tcW w:w="4371" w:type="dxa"/>
            <w:tcBorders>
              <w:top w:val="single" w:color="auto" w:sz="4" w:space="0"/>
              <w:bottom w:val="single" w:color="auto" w:sz="4" w:space="0"/>
            </w:tcBorders>
            <w:vAlign w:val="center"/>
          </w:tcPr>
          <w:p w14:paraId="690C9381">
            <w:pPr>
              <w:widowControl w:val="0"/>
              <w:bidi w:val="0"/>
              <w:spacing w:after="0" w:line="600" w:lineRule="exact"/>
              <w:ind w:firstLine="0"/>
              <w:jc w:val="center"/>
              <w:rPr>
                <w:rFonts w:hint="default" w:ascii="Times New Roman" w:hAnsi="Times New Roman" w:eastAsia="黑体" w:cs="Times New Roman"/>
                <w:spacing w:val="30"/>
                <w:kern w:val="10"/>
                <w:sz w:val="30"/>
                <w:szCs w:val="24"/>
                <w:lang w:val="en-US" w:eastAsia="zh-CN" w:bidi="ar-SA"/>
              </w:rPr>
            </w:pPr>
            <w:r>
              <w:rPr>
                <w:rFonts w:hint="default" w:ascii="Times New Roman" w:hAnsi="Times New Roman" w:eastAsia="黑体" w:cs="Times New Roman"/>
                <w:spacing w:val="30"/>
                <w:kern w:val="10"/>
                <w:sz w:val="30"/>
                <w:szCs w:val="24"/>
                <w:lang w:val="en-US" w:eastAsia="zh-CN" w:bidi="ar-SA"/>
              </w:rPr>
              <w:t>22</w:t>
            </w:r>
            <w:r>
              <w:rPr>
                <w:rFonts w:hint="eastAsia" w:ascii="Times New Roman" w:hAnsi="Times New Roman" w:eastAsia="黑体" w:cs="Times New Roman"/>
                <w:spacing w:val="30"/>
                <w:kern w:val="10"/>
                <w:sz w:val="30"/>
                <w:szCs w:val="24"/>
                <w:lang w:val="en-US" w:eastAsia="zh-CN" w:bidi="ar-SA"/>
              </w:rPr>
              <w:t>电商（</w:t>
            </w:r>
            <w:r>
              <w:rPr>
                <w:rFonts w:hint="default" w:ascii="Times New Roman" w:hAnsi="Times New Roman" w:eastAsia="黑体" w:cs="Times New Roman"/>
                <w:spacing w:val="30"/>
                <w:kern w:val="10"/>
                <w:sz w:val="30"/>
                <w:szCs w:val="24"/>
                <w:lang w:val="en-US" w:eastAsia="zh-CN" w:bidi="ar-SA"/>
              </w:rPr>
              <w:t>3</w:t>
            </w:r>
            <w:r>
              <w:rPr>
                <w:rFonts w:hint="eastAsia" w:ascii="黑体" w:hAnsi="黑体" w:eastAsia="黑体" w:cs="黑体"/>
                <w:spacing w:val="30"/>
                <w:kern w:val="10"/>
                <w:sz w:val="30"/>
                <w:szCs w:val="24"/>
                <w:lang w:val="en-US" w:eastAsia="zh-CN" w:bidi="ar-SA"/>
              </w:rPr>
              <w:t>+</w:t>
            </w:r>
            <w:r>
              <w:rPr>
                <w:rFonts w:hint="eastAsia" w:ascii="Times New Roman" w:hAnsi="Times New Roman" w:eastAsia="黑体" w:cs="Times New Roman"/>
                <w:spacing w:val="30"/>
                <w:kern w:val="10"/>
                <w:sz w:val="30"/>
                <w:szCs w:val="24"/>
                <w:lang w:val="en-US" w:eastAsia="zh-CN" w:bidi="ar-SA"/>
              </w:rPr>
              <w:t>2）</w:t>
            </w:r>
          </w:p>
        </w:tc>
      </w:tr>
      <w:tr w14:paraId="099744FD">
        <w:tblPrEx>
          <w:tblCellMar>
            <w:top w:w="0" w:type="dxa"/>
            <w:left w:w="108" w:type="dxa"/>
            <w:bottom w:w="0" w:type="dxa"/>
            <w:right w:w="108" w:type="dxa"/>
          </w:tblCellMar>
        </w:tblPrEx>
        <w:trPr>
          <w:trHeight w:val="601" w:hRule="atLeast"/>
        </w:trPr>
        <w:tc>
          <w:tcPr>
            <w:tcW w:w="2448" w:type="dxa"/>
            <w:vAlign w:val="center"/>
          </w:tcPr>
          <w:p w14:paraId="323770D5">
            <w:pPr>
              <w:widowControl w:val="0"/>
              <w:bidi w:val="0"/>
              <w:spacing w:after="0" w:line="600" w:lineRule="exact"/>
              <w:ind w:firstLine="0"/>
              <w:jc w:val="center"/>
              <w:rPr>
                <w:rFonts w:ascii="Times New Roman" w:hAnsi="Times New Roman" w:eastAsia="黑体" w:cs="Times New Roman"/>
                <w:spacing w:val="30"/>
                <w:kern w:val="10"/>
                <w:sz w:val="30"/>
                <w:szCs w:val="24"/>
                <w:lang w:val="en-US" w:eastAsia="zh-CN" w:bidi="ar-SA"/>
              </w:rPr>
            </w:pPr>
            <w:r>
              <w:rPr>
                <w:rFonts w:ascii="Times New Roman" w:hAnsi="Times New Roman" w:eastAsia="黑体" w:cs="Times New Roman"/>
                <w:spacing w:val="30"/>
                <w:kern w:val="10"/>
                <w:sz w:val="30"/>
                <w:szCs w:val="24"/>
                <w:lang w:val="en-US" w:eastAsia="zh-CN" w:bidi="ar-SA"/>
              </w:rPr>
              <w:t>指导教师</w:t>
            </w:r>
          </w:p>
        </w:tc>
        <w:tc>
          <w:tcPr>
            <w:tcW w:w="4371" w:type="dxa"/>
            <w:tcBorders>
              <w:top w:val="single" w:color="auto" w:sz="4" w:space="0"/>
              <w:bottom w:val="single" w:color="auto" w:sz="4" w:space="0"/>
            </w:tcBorders>
            <w:vAlign w:val="center"/>
          </w:tcPr>
          <w:p w14:paraId="13F06D21">
            <w:pPr>
              <w:widowControl w:val="0"/>
              <w:bidi w:val="0"/>
              <w:spacing w:after="0" w:line="600" w:lineRule="exact"/>
              <w:ind w:firstLine="0"/>
              <w:jc w:val="center"/>
              <w:rPr>
                <w:rFonts w:hint="default" w:ascii="Times New Roman" w:hAnsi="Times New Roman" w:eastAsia="黑体" w:cs="Times New Roman"/>
                <w:spacing w:val="30"/>
                <w:kern w:val="10"/>
                <w:sz w:val="30"/>
                <w:szCs w:val="24"/>
                <w:lang w:val="en-US" w:eastAsia="zh-CN" w:bidi="ar-SA"/>
              </w:rPr>
            </w:pPr>
            <w:r>
              <w:rPr>
                <w:rFonts w:hint="eastAsia" w:eastAsia="黑体" w:cs="Times New Roman"/>
                <w:spacing w:val="30"/>
                <w:kern w:val="10"/>
                <w:sz w:val="30"/>
                <w:szCs w:val="24"/>
                <w:lang w:val="en-US" w:eastAsia="zh-CN" w:bidi="ar-SA"/>
              </w:rPr>
              <w:t>唐跟利</w:t>
            </w:r>
          </w:p>
        </w:tc>
      </w:tr>
      <w:tr w14:paraId="5DF2AD90">
        <w:tblPrEx>
          <w:tblCellMar>
            <w:top w:w="0" w:type="dxa"/>
            <w:left w:w="108" w:type="dxa"/>
            <w:bottom w:w="0" w:type="dxa"/>
            <w:right w:w="108" w:type="dxa"/>
          </w:tblCellMar>
        </w:tblPrEx>
        <w:trPr>
          <w:trHeight w:val="601" w:hRule="atLeast"/>
        </w:trPr>
        <w:tc>
          <w:tcPr>
            <w:tcW w:w="2448" w:type="dxa"/>
            <w:vAlign w:val="center"/>
          </w:tcPr>
          <w:p w14:paraId="0B3E41A8">
            <w:pPr>
              <w:widowControl w:val="0"/>
              <w:bidi w:val="0"/>
              <w:spacing w:after="0" w:line="600" w:lineRule="exact"/>
              <w:ind w:firstLine="0"/>
              <w:jc w:val="center"/>
              <w:rPr>
                <w:rFonts w:ascii="Times New Roman" w:hAnsi="Times New Roman" w:eastAsia="黑体" w:cs="Times New Roman"/>
                <w:spacing w:val="30"/>
                <w:kern w:val="10"/>
                <w:sz w:val="30"/>
                <w:szCs w:val="24"/>
                <w:lang w:val="en-US" w:eastAsia="zh-CN" w:bidi="ar-SA"/>
              </w:rPr>
            </w:pPr>
            <w:r>
              <w:rPr>
                <w:rFonts w:ascii="Times New Roman" w:hAnsi="Times New Roman" w:eastAsia="黑体" w:cs="Times New Roman"/>
                <w:spacing w:val="30"/>
                <w:kern w:val="10"/>
                <w:sz w:val="30"/>
                <w:szCs w:val="24"/>
                <w:lang w:val="en-US" w:eastAsia="zh-CN" w:bidi="ar-SA"/>
              </w:rPr>
              <w:t>专业名称</w:t>
            </w:r>
          </w:p>
        </w:tc>
        <w:tc>
          <w:tcPr>
            <w:tcW w:w="4371" w:type="dxa"/>
            <w:tcBorders>
              <w:top w:val="single" w:color="auto" w:sz="4" w:space="0"/>
              <w:bottom w:val="single" w:color="auto" w:sz="4" w:space="0"/>
            </w:tcBorders>
            <w:vAlign w:val="center"/>
          </w:tcPr>
          <w:p w14:paraId="6E696FCB">
            <w:pPr>
              <w:widowControl w:val="0"/>
              <w:bidi w:val="0"/>
              <w:spacing w:after="0" w:line="600" w:lineRule="exact"/>
              <w:ind w:firstLine="0"/>
              <w:jc w:val="center"/>
              <w:rPr>
                <w:rFonts w:ascii="Times New Roman" w:hAnsi="Times New Roman" w:eastAsia="黑体" w:cs="Times New Roman"/>
                <w:spacing w:val="30"/>
                <w:kern w:val="10"/>
                <w:sz w:val="30"/>
                <w:szCs w:val="24"/>
                <w:lang w:val="en-US" w:eastAsia="zh-CN" w:bidi="ar-SA"/>
              </w:rPr>
            </w:pPr>
            <w:r>
              <w:rPr>
                <w:rFonts w:hint="eastAsia" w:ascii="Times New Roman" w:hAnsi="Times New Roman" w:eastAsia="黑体" w:cs="Times New Roman"/>
                <w:spacing w:val="30"/>
                <w:kern w:val="10"/>
                <w:sz w:val="30"/>
                <w:szCs w:val="24"/>
                <w:lang w:val="en-US" w:eastAsia="zh-CN" w:bidi="ar-SA"/>
              </w:rPr>
              <w:t>电子商务</w:t>
            </w:r>
          </w:p>
        </w:tc>
      </w:tr>
      <w:tr w14:paraId="087F8933">
        <w:tblPrEx>
          <w:tblCellMar>
            <w:top w:w="0" w:type="dxa"/>
            <w:left w:w="108" w:type="dxa"/>
            <w:bottom w:w="0" w:type="dxa"/>
            <w:right w:w="108" w:type="dxa"/>
          </w:tblCellMar>
        </w:tblPrEx>
        <w:trPr>
          <w:trHeight w:val="631" w:hRule="atLeast"/>
        </w:trPr>
        <w:tc>
          <w:tcPr>
            <w:tcW w:w="2448" w:type="dxa"/>
            <w:vAlign w:val="center"/>
          </w:tcPr>
          <w:p w14:paraId="41F96007">
            <w:pPr>
              <w:widowControl w:val="0"/>
              <w:bidi w:val="0"/>
              <w:spacing w:after="0" w:line="600" w:lineRule="exact"/>
              <w:ind w:firstLine="0"/>
              <w:jc w:val="center"/>
              <w:rPr>
                <w:rFonts w:ascii="Times New Roman" w:hAnsi="Times New Roman" w:eastAsia="黑体" w:cs="Times New Roman"/>
                <w:spacing w:val="30"/>
                <w:kern w:val="10"/>
                <w:sz w:val="30"/>
                <w:szCs w:val="24"/>
                <w:lang w:val="en-US" w:eastAsia="zh-CN" w:bidi="ar-SA"/>
              </w:rPr>
            </w:pPr>
            <w:r>
              <w:rPr>
                <w:rFonts w:ascii="Times New Roman" w:hAnsi="Times New Roman" w:eastAsia="黑体" w:cs="Times New Roman"/>
                <w:spacing w:val="30"/>
                <w:kern w:val="10"/>
                <w:sz w:val="30"/>
                <w:szCs w:val="24"/>
                <w:lang w:val="en-US" w:eastAsia="zh-CN" w:bidi="ar-SA"/>
              </w:rPr>
              <w:t>学院名称</w:t>
            </w:r>
          </w:p>
        </w:tc>
        <w:tc>
          <w:tcPr>
            <w:tcW w:w="4371" w:type="dxa"/>
            <w:tcBorders>
              <w:top w:val="single" w:color="auto" w:sz="4" w:space="0"/>
              <w:bottom w:val="single" w:color="auto" w:sz="4" w:space="0"/>
            </w:tcBorders>
            <w:vAlign w:val="center"/>
          </w:tcPr>
          <w:p w14:paraId="16E5C9E8">
            <w:pPr>
              <w:widowControl w:val="0"/>
              <w:bidi w:val="0"/>
              <w:spacing w:after="0" w:line="600" w:lineRule="exact"/>
              <w:ind w:firstLine="0"/>
              <w:jc w:val="center"/>
              <w:rPr>
                <w:rFonts w:ascii="Times New Roman" w:hAnsi="Times New Roman" w:eastAsia="黑体" w:cs="Times New Roman"/>
                <w:spacing w:val="30"/>
                <w:kern w:val="10"/>
                <w:sz w:val="30"/>
                <w:szCs w:val="24"/>
                <w:lang w:val="en-US" w:eastAsia="zh-CN" w:bidi="ar-SA"/>
              </w:rPr>
            </w:pPr>
            <w:r>
              <w:rPr>
                <w:rFonts w:hint="eastAsia" w:ascii="Times New Roman" w:hAnsi="Times New Roman" w:eastAsia="黑体" w:cs="Times New Roman"/>
                <w:spacing w:val="30"/>
                <w:kern w:val="10"/>
                <w:sz w:val="30"/>
                <w:szCs w:val="24"/>
                <w:lang w:val="en-US" w:eastAsia="zh-CN" w:bidi="ar-SA"/>
              </w:rPr>
              <w:t>商</w:t>
            </w:r>
            <w:r>
              <w:rPr>
                <w:rFonts w:ascii="Times New Roman" w:hAnsi="Times New Roman" w:eastAsia="黑体" w:cs="Times New Roman"/>
                <w:spacing w:val="30"/>
                <w:kern w:val="10"/>
                <w:sz w:val="30"/>
                <w:szCs w:val="24"/>
                <w:lang w:val="en-US" w:eastAsia="zh-CN" w:bidi="ar-SA"/>
              </w:rPr>
              <w:t>学院</w:t>
            </w:r>
          </w:p>
        </w:tc>
      </w:tr>
    </w:tbl>
    <w:p w14:paraId="4CE5423F">
      <w:pPr>
        <w:tabs>
          <w:tab w:val="left" w:pos="1897"/>
          <w:tab w:val="left" w:pos="4057"/>
        </w:tabs>
        <w:adjustRightInd/>
        <w:snapToGrid/>
        <w:spacing w:line="600" w:lineRule="exact"/>
        <w:ind w:right="172" w:firstLine="0" w:firstLineChars="0"/>
        <w:jc w:val="center"/>
        <w:rPr>
          <w:rFonts w:eastAsia="黑体"/>
          <w:spacing w:val="22"/>
          <w:kern w:val="10"/>
          <w:sz w:val="30"/>
          <w:szCs w:val="24"/>
        </w:rPr>
      </w:pPr>
    </w:p>
    <w:p w14:paraId="5E845EBC">
      <w:pPr>
        <w:keepNext w:val="0"/>
        <w:keepLines w:val="0"/>
        <w:pageBreakBefore w:val="0"/>
        <w:widowControl/>
        <w:tabs>
          <w:tab w:val="left" w:pos="1897"/>
          <w:tab w:val="left" w:pos="4057"/>
        </w:tabs>
        <w:kinsoku/>
        <w:wordWrap/>
        <w:overflowPunct/>
        <w:topLinePunct w:val="0"/>
        <w:autoSpaceDE/>
        <w:autoSpaceDN/>
        <w:bidi w:val="0"/>
        <w:adjustRightInd/>
        <w:snapToGrid/>
        <w:spacing w:after="0" w:line="600" w:lineRule="exact"/>
        <w:ind w:right="170" w:firstLine="0" w:firstLineChars="0"/>
        <w:jc w:val="center"/>
        <w:textAlignment w:val="auto"/>
      </w:pPr>
      <w:r>
        <w:rPr>
          <w:rFonts w:eastAsia="黑体"/>
          <w:spacing w:val="22"/>
          <w:kern w:val="10"/>
          <w:sz w:val="30"/>
          <w:szCs w:val="24"/>
        </w:rPr>
        <w:t>20</w:t>
      </w:r>
      <w:r>
        <w:rPr>
          <w:rFonts w:hint="eastAsia" w:eastAsia="黑体"/>
          <w:spacing w:val="22"/>
          <w:kern w:val="10"/>
          <w:sz w:val="30"/>
          <w:szCs w:val="24"/>
        </w:rPr>
        <w:t>2</w:t>
      </w:r>
      <w:r>
        <w:rPr>
          <w:rFonts w:hint="eastAsia" w:eastAsia="黑体"/>
          <w:spacing w:val="22"/>
          <w:kern w:val="10"/>
          <w:sz w:val="30"/>
          <w:szCs w:val="24"/>
          <w:lang w:val="en-US" w:eastAsia="zh-CN"/>
        </w:rPr>
        <w:t>6</w:t>
      </w:r>
      <w:r>
        <w:rPr>
          <w:rFonts w:eastAsia="黑体"/>
          <w:spacing w:val="22"/>
          <w:kern w:val="10"/>
          <w:sz w:val="30"/>
          <w:szCs w:val="24"/>
        </w:rPr>
        <w:t>年</w:t>
      </w:r>
      <w:r>
        <w:rPr>
          <w:rFonts w:hint="eastAsia" w:eastAsia="黑体"/>
          <w:spacing w:val="22"/>
          <w:kern w:val="10"/>
          <w:sz w:val="30"/>
          <w:szCs w:val="24"/>
          <w:lang w:val="en-US" w:eastAsia="zh-CN"/>
        </w:rPr>
        <w:t>5</w:t>
      </w:r>
      <w:r>
        <w:rPr>
          <w:rFonts w:eastAsia="黑体"/>
          <w:spacing w:val="22"/>
          <w:kern w:val="10"/>
          <w:sz w:val="30"/>
          <w:szCs w:val="24"/>
        </w:rPr>
        <w:t>月</w:t>
      </w:r>
      <w:r>
        <w:rPr>
          <w:rFonts w:hint="eastAsia" w:eastAsia="黑体"/>
          <w:spacing w:val="22"/>
          <w:kern w:val="10"/>
          <w:sz w:val="30"/>
          <w:szCs w:val="24"/>
          <w:lang w:val="en-US" w:eastAsia="zh-CN"/>
        </w:rPr>
        <w:t>22</w:t>
      </w:r>
      <w:r>
        <w:rPr>
          <w:rFonts w:eastAsia="黑体"/>
          <w:spacing w:val="22"/>
          <w:kern w:val="10"/>
          <w:sz w:val="30"/>
          <w:szCs w:val="24"/>
        </w:rPr>
        <w:t>日</w:t>
      </w:r>
      <w:bookmarkEnd w:id="1"/>
      <w:r>
        <w:br w:type="page"/>
      </w:r>
    </w:p>
    <w:bookmarkEnd w:id="0"/>
    <w:p w14:paraId="7DCE312F">
      <w:pPr>
        <w:spacing w:after="120" w:afterLines="50"/>
        <w:jc w:val="center"/>
        <w:rPr>
          <w:rFonts w:eastAsia="黑体"/>
          <w:bCs/>
          <w:sz w:val="36"/>
          <w:szCs w:val="36"/>
        </w:rPr>
      </w:pPr>
      <w:bookmarkStart w:id="2" w:name="_Toc308726998"/>
      <w:bookmarkStart w:id="3" w:name="_Toc566623854"/>
      <w:r>
        <w:rPr>
          <w:rFonts w:eastAsia="黑体"/>
          <w:bCs/>
          <w:sz w:val="36"/>
          <w:szCs w:val="36"/>
        </w:rPr>
        <w:t>徐州工程学院</w:t>
      </w:r>
      <w:r>
        <w:rPr>
          <w:rFonts w:hint="eastAsia" w:eastAsia="黑体"/>
          <w:bCs/>
          <w:sz w:val="36"/>
          <w:szCs w:val="36"/>
        </w:rPr>
        <w:t>毕业</w:t>
      </w:r>
      <w:r>
        <w:rPr>
          <w:rFonts w:eastAsia="黑体"/>
          <w:bCs/>
          <w:sz w:val="36"/>
          <w:szCs w:val="36"/>
        </w:rPr>
        <w:t>论文原创性声明</w:t>
      </w:r>
    </w:p>
    <w:p w14:paraId="1FD90770">
      <w:pPr>
        <w:spacing w:line="600" w:lineRule="exact"/>
        <w:ind w:firstLine="537" w:firstLineChars="192"/>
        <w:rPr>
          <w:rFonts w:eastAsia="仿宋_GB2312"/>
          <w:sz w:val="28"/>
          <w:szCs w:val="28"/>
        </w:rPr>
      </w:pPr>
      <w:r>
        <w:rPr>
          <w:rFonts w:eastAsia="仿宋_GB2312"/>
          <w:sz w:val="28"/>
          <w:szCs w:val="28"/>
        </w:rPr>
        <w:t>本人郑重声明： 所呈交的</w:t>
      </w:r>
      <w:r>
        <w:rPr>
          <w:rFonts w:hint="eastAsia" w:eastAsia="仿宋_GB2312"/>
          <w:sz w:val="28"/>
          <w:szCs w:val="28"/>
        </w:rPr>
        <w:t>毕业</w:t>
      </w:r>
      <w:r>
        <w:rPr>
          <w:rFonts w:eastAsia="仿宋_GB2312"/>
          <w:sz w:val="28"/>
          <w:szCs w:val="28"/>
        </w:rPr>
        <w:t>论文，是本人在导师的指导下，独立进行研究工作所取得的成果。除文中已经注明引用或参考的内容外，本论文不含任何其他个人或集体已经发表或撰写过的作品或成果。对本文的研究做出重要贡献的个人和集体，均已在文中以明确方式标注。</w:t>
      </w:r>
    </w:p>
    <w:p w14:paraId="4C557103">
      <w:pPr>
        <w:spacing w:line="600" w:lineRule="exact"/>
        <w:ind w:firstLine="537" w:firstLineChars="192"/>
        <w:rPr>
          <w:rFonts w:eastAsia="仿宋_GB2312"/>
          <w:sz w:val="28"/>
          <w:szCs w:val="28"/>
        </w:rPr>
      </w:pPr>
      <w:r>
        <w:rPr>
          <w:rFonts w:eastAsia="仿宋_GB2312"/>
          <w:sz w:val="28"/>
          <w:szCs w:val="28"/>
        </w:rPr>
        <w:t>本人完全意识到本声明的法律结果由本人承担。</w:t>
      </w:r>
    </w:p>
    <w:p w14:paraId="4F620026">
      <w:pPr>
        <w:spacing w:before="120" w:beforeLines="50" w:after="120" w:afterLines="50" w:line="900" w:lineRule="exact"/>
        <w:jc w:val="left"/>
        <w:rPr>
          <w:rFonts w:eastAsia="仿宋_GB2312"/>
          <w:sz w:val="28"/>
          <w:szCs w:val="28"/>
        </w:rPr>
      </w:pPr>
      <w:r>
        <w:rPr>
          <w:rFonts w:eastAsia="仿宋_GB2312"/>
          <w:sz w:val="28"/>
          <w:szCs w:val="28"/>
        </w:rPr>
        <w:t>论文作者签名：</w:t>
      </w:r>
      <w:r>
        <w:rPr>
          <w:rFonts w:eastAsia="仿宋_GB2312"/>
          <w:sz w:val="28"/>
          <w:szCs w:val="28"/>
          <w:u w:val="single"/>
        </w:rPr>
        <w:t xml:space="preserve">    　　     </w:t>
      </w:r>
      <w:r>
        <w:rPr>
          <w:rFonts w:hint="eastAsia" w:eastAsia="仿宋_GB2312"/>
          <w:sz w:val="28"/>
          <w:szCs w:val="28"/>
          <w:u w:val="single"/>
          <w:lang w:val="en-US" w:eastAsia="zh-CN"/>
        </w:rPr>
        <w:t xml:space="preserve">           </w:t>
      </w:r>
      <w:r>
        <w:rPr>
          <w:rFonts w:eastAsia="仿宋_GB2312"/>
          <w:sz w:val="28"/>
          <w:szCs w:val="28"/>
          <w:u w:val="single"/>
        </w:rPr>
        <w:t xml:space="preserve"> </w:t>
      </w:r>
      <w:r>
        <w:rPr>
          <w:rFonts w:eastAsia="仿宋_GB2312"/>
          <w:sz w:val="28"/>
          <w:szCs w:val="28"/>
        </w:rPr>
        <w:t xml:space="preserve">  　　日期：</w:t>
      </w:r>
      <w:r>
        <w:rPr>
          <w:rFonts w:eastAsia="仿宋_GB2312"/>
          <w:sz w:val="28"/>
          <w:szCs w:val="28"/>
          <w:u w:val="single"/>
        </w:rPr>
        <w:t xml:space="preserve">  </w:t>
      </w:r>
      <w:r>
        <w:rPr>
          <w:rFonts w:hint="eastAsia" w:eastAsia="仿宋_GB2312"/>
          <w:sz w:val="28"/>
          <w:szCs w:val="28"/>
          <w:u w:val="single"/>
          <w:lang w:val="en-US" w:eastAsia="zh-CN"/>
        </w:rPr>
        <w:t xml:space="preserve">2026  </w:t>
      </w:r>
      <w:r>
        <w:rPr>
          <w:rFonts w:eastAsia="仿宋_GB2312"/>
          <w:sz w:val="28"/>
          <w:szCs w:val="28"/>
          <w:u w:val="single"/>
        </w:rPr>
        <w:t xml:space="preserve"> </w:t>
      </w:r>
      <w:r>
        <w:rPr>
          <w:rFonts w:eastAsia="仿宋_GB2312"/>
          <w:sz w:val="28"/>
          <w:szCs w:val="28"/>
        </w:rPr>
        <w:t>年</w:t>
      </w:r>
      <w:r>
        <w:rPr>
          <w:rFonts w:eastAsia="仿宋_GB2312"/>
          <w:sz w:val="28"/>
          <w:szCs w:val="28"/>
          <w:u w:val="single"/>
        </w:rPr>
        <w:t xml:space="preserve"> </w:t>
      </w:r>
      <w:r>
        <w:rPr>
          <w:rFonts w:hint="eastAsia" w:eastAsia="仿宋_GB2312"/>
          <w:sz w:val="28"/>
          <w:szCs w:val="28"/>
          <w:u w:val="single"/>
          <w:lang w:val="en-US" w:eastAsia="zh-CN"/>
        </w:rPr>
        <w:t xml:space="preserve"> </w:t>
      </w:r>
      <w:r>
        <w:rPr>
          <w:rFonts w:eastAsia="仿宋_GB2312"/>
          <w:sz w:val="28"/>
          <w:szCs w:val="28"/>
          <w:u w:val="single"/>
        </w:rPr>
        <w:t xml:space="preserve"> </w:t>
      </w:r>
      <w:r>
        <w:rPr>
          <w:rFonts w:hint="eastAsia" w:eastAsia="仿宋_GB2312"/>
          <w:sz w:val="28"/>
          <w:szCs w:val="28"/>
          <w:u w:val="single"/>
          <w:lang w:val="en-US" w:eastAsia="zh-CN"/>
        </w:rPr>
        <w:t>5</w:t>
      </w:r>
      <w:r>
        <w:rPr>
          <w:rFonts w:eastAsia="仿宋_GB2312"/>
          <w:sz w:val="28"/>
          <w:szCs w:val="28"/>
          <w:u w:val="single"/>
        </w:rPr>
        <w:t>　</w:t>
      </w:r>
      <w:r>
        <w:rPr>
          <w:rFonts w:eastAsia="仿宋_GB2312"/>
          <w:sz w:val="28"/>
          <w:szCs w:val="28"/>
        </w:rPr>
        <w:t>月</w:t>
      </w:r>
      <w:r>
        <w:rPr>
          <w:rFonts w:eastAsia="仿宋_GB2312"/>
          <w:sz w:val="28"/>
          <w:szCs w:val="28"/>
          <w:u w:val="single"/>
        </w:rPr>
        <w:t>　</w:t>
      </w:r>
      <w:r>
        <w:rPr>
          <w:rFonts w:hint="eastAsia" w:eastAsia="仿宋_GB2312"/>
          <w:sz w:val="28"/>
          <w:szCs w:val="28"/>
          <w:u w:val="single"/>
          <w:lang w:val="en-US" w:eastAsia="zh-CN"/>
        </w:rPr>
        <w:t>22</w:t>
      </w:r>
      <w:r>
        <w:rPr>
          <w:rFonts w:hint="eastAsia" w:eastAsia="仿宋_GB2312"/>
          <w:color w:val="C0504D" w:themeColor="accent2"/>
          <w:sz w:val="28"/>
          <w:szCs w:val="28"/>
          <w:u w:val="single"/>
          <w:lang w:val="en-US" w:eastAsia="zh-CN"/>
          <w14:textFill>
            <w14:solidFill>
              <w14:schemeClr w14:val="accent2"/>
            </w14:solidFill>
          </w14:textFill>
        </w:rPr>
        <w:t xml:space="preserve"> </w:t>
      </w:r>
      <w:r>
        <w:rPr>
          <w:rFonts w:eastAsia="仿宋_GB2312"/>
          <w:color w:val="C0504D" w:themeColor="accent2"/>
          <w:sz w:val="28"/>
          <w:szCs w:val="28"/>
          <w:u w:val="single"/>
          <w14:textFill>
            <w14:solidFill>
              <w14:schemeClr w14:val="accent2"/>
            </w14:solidFill>
          </w14:textFill>
        </w:rPr>
        <w:t xml:space="preserve"> </w:t>
      </w:r>
      <w:r>
        <w:rPr>
          <w:rFonts w:eastAsia="仿宋_GB2312"/>
          <w:sz w:val="28"/>
          <w:szCs w:val="28"/>
          <w:u w:val="single"/>
        </w:rPr>
        <w:t>　</w:t>
      </w:r>
      <w:r>
        <w:rPr>
          <w:rFonts w:eastAsia="仿宋_GB2312"/>
          <w:sz w:val="28"/>
          <w:szCs w:val="28"/>
        </w:rPr>
        <w:t>日</w:t>
      </w:r>
    </w:p>
    <w:p w14:paraId="7C0DA59B">
      <w:pPr>
        <w:spacing w:before="240" w:beforeLines="100" w:after="120" w:afterLines="50" w:line="720" w:lineRule="auto"/>
        <w:jc w:val="center"/>
        <w:rPr>
          <w:b/>
        </w:rPr>
      </w:pPr>
    </w:p>
    <w:p w14:paraId="5C291853">
      <w:pPr>
        <w:spacing w:before="240" w:beforeLines="100" w:after="120" w:afterLines="50"/>
        <w:jc w:val="center"/>
        <w:rPr>
          <w:rFonts w:eastAsia="黑体"/>
          <w:bCs/>
          <w:sz w:val="36"/>
          <w:szCs w:val="36"/>
        </w:rPr>
      </w:pPr>
      <w:r>
        <w:rPr>
          <w:rFonts w:eastAsia="黑体"/>
          <w:bCs/>
          <w:sz w:val="36"/>
          <w:szCs w:val="36"/>
        </w:rPr>
        <w:t>徐州工程学院</w:t>
      </w:r>
      <w:r>
        <w:rPr>
          <w:rFonts w:hint="eastAsia" w:eastAsia="黑体"/>
          <w:bCs/>
          <w:sz w:val="36"/>
          <w:szCs w:val="36"/>
        </w:rPr>
        <w:t>毕业</w:t>
      </w:r>
      <w:r>
        <w:rPr>
          <w:rFonts w:eastAsia="黑体"/>
          <w:bCs/>
          <w:sz w:val="36"/>
          <w:szCs w:val="36"/>
        </w:rPr>
        <w:t>论文版权协议书</w:t>
      </w:r>
    </w:p>
    <w:p w14:paraId="3DDFC9B0">
      <w:pPr>
        <w:spacing w:line="600" w:lineRule="exact"/>
        <w:ind w:firstLine="560" w:firstLineChars="200"/>
        <w:rPr>
          <w:rFonts w:eastAsia="仿宋_GB2312"/>
          <w:sz w:val="28"/>
          <w:szCs w:val="28"/>
        </w:rPr>
      </w:pPr>
      <w:r>
        <w:rPr>
          <w:rFonts w:eastAsia="仿宋_GB2312"/>
          <w:sz w:val="28"/>
          <w:szCs w:val="28"/>
        </w:rPr>
        <w:t>本人完全了解徐州工程学院关于收集、保存、使用</w:t>
      </w:r>
      <w:r>
        <w:rPr>
          <w:rFonts w:hint="eastAsia" w:eastAsia="仿宋_GB2312"/>
          <w:sz w:val="28"/>
          <w:szCs w:val="28"/>
        </w:rPr>
        <w:t>毕业</w:t>
      </w:r>
      <w:r>
        <w:rPr>
          <w:rFonts w:eastAsia="仿宋_GB2312"/>
          <w:sz w:val="28"/>
          <w:szCs w:val="28"/>
        </w:rPr>
        <w:t>论文的规定，即：本校学生在学习期间所完成的</w:t>
      </w:r>
      <w:r>
        <w:rPr>
          <w:rFonts w:hint="eastAsia" w:eastAsia="仿宋_GB2312"/>
          <w:sz w:val="28"/>
          <w:szCs w:val="28"/>
        </w:rPr>
        <w:t>毕业</w:t>
      </w:r>
      <w:r>
        <w:rPr>
          <w:rFonts w:eastAsia="仿宋_GB2312"/>
          <w:sz w:val="28"/>
          <w:szCs w:val="28"/>
        </w:rPr>
        <w:t>论文的知识产权归徐州工程学院所拥有。徐州工程学院有权保留并向国家有关部门或机构送交</w:t>
      </w:r>
      <w:r>
        <w:rPr>
          <w:rFonts w:hint="eastAsia" w:eastAsia="仿宋_GB2312"/>
          <w:sz w:val="28"/>
          <w:szCs w:val="28"/>
        </w:rPr>
        <w:t>毕业</w:t>
      </w:r>
      <w:r>
        <w:rPr>
          <w:rFonts w:eastAsia="仿宋_GB2312"/>
          <w:sz w:val="28"/>
          <w:szCs w:val="28"/>
        </w:rPr>
        <w:t>论文的纸本复印件和电子文档拷贝，允许论文被查阅和借阅。徐州工程学院可以公布</w:t>
      </w:r>
      <w:r>
        <w:rPr>
          <w:rFonts w:hint="eastAsia" w:eastAsia="仿宋_GB2312"/>
          <w:sz w:val="28"/>
          <w:szCs w:val="28"/>
        </w:rPr>
        <w:t>毕业</w:t>
      </w:r>
      <w:r>
        <w:rPr>
          <w:rFonts w:eastAsia="仿宋_GB2312"/>
          <w:sz w:val="28"/>
          <w:szCs w:val="28"/>
        </w:rPr>
        <w:t>论文的全部或部分内容，可以将本</w:t>
      </w:r>
      <w:r>
        <w:rPr>
          <w:rFonts w:hint="eastAsia" w:eastAsia="仿宋_GB2312"/>
          <w:sz w:val="28"/>
          <w:szCs w:val="28"/>
        </w:rPr>
        <w:t>毕业</w:t>
      </w:r>
      <w:r>
        <w:rPr>
          <w:rFonts w:eastAsia="仿宋_GB2312"/>
          <w:sz w:val="28"/>
          <w:szCs w:val="28"/>
        </w:rPr>
        <w:t>论文的全部或部分内容提交至各类数据库进行发布和检索，可以采用影印、缩印或扫描等复制手段保存和汇编本</w:t>
      </w:r>
      <w:r>
        <w:rPr>
          <w:rFonts w:hint="eastAsia" w:eastAsia="仿宋_GB2312"/>
          <w:sz w:val="28"/>
          <w:szCs w:val="28"/>
        </w:rPr>
        <w:t>毕业</w:t>
      </w:r>
      <w:r>
        <w:rPr>
          <w:rFonts w:eastAsia="仿宋_GB2312"/>
          <w:sz w:val="28"/>
          <w:szCs w:val="28"/>
        </w:rPr>
        <w:t>论文。</w:t>
      </w:r>
    </w:p>
    <w:p w14:paraId="0FEB273D">
      <w:pPr>
        <w:spacing w:line="900" w:lineRule="exact"/>
        <w:jc w:val="left"/>
        <w:rPr>
          <w:rFonts w:eastAsia="仿宋_GB2312"/>
          <w:sz w:val="28"/>
          <w:szCs w:val="28"/>
        </w:rPr>
      </w:pPr>
      <w:r>
        <w:rPr>
          <w:rFonts w:eastAsia="仿宋_GB2312"/>
          <w:sz w:val="28"/>
          <w:szCs w:val="28"/>
        </w:rPr>
        <w:t>论文作者签名：</w:t>
      </w:r>
      <w:r>
        <w:rPr>
          <w:rFonts w:eastAsia="仿宋_GB2312"/>
          <w:sz w:val="28"/>
          <w:szCs w:val="28"/>
          <w:u w:val="single"/>
        </w:rPr>
        <w:t xml:space="preserve">    </w:t>
      </w:r>
      <w:r>
        <w:rPr>
          <w:rFonts w:hint="eastAsia" w:eastAsia="仿宋_GB2312"/>
          <w:sz w:val="28"/>
          <w:szCs w:val="28"/>
          <w:u w:val="single"/>
          <w:lang w:val="en-US" w:eastAsia="zh-CN"/>
        </w:rPr>
        <w:t xml:space="preserve">      </w:t>
      </w:r>
      <w:r>
        <w:rPr>
          <w:rFonts w:eastAsia="仿宋_GB2312"/>
          <w:sz w:val="28"/>
          <w:szCs w:val="28"/>
          <w:u w:val="single"/>
        </w:rPr>
        <w:t xml:space="preserve"> 　　     </w:t>
      </w:r>
      <w:r>
        <w:rPr>
          <w:rFonts w:eastAsia="仿宋_GB2312"/>
          <w:sz w:val="28"/>
          <w:szCs w:val="28"/>
        </w:rPr>
        <w:t xml:space="preserve">       </w:t>
      </w:r>
      <w:r>
        <w:rPr>
          <w:rFonts w:hint="eastAsia" w:eastAsia="仿宋_GB2312"/>
          <w:sz w:val="28"/>
          <w:szCs w:val="28"/>
          <w:lang w:val="en-US" w:eastAsia="zh-CN"/>
        </w:rPr>
        <w:t xml:space="preserve">        </w:t>
      </w:r>
      <w:r>
        <w:rPr>
          <w:rFonts w:eastAsia="仿宋_GB2312"/>
          <w:sz w:val="28"/>
          <w:szCs w:val="28"/>
        </w:rPr>
        <w:t>导师签名：</w:t>
      </w:r>
      <w:r>
        <w:rPr>
          <w:rFonts w:eastAsia="仿宋_GB2312"/>
          <w:sz w:val="28"/>
          <w:szCs w:val="28"/>
          <w:u w:val="single"/>
        </w:rPr>
        <w:t xml:space="preserve">     </w:t>
      </w:r>
      <w:r>
        <w:rPr>
          <w:rFonts w:hint="eastAsia" w:eastAsia="仿宋_GB2312"/>
          <w:sz w:val="28"/>
          <w:szCs w:val="28"/>
          <w:u w:val="single"/>
          <w:lang w:val="en-US" w:eastAsia="zh-CN"/>
        </w:rPr>
        <w:t xml:space="preserve">        </w:t>
      </w:r>
      <w:r>
        <w:rPr>
          <w:rFonts w:eastAsia="仿宋_GB2312"/>
          <w:sz w:val="28"/>
          <w:szCs w:val="28"/>
          <w:u w:val="single"/>
        </w:rPr>
        <w:t xml:space="preserve">　　     </w:t>
      </w:r>
      <w:r>
        <w:rPr>
          <w:rFonts w:eastAsia="仿宋_GB2312"/>
          <w:sz w:val="28"/>
          <w:szCs w:val="28"/>
        </w:rPr>
        <w:t xml:space="preserve">           </w:t>
      </w:r>
    </w:p>
    <w:p w14:paraId="04F39CF9">
      <w:pPr>
        <w:spacing w:line="800" w:lineRule="exact"/>
        <w:rPr>
          <w:rFonts w:eastAsia="仿宋_GB2312"/>
          <w:sz w:val="28"/>
          <w:szCs w:val="28"/>
        </w:rPr>
      </w:pPr>
      <w:r>
        <w:rPr>
          <w:rFonts w:eastAsia="仿宋_GB2312"/>
          <w:sz w:val="28"/>
          <w:szCs w:val="28"/>
        </w:rPr>
        <w:t>日期：</w:t>
      </w:r>
      <w:r>
        <w:rPr>
          <w:rFonts w:eastAsia="仿宋_GB2312"/>
          <w:sz w:val="28"/>
          <w:szCs w:val="28"/>
          <w:u w:val="single"/>
        </w:rPr>
        <w:t xml:space="preserve"> </w:t>
      </w:r>
      <w:r>
        <w:rPr>
          <w:rFonts w:hint="eastAsia" w:eastAsia="仿宋_GB2312"/>
          <w:sz w:val="28"/>
          <w:szCs w:val="28"/>
          <w:u w:val="single"/>
          <w:lang w:val="en-US" w:eastAsia="zh-CN"/>
        </w:rPr>
        <w:t>2026</w:t>
      </w:r>
      <w:r>
        <w:rPr>
          <w:rFonts w:eastAsia="仿宋_GB2312"/>
          <w:sz w:val="28"/>
          <w:szCs w:val="28"/>
          <w:u w:val="single"/>
        </w:rPr>
        <w:t xml:space="preserve">   </w:t>
      </w:r>
      <w:r>
        <w:rPr>
          <w:rFonts w:eastAsia="仿宋_GB2312"/>
          <w:sz w:val="28"/>
          <w:szCs w:val="28"/>
        </w:rPr>
        <w:t>年</w:t>
      </w:r>
      <w:r>
        <w:rPr>
          <w:rFonts w:eastAsia="仿宋_GB2312"/>
          <w:sz w:val="28"/>
          <w:szCs w:val="28"/>
          <w:u w:val="single"/>
        </w:rPr>
        <w:t xml:space="preserve">  </w:t>
      </w:r>
      <w:r>
        <w:rPr>
          <w:rFonts w:hint="eastAsia" w:eastAsia="仿宋_GB2312"/>
          <w:sz w:val="28"/>
          <w:szCs w:val="28"/>
          <w:u w:val="single"/>
          <w:lang w:val="en-US" w:eastAsia="zh-CN"/>
        </w:rPr>
        <w:t>5</w:t>
      </w:r>
      <w:r>
        <w:rPr>
          <w:rFonts w:eastAsia="仿宋_GB2312"/>
          <w:sz w:val="28"/>
          <w:szCs w:val="28"/>
        </w:rPr>
        <w:t>月</w:t>
      </w:r>
      <w:r>
        <w:rPr>
          <w:rFonts w:hint="eastAsia" w:eastAsia="仿宋_GB2312"/>
          <w:sz w:val="28"/>
          <w:szCs w:val="28"/>
          <w:u w:val="single"/>
          <w:lang w:val="en-US" w:eastAsia="zh-CN"/>
        </w:rPr>
        <w:t>22</w:t>
      </w:r>
      <w:r>
        <w:rPr>
          <w:rFonts w:eastAsia="仿宋_GB2312"/>
          <w:sz w:val="28"/>
          <w:szCs w:val="28"/>
        </w:rPr>
        <w:t xml:space="preserve">日      </w:t>
      </w:r>
      <w:r>
        <w:rPr>
          <w:rFonts w:hint="eastAsia" w:eastAsia="仿宋_GB2312"/>
          <w:sz w:val="28"/>
          <w:szCs w:val="28"/>
          <w:lang w:val="en-US" w:eastAsia="zh-CN"/>
        </w:rPr>
        <w:t xml:space="preserve">             </w:t>
      </w:r>
      <w:r>
        <w:rPr>
          <w:rFonts w:eastAsia="仿宋_GB2312"/>
          <w:sz w:val="28"/>
          <w:szCs w:val="28"/>
        </w:rPr>
        <w:t xml:space="preserve"> 日期：</w:t>
      </w:r>
      <w:r>
        <w:rPr>
          <w:rFonts w:eastAsia="仿宋_GB2312"/>
          <w:sz w:val="28"/>
          <w:szCs w:val="28"/>
          <w:u w:val="single"/>
        </w:rPr>
        <w:t xml:space="preserve"> </w:t>
      </w:r>
      <w:r>
        <w:rPr>
          <w:rFonts w:hint="eastAsia" w:eastAsia="仿宋_GB2312"/>
          <w:sz w:val="28"/>
          <w:szCs w:val="28"/>
          <w:u w:val="single"/>
          <w:lang w:val="en-US" w:eastAsia="zh-CN"/>
        </w:rPr>
        <w:t>2026</w:t>
      </w:r>
      <w:r>
        <w:rPr>
          <w:rFonts w:eastAsia="仿宋_GB2312"/>
          <w:sz w:val="28"/>
          <w:szCs w:val="28"/>
          <w:u w:val="single"/>
        </w:rPr>
        <w:t xml:space="preserve">  </w:t>
      </w:r>
      <w:r>
        <w:rPr>
          <w:rFonts w:eastAsia="仿宋_GB2312"/>
          <w:sz w:val="28"/>
          <w:szCs w:val="28"/>
        </w:rPr>
        <w:t>年</w:t>
      </w:r>
      <w:r>
        <w:rPr>
          <w:rFonts w:eastAsia="仿宋_GB2312"/>
          <w:sz w:val="28"/>
          <w:szCs w:val="28"/>
          <w:u w:val="single"/>
        </w:rPr>
        <w:t xml:space="preserve">  </w:t>
      </w:r>
      <w:r>
        <w:rPr>
          <w:rFonts w:hint="eastAsia" w:eastAsia="仿宋_GB2312"/>
          <w:sz w:val="28"/>
          <w:szCs w:val="28"/>
          <w:u w:val="single"/>
          <w:lang w:val="en-US" w:eastAsia="zh-CN"/>
        </w:rPr>
        <w:t>5</w:t>
      </w:r>
      <w:r>
        <w:rPr>
          <w:rFonts w:eastAsia="仿宋_GB2312"/>
          <w:sz w:val="28"/>
          <w:szCs w:val="28"/>
          <w:u w:val="single"/>
        </w:rPr>
        <w:t>　</w:t>
      </w:r>
      <w:r>
        <w:rPr>
          <w:rFonts w:eastAsia="仿宋_GB2312"/>
          <w:sz w:val="28"/>
          <w:szCs w:val="28"/>
        </w:rPr>
        <w:t>月</w:t>
      </w:r>
      <w:r>
        <w:rPr>
          <w:rFonts w:eastAsia="仿宋_GB2312"/>
          <w:sz w:val="28"/>
          <w:szCs w:val="28"/>
          <w:u w:val="single"/>
        </w:rPr>
        <w:t xml:space="preserve">　 </w:t>
      </w:r>
      <w:r>
        <w:rPr>
          <w:rFonts w:hint="eastAsia" w:eastAsia="仿宋_GB2312"/>
          <w:sz w:val="28"/>
          <w:szCs w:val="28"/>
          <w:u w:val="single"/>
          <w:lang w:val="en-US" w:eastAsia="zh-CN"/>
        </w:rPr>
        <w:t>22</w:t>
      </w:r>
      <w:r>
        <w:rPr>
          <w:rFonts w:eastAsia="仿宋_GB2312"/>
          <w:sz w:val="28"/>
          <w:szCs w:val="28"/>
          <w:u w:val="single"/>
        </w:rPr>
        <w:t>　</w:t>
      </w:r>
      <w:r>
        <w:rPr>
          <w:rFonts w:eastAsia="仿宋_GB2312"/>
          <w:sz w:val="28"/>
          <w:szCs w:val="28"/>
        </w:rPr>
        <w:t>日</w:t>
      </w:r>
    </w:p>
    <w:p w14:paraId="138C732E">
      <w:pPr>
        <w:spacing w:before="120" w:beforeLines="50" w:after="120" w:afterLines="50" w:line="360" w:lineRule="auto"/>
        <w:ind w:right="480" w:rightChars="200"/>
        <w:jc w:val="center"/>
        <w:outlineLvl w:val="0"/>
        <w:rPr>
          <w:rFonts w:eastAsia="黑体"/>
          <w:sz w:val="36"/>
          <w:szCs w:val="36"/>
        </w:rPr>
        <w:sectPr>
          <w:headerReference r:id="rId5" w:type="default"/>
          <w:pgSz w:w="11906" w:h="16838"/>
          <w:pgMar w:top="1418" w:right="1134" w:bottom="1418" w:left="1418" w:header="851" w:footer="851" w:gutter="0"/>
          <w:pgBorders>
            <w:top w:val="none" w:sz="0" w:space="0"/>
            <w:left w:val="none" w:sz="0" w:space="0"/>
            <w:bottom w:val="none" w:sz="0" w:space="0"/>
            <w:right w:val="none" w:sz="0" w:space="0"/>
          </w:pgBorders>
          <w:pgNumType w:fmt="upperRoman" w:start="1"/>
          <w:cols w:space="425" w:num="1"/>
          <w:titlePg/>
          <w:docGrid w:linePitch="312" w:charSpace="0"/>
        </w:sectPr>
      </w:pPr>
    </w:p>
    <w:p w14:paraId="148337FA">
      <w:pPr>
        <w:pStyle w:val="17"/>
        <w:rPr>
          <w:rFonts w:hint="eastAsia"/>
        </w:rPr>
      </w:pPr>
      <w:bookmarkStart w:id="4" w:name="_Toc13456"/>
      <w:bookmarkStart w:id="5" w:name="_Toc1097579222"/>
      <w:bookmarkStart w:id="6" w:name="_Toc1772747648"/>
      <w:r>
        <w:rPr>
          <w:rFonts w:hint="eastAsia"/>
        </w:rPr>
        <w:t>摘 要</w:t>
      </w:r>
      <w:bookmarkEnd w:id="2"/>
      <w:bookmarkEnd w:id="3"/>
      <w:bookmarkEnd w:id="4"/>
      <w:bookmarkEnd w:id="5"/>
      <w:bookmarkEnd w:id="6"/>
    </w:p>
    <w:p w14:paraId="4804E1A0">
      <w:pPr>
        <w:widowControl w:val="0"/>
        <w:adjustRightInd w:val="0"/>
        <w:snapToGrid w:val="0"/>
        <w:spacing w:after="0" w:line="400" w:lineRule="exact"/>
        <w:ind w:firstLine="480" w:firstLineChars="200"/>
        <w:rPr>
          <w:rFonts w:hint="eastAsia" w:ascii="Times New Roman" w:hAnsi="Times New Roman" w:cs="Times New Roman"/>
          <w:color w:val="000000" w:themeColor="text1"/>
          <w:kern w:val="2"/>
          <w:szCs w:val="18"/>
          <w:lang w:val="en-US" w:eastAsia="zh-CN" w:bidi="ar-SA"/>
          <w14:textFill>
            <w14:solidFill>
              <w14:schemeClr w14:val="tx1"/>
            </w14:solidFill>
          </w14:textFill>
        </w:rPr>
      </w:pPr>
      <w:r>
        <w:rPr>
          <w:rFonts w:hint="eastAsia" w:ascii="Times New Roman" w:hAnsi="Times New Roman" w:cs="Times New Roman"/>
          <w:color w:val="000000" w:themeColor="text1"/>
          <w:kern w:val="2"/>
          <w:szCs w:val="18"/>
          <w:lang w:val="en-US" w:eastAsia="zh-CN" w:bidi="ar-SA"/>
          <w14:textFill>
            <w14:solidFill>
              <w14:schemeClr w14:val="tx1"/>
            </w14:solidFill>
          </w14:textFill>
        </w:rPr>
        <w:t>随着电子商务的发展以及消费者的品牌意识逐渐提高，传统的特色加工品进行电商化转型是促进地方经济发展的有效途径。南京盐水鸭是有着悠久历史的传统特色食品，有着丰富的历史文化内涵以及独特的制作技艺，但是在电商品牌建设上还存在着很多问题。本文以南京盐水鸭为研究对象，运用文献研究法、案例分析法、问卷调查法等方法对加工品电商品牌建设的相关理论及实际情况进行了探讨。结果表明，目前南京盐水鸭电商品牌建设中存在品牌意识淡薄、产品雷同、宣传不够、供应链不健全等问题。针对这些问题，本文从品牌定位、品质管理、文化赋能、数字化营销、供应链优化等方面提出相应的对策建议。研究成果对促进传统特色加工品电商品牌建设起到积极的作用。</w:t>
      </w:r>
    </w:p>
    <w:p w14:paraId="55E4671E">
      <w:pPr>
        <w:widowControl w:val="0"/>
        <w:adjustRightInd w:val="0"/>
        <w:snapToGrid w:val="0"/>
        <w:spacing w:after="0" w:line="400" w:lineRule="exact"/>
        <w:ind w:firstLine="480" w:firstLineChars="200"/>
        <w:rPr>
          <w:rFonts w:hint="eastAsia" w:ascii="Times New Roman" w:hAnsi="Times New Roman" w:cs="Times New Roman"/>
          <w:color w:val="000000" w:themeColor="text1"/>
          <w:kern w:val="2"/>
          <w:szCs w:val="18"/>
          <w:lang w:val="en-US" w:eastAsia="zh-CN" w:bidi="ar-SA"/>
          <w14:textFill>
            <w14:solidFill>
              <w14:schemeClr w14:val="tx1"/>
            </w14:solidFill>
          </w14:textFill>
        </w:rPr>
      </w:pPr>
    </w:p>
    <w:p w14:paraId="32EADE4B">
      <w:pPr>
        <w:widowControl w:val="0"/>
        <w:adjustRightInd w:val="0"/>
        <w:snapToGrid w:val="0"/>
        <w:spacing w:after="0" w:line="400" w:lineRule="exact"/>
        <w:ind w:left="0" w:leftChars="0" w:firstLine="0" w:firstLineChars="0"/>
        <w:rPr>
          <w:rFonts w:hint="eastAsia" w:ascii="Times New Roman" w:hAnsi="Times New Roman" w:cs="Times New Roman"/>
          <w:b w:val="0"/>
          <w:bCs/>
          <w:color w:val="000000" w:themeColor="text1"/>
          <w:kern w:val="2"/>
          <w:szCs w:val="18"/>
          <w:lang w:val="en-US" w:eastAsia="zh-CN" w:bidi="ar-SA"/>
          <w14:textFill>
            <w14:solidFill>
              <w14:schemeClr w14:val="tx1"/>
            </w14:solidFill>
          </w14:textFill>
        </w:rPr>
      </w:pPr>
      <w:r>
        <w:rPr>
          <w:rFonts w:hint="eastAsia" w:ascii="Times New Roman" w:hAnsi="Times New Roman" w:cs="Times New Roman"/>
          <w:b/>
          <w:color w:val="000000" w:themeColor="text1"/>
          <w:kern w:val="2"/>
          <w:szCs w:val="18"/>
          <w:lang w:val="en-US" w:eastAsia="zh-CN" w:bidi="ar-SA"/>
          <w14:textFill>
            <w14:solidFill>
              <w14:schemeClr w14:val="tx1"/>
            </w14:solidFill>
          </w14:textFill>
        </w:rPr>
        <w:t>关键词：</w:t>
      </w:r>
      <w:r>
        <w:rPr>
          <w:rFonts w:hint="eastAsia" w:ascii="Times New Roman" w:hAnsi="Times New Roman" w:cs="Times New Roman"/>
          <w:b w:val="0"/>
          <w:bCs/>
          <w:color w:val="000000" w:themeColor="text1"/>
          <w:kern w:val="2"/>
          <w:szCs w:val="18"/>
          <w:lang w:val="en-US" w:eastAsia="zh-CN" w:bidi="ar-SA"/>
          <w14:textFill>
            <w14:solidFill>
              <w14:schemeClr w14:val="tx1"/>
            </w14:solidFill>
          </w14:textFill>
        </w:rPr>
        <w:t>加工品；电商品牌；品牌建设；南京盐水鸭；区域公用品牌</w:t>
      </w:r>
    </w:p>
    <w:p w14:paraId="67E0C2E7">
      <w:pPr>
        <w:rPr>
          <w:color w:val="000000" w:themeColor="text1"/>
          <w14:textFill>
            <w14:solidFill>
              <w14:schemeClr w14:val="tx1"/>
            </w14:solidFill>
          </w14:textFill>
        </w:rPr>
      </w:pPr>
    </w:p>
    <w:p w14:paraId="6CEB1F01">
      <w:pPr>
        <w:pStyle w:val="7"/>
      </w:pPr>
    </w:p>
    <w:p w14:paraId="1B8E0661">
      <w:pPr>
        <w:rPr>
          <w:rFonts w:hint="eastAsia"/>
        </w:rPr>
      </w:pPr>
      <w:r>
        <w:rPr>
          <w:rFonts w:hint="eastAsia"/>
        </w:rPr>
        <w:br w:type="page"/>
      </w:r>
    </w:p>
    <w:p w14:paraId="7CA36EDD">
      <w:pPr>
        <w:pStyle w:val="2"/>
        <w:pageBreakBefore w:val="0"/>
        <w:widowControl w:val="0"/>
        <w:adjustRightInd w:val="0"/>
        <w:snapToGrid w:val="0"/>
        <w:spacing w:before="326" w:beforeLines="100" w:after="163" w:afterLines="50" w:line="360" w:lineRule="auto"/>
        <w:ind w:firstLineChars="0"/>
        <w:rPr>
          <w:rFonts w:hint="eastAsia" w:ascii="Times New Roman" w:hAnsi="Times New Roman" w:cs="Times New Roman"/>
          <w:b/>
          <w:bCs w:val="0"/>
          <w:color w:val="auto"/>
          <w:kern w:val="44"/>
          <w:sz w:val="36"/>
          <w:szCs w:val="36"/>
          <w:lang w:val="en-US" w:eastAsia="zh-CN" w:bidi="ar-SA"/>
        </w:rPr>
      </w:pPr>
      <w:bookmarkStart w:id="7" w:name="_Toc381601458"/>
      <w:bookmarkStart w:id="8" w:name="_Toc22652"/>
      <w:bookmarkStart w:id="9" w:name="_Toc1304623380"/>
      <w:bookmarkStart w:id="10" w:name="_Toc129456424"/>
      <w:bookmarkStart w:id="11" w:name="_Toc454164234"/>
      <w:r>
        <w:rPr>
          <w:rFonts w:hint="eastAsia" w:ascii="Times New Roman" w:hAnsi="Times New Roman" w:cs="Times New Roman"/>
          <w:b/>
          <w:bCs w:val="0"/>
          <w:color w:val="auto"/>
          <w:kern w:val="44"/>
          <w:sz w:val="36"/>
          <w:szCs w:val="36"/>
          <w:lang w:val="en-US" w:eastAsia="zh-CN" w:bidi="ar-SA"/>
        </w:rPr>
        <w:t>Abstract</w:t>
      </w:r>
      <w:bookmarkEnd w:id="7"/>
      <w:bookmarkEnd w:id="8"/>
      <w:bookmarkEnd w:id="9"/>
      <w:bookmarkEnd w:id="10"/>
      <w:bookmarkEnd w:id="11"/>
    </w:p>
    <w:p w14:paraId="279002BA">
      <w:pPr>
        <w:widowControl w:val="0"/>
        <w:adjustRightInd w:val="0"/>
        <w:snapToGrid w:val="0"/>
        <w:spacing w:after="0" w:line="400" w:lineRule="exact"/>
        <w:ind w:firstLine="480" w:firstLineChars="200"/>
        <w:rPr>
          <w:rFonts w:hint="eastAsia" w:ascii="Times New Roman" w:hAnsi="Times New Roman" w:cs="Times New Roman"/>
          <w:color w:val="000000" w:themeColor="text1"/>
          <w:kern w:val="2"/>
          <w:szCs w:val="18"/>
          <w:lang w:val="en-US" w:eastAsia="zh-CN" w:bidi="ar-SA"/>
          <w14:textFill>
            <w14:solidFill>
              <w14:schemeClr w14:val="tx1"/>
            </w14:solidFill>
          </w14:textFill>
        </w:rPr>
      </w:pPr>
      <w:r>
        <w:rPr>
          <w:rFonts w:hint="eastAsia" w:ascii="Times New Roman" w:hAnsi="Times New Roman" w:cs="Times New Roman"/>
          <w:color w:val="000000" w:themeColor="text1"/>
          <w:kern w:val="2"/>
          <w:szCs w:val="18"/>
          <w:lang w:val="en-US" w:eastAsia="zh-CN" w:bidi="ar-SA"/>
          <w14:textFill>
            <w14:solidFill>
              <w14:schemeClr w14:val="tx1"/>
            </w14:solidFill>
          </w14:textFill>
        </w:rPr>
        <w:t>With the development of e-commerce and the gradual improvement of consumers' brand awareness, the digital transformation of traditional specialty processed products is an effective way to promote local economic development. Nanjing Salted Duck is a traditional specialty food with a long history, rich historical and cultural connotations, and unique production techniques. However, there are still many issues in its e-commerce brand building. This paper takes Nanjing Salted Duck as the research object and uses literature research, case analysis, and questionnaire survey methods to explore the relevant theories and practical situations of processed product e-commerce brand building. The results show that, at present, the e-commerce brand building of Nanjing Salted Duck faces problems such as weak brand awareness, product homogeneity, insufficient promotion, and an imperfect supply chain. To address these issues, this paper proposes corresponding countermeasures and suggestions from the aspects of brand positioning, quality management, cultural empowerment, digital marketing, and supply chain optimization. The research results play a positive role in promoting the e-commerce brand building of traditional specialty processed products.</w:t>
      </w:r>
    </w:p>
    <w:p w14:paraId="3E941CF3">
      <w:pPr>
        <w:pStyle w:val="7"/>
        <w:rPr>
          <w:rFonts w:hint="eastAsia"/>
        </w:rPr>
      </w:pPr>
    </w:p>
    <w:p w14:paraId="48098103">
      <w:pPr>
        <w:widowControl w:val="0"/>
        <w:adjustRightInd w:val="0"/>
        <w:snapToGrid w:val="0"/>
        <w:spacing w:after="0" w:line="400" w:lineRule="exact"/>
        <w:ind w:firstLine="0" w:firstLineChars="0"/>
        <w:rPr>
          <w:rFonts w:ascii="Times New Roman" w:hAnsi="Times New Roman" w:cs="Times New Roman"/>
          <w:b/>
          <w:color w:val="000000" w:themeColor="text1"/>
          <w:kern w:val="2"/>
          <w:szCs w:val="18"/>
          <w:lang w:val="en-US" w:eastAsia="zh-CN" w:bidi="ar-SA"/>
          <w14:textFill>
            <w14:solidFill>
              <w14:schemeClr w14:val="tx1"/>
            </w14:solidFill>
          </w14:textFill>
        </w:rPr>
        <w:sectPr>
          <w:headerReference r:id="rId6" w:type="default"/>
          <w:footerReference r:id="rId7" w:type="default"/>
          <w:pgSz w:w="11906" w:h="16838"/>
          <w:pgMar w:top="1440" w:right="1440" w:bottom="1440" w:left="1800" w:header="720" w:footer="720" w:gutter="0"/>
          <w:pgBorders>
            <w:top w:val="none" w:sz="0" w:space="0"/>
            <w:left w:val="none" w:sz="0" w:space="0"/>
            <w:bottom w:val="none" w:sz="0" w:space="0"/>
            <w:right w:val="none" w:sz="0" w:space="0"/>
          </w:pgBorders>
          <w:pgNumType w:fmt="upperRoman" w:start="1"/>
          <w:cols w:space="720" w:num="1"/>
        </w:sectPr>
      </w:pPr>
      <w:r>
        <w:rPr>
          <w:rFonts w:hint="eastAsia" w:ascii="Times New Roman" w:hAnsi="Times New Roman" w:cs="Times New Roman"/>
          <w:b/>
          <w:color w:val="000000" w:themeColor="text1"/>
          <w:kern w:val="2"/>
          <w:szCs w:val="18"/>
          <w:lang w:val="en-US" w:eastAsia="zh-CN" w:bidi="ar-SA"/>
          <w14:textFill>
            <w14:solidFill>
              <w14:schemeClr w14:val="tx1"/>
            </w14:solidFill>
          </w14:textFill>
        </w:rPr>
        <w:t>Key</w:t>
      </w:r>
      <w:r>
        <w:rPr>
          <w:rFonts w:hint="eastAsia" w:cs="Times New Roman"/>
          <w:b/>
          <w:color w:val="000000" w:themeColor="text1"/>
          <w:kern w:val="2"/>
          <w:szCs w:val="18"/>
          <w:lang w:val="en-US" w:eastAsia="zh-CN" w:bidi="ar-SA"/>
          <w14:textFill>
            <w14:solidFill>
              <w14:schemeClr w14:val="tx1"/>
            </w14:solidFill>
          </w14:textFill>
        </w:rPr>
        <w:t xml:space="preserve"> </w:t>
      </w:r>
      <w:r>
        <w:rPr>
          <w:rFonts w:hint="eastAsia" w:ascii="Times New Roman" w:hAnsi="Times New Roman" w:cs="Times New Roman"/>
          <w:b/>
          <w:color w:val="000000" w:themeColor="text1"/>
          <w:kern w:val="2"/>
          <w:szCs w:val="18"/>
          <w:lang w:val="en-US" w:eastAsia="zh-CN" w:bidi="ar-SA"/>
          <w14:textFill>
            <w14:solidFill>
              <w14:schemeClr w14:val="tx1"/>
            </w14:solidFill>
          </w14:textFill>
        </w:rPr>
        <w:t xml:space="preserve">words: </w:t>
      </w:r>
      <w:r>
        <w:rPr>
          <w:rFonts w:hint="eastAsia" w:ascii="Times New Roman" w:hAnsi="Times New Roman" w:cs="Times New Roman"/>
          <w:b w:val="0"/>
          <w:bCs/>
          <w:color w:val="000000" w:themeColor="text1"/>
          <w:kern w:val="2"/>
          <w:szCs w:val="18"/>
          <w:lang w:val="en-US" w:eastAsia="zh-CN" w:bidi="ar-SA"/>
          <w14:textFill>
            <w14:solidFill>
              <w14:schemeClr w14:val="tx1"/>
            </w14:solidFill>
          </w14:textFill>
        </w:rPr>
        <w:t>processed products; e-commerce brand; brand building; Nanjing Salted Duck; regional public brand</w:t>
      </w:r>
    </w:p>
    <w:p w14:paraId="453A1199">
      <w:pPr>
        <w:keepNext w:val="0"/>
        <w:keepLines w:val="0"/>
        <w:pageBreakBefore w:val="0"/>
        <w:widowControl/>
        <w:kinsoku/>
        <w:wordWrap/>
        <w:overflowPunct/>
        <w:topLinePunct w:val="0"/>
        <w:autoSpaceDE/>
        <w:autoSpaceDN/>
        <w:bidi w:val="0"/>
        <w:adjustRightInd/>
        <w:snapToGrid/>
        <w:spacing w:after="0" w:line="400" w:lineRule="exact"/>
        <w:ind w:left="0" w:leftChars="0" w:firstLine="420"/>
        <w:jc w:val="center"/>
        <w:textAlignment w:val="auto"/>
        <w:rPr>
          <w:rFonts w:hint="default" w:ascii="Times New Roman" w:hAnsi="Times New Roman" w:eastAsia="黑体" w:cs="Times New Roman"/>
          <w:b/>
          <w:color w:val="000000" w:themeColor="text1"/>
          <w:sz w:val="32"/>
          <w14:textFill>
            <w14:solidFill>
              <w14:schemeClr w14:val="tx1"/>
            </w14:solidFill>
          </w14:textFill>
        </w:rPr>
      </w:pPr>
      <w:r>
        <w:rPr>
          <w:rFonts w:hint="default" w:ascii="Times New Roman" w:hAnsi="Times New Roman" w:eastAsia="黑体" w:cs="Times New Roman"/>
          <w:b/>
          <w:color w:val="000000" w:themeColor="text1"/>
          <w:sz w:val="32"/>
          <w14:textFill>
            <w14:solidFill>
              <w14:schemeClr w14:val="tx1"/>
            </w14:solidFill>
          </w14:textFill>
        </w:rPr>
        <w:t xml:space="preserve">目 </w:t>
      </w:r>
      <w:r>
        <w:rPr>
          <w:rFonts w:hint="default" w:ascii="Times New Roman" w:hAnsi="Times New Roman" w:eastAsia="黑体" w:cs="Times New Roman"/>
          <w:b/>
          <w:color w:val="000000" w:themeColor="text1"/>
          <w:sz w:val="32"/>
          <w:lang w:val="en-US" w:eastAsia="zh-CN"/>
          <w14:textFill>
            <w14:solidFill>
              <w14:schemeClr w14:val="tx1"/>
            </w14:solidFill>
          </w14:textFill>
        </w:rPr>
        <w:t xml:space="preserve">  </w:t>
      </w:r>
      <w:r>
        <w:rPr>
          <w:rFonts w:hint="eastAsia" w:eastAsia="黑体" w:cs="Times New Roman"/>
          <w:b/>
          <w:color w:val="000000" w:themeColor="text1"/>
          <w:sz w:val="32"/>
          <w:lang w:val="en-US" w:eastAsia="zh-CN"/>
          <w14:textFill>
            <w14:solidFill>
              <w14:schemeClr w14:val="tx1"/>
            </w14:solidFill>
          </w14:textFill>
        </w:rPr>
        <w:t xml:space="preserve">   </w:t>
      </w:r>
      <w:r>
        <w:rPr>
          <w:rFonts w:hint="default" w:ascii="Times New Roman" w:hAnsi="Times New Roman" w:eastAsia="黑体" w:cs="Times New Roman"/>
          <w:b/>
          <w:color w:val="000000" w:themeColor="text1"/>
          <w:sz w:val="32"/>
          <w14:textFill>
            <w14:solidFill>
              <w14:schemeClr w14:val="tx1"/>
            </w14:solidFill>
          </w14:textFill>
        </w:rPr>
        <w:t>录</w:t>
      </w:r>
    </w:p>
    <w:p w14:paraId="3A5DC8B7">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14:textFill>
            <w14:solidFill>
              <w14:schemeClr w14:val="tx1"/>
            </w14:solidFill>
          </w14:textFill>
        </w:rPr>
        <w:fldChar w:fldCharType="begin"/>
      </w:r>
      <w:r>
        <w:rPr>
          <w:rFonts w:hint="default" w:ascii="Times New Roman" w:hAnsi="Times New Roman" w:eastAsia="宋体" w:cs="Times New Roman"/>
          <w:b w:val="0"/>
          <w:bCs/>
          <w:color w:val="000000" w:themeColor="text1"/>
          <w14:textFill>
            <w14:solidFill>
              <w14:schemeClr w14:val="tx1"/>
            </w14:solidFill>
          </w14:textFill>
        </w:rPr>
        <w:instrText xml:space="preserve">TOC \o "1-3" \h \u </w:instrText>
      </w:r>
      <w:r>
        <w:rPr>
          <w:rFonts w:hint="default" w:ascii="Times New Roman" w:hAnsi="Times New Roman" w:eastAsia="宋体" w:cs="Times New Roman"/>
          <w:b w:val="0"/>
          <w:bCs/>
          <w:color w:val="000000" w:themeColor="text1"/>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_Toc1097579222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摘 要</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_Toc1097579222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I</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06D6A5CD">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_Toc129456424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kern w:val="44"/>
          <w:sz w:val="24"/>
          <w:szCs w:val="24"/>
          <w:lang w:val="en-US" w:eastAsia="zh-CN" w:bidi="ar-SA"/>
          <w14:textFill>
            <w14:solidFill>
              <w14:schemeClr w14:val="tx1"/>
            </w14:solidFill>
          </w14:textFill>
        </w:rPr>
        <w:t>Abstract</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_Toc129456424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II</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4CA4ADCF">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_Toc373183757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lang w:val="en-US" w:eastAsia="zh-CN"/>
          <w14:textFill>
            <w14:solidFill>
              <w14:schemeClr w14:val="tx1"/>
            </w14:solidFill>
          </w14:textFill>
        </w:rPr>
        <w:t xml:space="preserve">1 </w:t>
      </w:r>
      <w:r>
        <w:rPr>
          <w:rFonts w:hint="default" w:ascii="Times New Roman" w:hAnsi="Times New Roman" w:eastAsia="黑体" w:cs="Times New Roman"/>
          <w:b w:val="0"/>
          <w:bCs/>
          <w:color w:val="000000" w:themeColor="text1"/>
          <w:sz w:val="24"/>
          <w:szCs w:val="24"/>
          <w14:textFill>
            <w14:solidFill>
              <w14:schemeClr w14:val="tx1"/>
            </w14:solidFill>
          </w14:textFill>
        </w:rPr>
        <w:t>绪论</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_Toc373183757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1</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4B7AAFAD">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_Toc1447154659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1.1 研究背景</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_Toc1447154659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61FADB67">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_Toc2076051538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1.2 研究意义</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_Toc2076051538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2</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49F33A0C">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_Toc2031386357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1.2.1 理论意义</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_Toc2031386357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2</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5F38739A">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_Toc815482093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1.2.2 实践意义</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_Toc815482093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2</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79D61E48">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_Toc566901897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1.3国内外研究现状</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_Toc566901897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3</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41A4F994">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_Toc1682724787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1.3.1国外研究现状</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_Toc1682724787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3</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0AB72C44">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_Toc1343347766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1.3.2国内研究现状</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_Toc1343347766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3</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52F643E5">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_Toc1150322251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1.3.3 研究述评</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_Toc1150322251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4</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43485733">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_Toc1818282263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1.4研究方法</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_Toc1818282263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4</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3391C7BB">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_Toc1177697431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lang w:val="en-US" w:eastAsia="zh-CN"/>
          <w14:textFill>
            <w14:solidFill>
              <w14:schemeClr w14:val="tx1"/>
            </w14:solidFill>
          </w14:textFill>
        </w:rPr>
        <w:t>2相关概念与理论基础</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_Toc1177697431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5</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48001F53">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_Toc203948418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2.1相关概念界定</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_Toc203948418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5</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640F3B3A">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_Toc377160714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2.1.1加工品的内涵与特征</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_Toc377160714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5</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2E2ADF69">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_Toc1715877901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2.1.2电商品牌的内涵</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_Toc1715877901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5</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6D08F447">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_Toc201986544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2.2品牌建设理论</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_Toc201986544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6</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1493BEDB">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_Toc1763682748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2.3农产品区域公用品牌理论</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_Toc1763682748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7</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20DEB074">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_Toc499166095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lang w:val="en-US" w:eastAsia="zh-CN"/>
          <w14:textFill>
            <w14:solidFill>
              <w14:schemeClr w14:val="tx1"/>
            </w14:solidFill>
          </w14:textFill>
        </w:rPr>
        <w:t>3</w:t>
      </w:r>
      <w:r>
        <w:rPr>
          <w:rFonts w:hint="default" w:ascii="Times New Roman" w:hAnsi="Times New Roman" w:eastAsia="黑体" w:cs="Times New Roman"/>
          <w:b w:val="0"/>
          <w:bCs/>
          <w:color w:val="000000" w:themeColor="text1"/>
          <w:sz w:val="24"/>
          <w:szCs w:val="24"/>
          <w14:textFill>
            <w14:solidFill>
              <w14:schemeClr w14:val="tx1"/>
            </w14:solidFill>
          </w14:textFill>
        </w:rPr>
        <w:t>南京盐水鸭产业发展现状分析</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_Toc499166095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8</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0D2CE426">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_Toc1413433483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3.1产业发展概况</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_Toc1413433483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8</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76A0D53A">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_Toc112445667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3.2电商渠道发展现状</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_Toc112445667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8</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550F75EE">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_Toc88715909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3.3品牌建设现状</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_Toc88715909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10</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3DBD227B">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_Toc694631545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3.3.1主要品牌概况</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_Toc694631545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10</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4473B8C7">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_Toc951271723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3.3.2 消费者特征分析</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_Toc951271723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11</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24F22F64">
      <w:pPr>
        <w:pStyle w:val="8"/>
        <w:keepNext w:val="0"/>
        <w:keepLines w:val="0"/>
        <w:pageBreakBefore w:val="0"/>
        <w:widowControl/>
        <w:tabs>
          <w:tab w:val="right" w:leader="dot" w:pos="8666"/>
        </w:tabs>
        <w:kinsoku/>
        <w:wordWrap/>
        <w:overflowPunct/>
        <w:topLinePunct w:val="0"/>
        <w:autoSpaceDE/>
        <w:autoSpaceDN/>
        <w:bidi w:val="0"/>
        <w:adjustRightInd/>
        <w:snapToGrid/>
        <w:spacing w:after="0" w:line="400" w:lineRule="exact"/>
        <w:ind w:left="0" w:leftChars="0" w:firstLine="660" w:firstLineChars="275"/>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_Toc8096546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3.3.3消费者关注因素</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_Toc8096546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12</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3381F68E">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_Toc787178861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lang w:val="en-US" w:eastAsia="zh-CN"/>
          <w14:textFill>
            <w14:solidFill>
              <w14:schemeClr w14:val="tx1"/>
            </w14:solidFill>
          </w14:textFill>
        </w:rPr>
        <w:t>4</w:t>
      </w:r>
      <w:r>
        <w:rPr>
          <w:rFonts w:hint="default" w:ascii="Times New Roman" w:hAnsi="Times New Roman" w:eastAsia="黑体" w:cs="Times New Roman"/>
          <w:b w:val="0"/>
          <w:bCs/>
          <w:color w:val="000000" w:themeColor="text1"/>
          <w:sz w:val="24"/>
          <w:szCs w:val="24"/>
          <w14:textFill>
            <w14:solidFill>
              <w14:schemeClr w14:val="tx1"/>
            </w14:solidFill>
          </w14:textFill>
        </w:rPr>
        <w:t>南京盐水鸭电商品牌建设存在的问题</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_Toc787178861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14</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06C2D198">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_Toc1615851307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4.1品牌意识薄弱</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_Toc1615851307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14</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7513C016">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_Toc534716787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4.2产品同质化严重</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_Toc534716787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14</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0712A982">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_Toc1913460061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4.3营销推广不足</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_Toc1913460061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15</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7423A420">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_Toc955631402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4.4供应链体系不完善</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_Toc955631402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16</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46EF232E">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_Toc266777501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lang w:val="en-US" w:eastAsia="zh-CN"/>
          <w14:textFill>
            <w14:solidFill>
              <w14:schemeClr w14:val="tx1"/>
            </w14:solidFill>
          </w14:textFill>
        </w:rPr>
        <w:t>5 南京盐水鸭</w:t>
      </w:r>
      <w:r>
        <w:rPr>
          <w:rFonts w:hint="default" w:ascii="Times New Roman" w:hAnsi="Times New Roman" w:eastAsia="黑体" w:cs="Times New Roman"/>
          <w:b w:val="0"/>
          <w:bCs/>
          <w:color w:val="000000" w:themeColor="text1"/>
          <w:sz w:val="24"/>
          <w:szCs w:val="24"/>
          <w14:textFill>
            <w14:solidFill>
              <w14:schemeClr w14:val="tx1"/>
            </w14:solidFill>
          </w14:textFill>
        </w:rPr>
        <w:t>电商品牌建设</w:t>
      </w:r>
      <w:r>
        <w:rPr>
          <w:rFonts w:hint="default" w:ascii="Times New Roman" w:hAnsi="Times New Roman" w:eastAsia="黑体" w:cs="Times New Roman"/>
          <w:b w:val="0"/>
          <w:bCs/>
          <w:color w:val="000000" w:themeColor="text1"/>
          <w:sz w:val="24"/>
          <w:szCs w:val="24"/>
          <w:lang w:val="en-US" w:eastAsia="zh-CN"/>
          <w14:textFill>
            <w14:solidFill>
              <w14:schemeClr w14:val="tx1"/>
            </w14:solidFill>
          </w14:textFill>
        </w:rPr>
        <w:t>优化</w:t>
      </w:r>
      <w:r>
        <w:rPr>
          <w:rFonts w:hint="default" w:ascii="Times New Roman" w:hAnsi="Times New Roman" w:eastAsia="黑体" w:cs="Times New Roman"/>
          <w:b w:val="0"/>
          <w:bCs/>
          <w:color w:val="000000" w:themeColor="text1"/>
          <w:sz w:val="24"/>
          <w:szCs w:val="24"/>
          <w14:textFill>
            <w14:solidFill>
              <w14:schemeClr w14:val="tx1"/>
            </w14:solidFill>
          </w14:textFill>
        </w:rPr>
        <w:t>路径</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_Toc266777501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17</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076FCD8A">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_Toc1931088018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5.1 强化品牌意识，构建双轮驱动品牌体系</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_Toc1931088018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17</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1370C8D7">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_Toc875961415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5.2 破解产品同质化，提升产品差异化竞争力</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_Toc875961415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17</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3AE3A40A">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_Toc1283101720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5.3 创新营销推广模式，扩大品牌影响力</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_Toc1283101720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18</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24582510">
      <w:pPr>
        <w:pStyle w:val="12"/>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firstLine="240" w:firstLineChars="100"/>
        <w:textAlignment w:val="auto"/>
        <w:rPr>
          <w:rFonts w:hint="default" w:ascii="Times New Roman" w:hAnsi="Times New Roman" w:eastAsia="宋体" w:cs="Times New Roman"/>
          <w:b w:val="0"/>
          <w:bCs/>
          <w:color w:val="000000" w:themeColor="text1"/>
          <w:sz w:val="24"/>
          <w:szCs w:val="24"/>
          <w14:textFill>
            <w14:solidFill>
              <w14:schemeClr w14:val="tx1"/>
            </w14:solidFill>
          </w14:textFill>
        </w:rPr>
      </w:pP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HYPERLINK \l _Toc59824866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kern w:val="2"/>
          <w:sz w:val="24"/>
          <w:szCs w:val="24"/>
          <w:lang w:val="en-US" w:eastAsia="zh-CN" w:bidi="ar-SA"/>
          <w14:textFill>
            <w14:solidFill>
              <w14:schemeClr w14:val="tx1"/>
            </w14:solidFill>
          </w14:textFill>
        </w:rPr>
        <w:t>5.4 完善供应链体系，夯实品牌发展基础</w:t>
      </w:r>
      <w:r>
        <w:rPr>
          <w:rFonts w:hint="default" w:ascii="Times New Roman" w:hAnsi="Times New Roman" w:eastAsia="宋体" w:cs="Times New Roman"/>
          <w:b w:val="0"/>
          <w:bCs/>
          <w:color w:val="000000" w:themeColor="text1"/>
          <w:sz w:val="24"/>
          <w:szCs w:val="24"/>
          <w14:textFill>
            <w14:solidFill>
              <w14:schemeClr w14:val="tx1"/>
            </w14:solidFill>
          </w14:textFill>
        </w:rPr>
        <w:tab/>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color w:val="000000" w:themeColor="text1"/>
          <w:sz w:val="24"/>
          <w:szCs w:val="24"/>
          <w14:textFill>
            <w14:solidFill>
              <w14:schemeClr w14:val="tx1"/>
            </w14:solidFill>
          </w14:textFill>
        </w:rPr>
        <w:instrText xml:space="preserve"> PAGEREF _Toc59824866 \h </w:instrTex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color w:val="000000" w:themeColor="text1"/>
          <w:sz w:val="24"/>
          <w:szCs w:val="24"/>
          <w14:textFill>
            <w14:solidFill>
              <w14:schemeClr w14:val="tx1"/>
            </w14:solidFill>
          </w14:textFill>
        </w:rPr>
        <w:t>19</w:t>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color w:val="000000" w:themeColor="text1"/>
          <w:sz w:val="24"/>
          <w:szCs w:val="24"/>
          <w14:textFill>
            <w14:solidFill>
              <w14:schemeClr w14:val="tx1"/>
            </w14:solidFill>
          </w14:textFill>
        </w:rPr>
        <w:fldChar w:fldCharType="end"/>
      </w:r>
    </w:p>
    <w:p w14:paraId="1A15655F">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_Toc454176066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结论</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_Toc454176066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21</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1D2BAC2A">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_Toc1180259824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kern w:val="44"/>
          <w:sz w:val="24"/>
          <w:szCs w:val="24"/>
          <w:lang w:val="en-US" w:eastAsia="zh-CN" w:bidi="ar-SA"/>
          <w14:textFill>
            <w14:solidFill>
              <w14:schemeClr w14:val="tx1"/>
            </w14:solidFill>
          </w14:textFill>
        </w:rPr>
        <w:t>参考文献</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_Toc1180259824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22</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48AF4273">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color w:val="000000" w:themeColor="text1"/>
          <w:sz w:val="24"/>
          <w:szCs w:val="24"/>
          <w14:textFill>
            <w14:solidFill>
              <w14:schemeClr w14:val="tx1"/>
            </w14:solidFill>
          </w14:textFill>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_Toc320414629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kern w:val="44"/>
          <w:sz w:val="24"/>
          <w:szCs w:val="24"/>
          <w:lang w:val="en-US" w:eastAsia="zh-CN" w:bidi="ar-SA"/>
          <w14:textFill>
            <w14:solidFill>
              <w14:schemeClr w14:val="tx1"/>
            </w14:solidFill>
          </w14:textFill>
        </w:rPr>
        <w:t>致谢</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_Toc320414629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23</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569A096D">
      <w:pPr>
        <w:pStyle w:val="11"/>
        <w:keepNext w:val="0"/>
        <w:keepLines w:val="0"/>
        <w:pageBreakBefore w:val="0"/>
        <w:widowControl/>
        <w:tabs>
          <w:tab w:val="right" w:leader="dot" w:pos="8666"/>
          <w:tab w:val="clear" w:pos="9350"/>
        </w:tabs>
        <w:kinsoku/>
        <w:wordWrap/>
        <w:overflowPunct/>
        <w:topLinePunct w:val="0"/>
        <w:autoSpaceDE/>
        <w:autoSpaceDN/>
        <w:bidi w:val="0"/>
        <w:adjustRightInd/>
        <w:snapToGrid/>
        <w:spacing w:before="0" w:after="0" w:line="400" w:lineRule="exact"/>
        <w:ind w:left="0" w:leftChars="0"/>
        <w:textAlignment w:val="auto"/>
        <w:rPr>
          <w:rFonts w:hint="default" w:ascii="Times New Roman" w:hAnsi="Times New Roman" w:eastAsia="黑体" w:cs="Times New Roman"/>
          <w:b w:val="0"/>
          <w:bCs/>
        </w:rPr>
      </w:pP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HYPERLINK \l _Toc1467166574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kern w:val="44"/>
          <w:sz w:val="24"/>
          <w:szCs w:val="24"/>
          <w:lang w:val="en-US" w:eastAsia="zh-CN" w:bidi="ar-SA"/>
          <w14:textFill>
            <w14:solidFill>
              <w14:schemeClr w14:val="tx1"/>
            </w14:solidFill>
          </w14:textFill>
        </w:rPr>
        <w:t>附录</w:t>
      </w:r>
      <w:r>
        <w:rPr>
          <w:rFonts w:hint="default" w:ascii="Times New Roman" w:hAnsi="Times New Roman" w:eastAsia="黑体" w:cs="Times New Roman"/>
          <w:b w:val="0"/>
          <w:bCs/>
          <w:color w:val="000000" w:themeColor="text1"/>
          <w:sz w:val="24"/>
          <w:szCs w:val="24"/>
          <w14:textFill>
            <w14:solidFill>
              <w14:schemeClr w14:val="tx1"/>
            </w14:solidFill>
          </w14:textFill>
        </w:rPr>
        <w:tab/>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color w:val="000000" w:themeColor="text1"/>
          <w:sz w:val="24"/>
          <w:szCs w:val="24"/>
          <w14:textFill>
            <w14:solidFill>
              <w14:schemeClr w14:val="tx1"/>
            </w14:solidFill>
          </w14:textFill>
        </w:rPr>
        <w:instrText xml:space="preserve"> PAGEREF _Toc1467166574 \h </w:instrTex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b w:val="0"/>
          <w:bCs/>
          <w:color w:val="000000" w:themeColor="text1"/>
          <w:sz w:val="24"/>
          <w:szCs w:val="24"/>
          <w14:textFill>
            <w14:solidFill>
              <w14:schemeClr w14:val="tx1"/>
            </w14:solidFill>
          </w14:textFill>
        </w:rPr>
        <w:t>24</w:t>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r>
        <w:rPr>
          <w:rFonts w:hint="default" w:ascii="Times New Roman" w:hAnsi="Times New Roman" w:eastAsia="黑体" w:cs="Times New Roman"/>
          <w:b w:val="0"/>
          <w:bCs/>
          <w:color w:val="000000" w:themeColor="text1"/>
          <w:sz w:val="24"/>
          <w:szCs w:val="24"/>
          <w14:textFill>
            <w14:solidFill>
              <w14:schemeClr w14:val="tx1"/>
            </w14:solidFill>
          </w14:textFill>
        </w:rPr>
        <w:fldChar w:fldCharType="end"/>
      </w:r>
    </w:p>
    <w:p w14:paraId="75755039">
      <w:pPr>
        <w:keepNext w:val="0"/>
        <w:keepLines w:val="0"/>
        <w:pageBreakBefore w:val="0"/>
        <w:widowControl/>
        <w:kinsoku/>
        <w:wordWrap/>
        <w:overflowPunct/>
        <w:topLinePunct w:val="0"/>
        <w:autoSpaceDE/>
        <w:autoSpaceDN/>
        <w:bidi w:val="0"/>
        <w:adjustRightInd/>
        <w:snapToGrid/>
        <w:spacing w:after="0" w:line="400" w:lineRule="exact"/>
        <w:ind w:left="0" w:leftChars="0"/>
        <w:textAlignment w:val="auto"/>
        <w:rPr>
          <w:color w:val="000000" w:themeColor="text1"/>
          <w14:textFill>
            <w14:solidFill>
              <w14:schemeClr w14:val="tx1"/>
            </w14:solidFill>
          </w14:textFill>
        </w:rPr>
      </w:pPr>
      <w:r>
        <w:rPr>
          <w:rFonts w:hint="default" w:ascii="Times New Roman" w:hAnsi="Times New Roman" w:eastAsia="宋体" w:cs="Times New Roman"/>
          <w:b w:val="0"/>
          <w:bCs/>
          <w:color w:val="000000" w:themeColor="text1"/>
          <w14:textFill>
            <w14:solidFill>
              <w14:schemeClr w14:val="tx1"/>
            </w14:solidFill>
          </w14:textFill>
        </w:rPr>
        <w:fldChar w:fldCharType="end"/>
      </w:r>
    </w:p>
    <w:p w14:paraId="598F6B32">
      <w:pPr>
        <w:pStyle w:val="17"/>
        <w:rPr>
          <w:rFonts w:hint="eastAsia"/>
          <w:lang w:val="en-US" w:eastAsia="zh-CN"/>
        </w:rPr>
        <w:sectPr>
          <w:footerReference r:id="rId8" w:type="default"/>
          <w:pgSz w:w="11906" w:h="16838"/>
          <w:pgMar w:top="1440" w:right="1440" w:bottom="1440" w:left="1800" w:header="720" w:footer="720" w:gutter="0"/>
          <w:pgBorders>
            <w:top w:val="none" w:sz="0" w:space="0"/>
            <w:left w:val="none" w:sz="0" w:space="0"/>
            <w:bottom w:val="none" w:sz="0" w:space="0"/>
            <w:right w:val="none" w:sz="0" w:space="0"/>
          </w:pgBorders>
          <w:pgNumType w:fmt="upperRoman"/>
          <w:cols w:space="720" w:num="1"/>
        </w:sectPr>
      </w:pPr>
      <w:bookmarkStart w:id="12" w:name="_Toc981399400"/>
    </w:p>
    <w:p w14:paraId="60E95F6E">
      <w:pPr>
        <w:pStyle w:val="17"/>
        <w:rPr>
          <w:rFonts w:hint="default" w:ascii="Times New Roman" w:hAnsi="Times New Roman" w:cs="Times New Roman"/>
        </w:rPr>
      </w:pPr>
      <w:bookmarkStart w:id="13" w:name="_Toc1189534664"/>
      <w:bookmarkStart w:id="14" w:name="_Toc997111790"/>
      <w:bookmarkStart w:id="15" w:name="_Toc2500"/>
      <w:bookmarkStart w:id="16" w:name="_Toc373183757"/>
      <w:r>
        <w:rPr>
          <w:rFonts w:hint="default" w:ascii="Times New Roman" w:hAnsi="Times New Roman" w:cs="Times New Roman"/>
          <w:lang w:val="en-US" w:eastAsia="zh-CN"/>
        </w:rPr>
        <w:t xml:space="preserve">1 </w:t>
      </w:r>
      <w:r>
        <w:rPr>
          <w:rFonts w:hint="default" w:ascii="Times New Roman" w:hAnsi="Times New Roman" w:cs="Times New Roman"/>
        </w:rPr>
        <w:t>绪论</w:t>
      </w:r>
      <w:bookmarkEnd w:id="12"/>
      <w:bookmarkEnd w:id="13"/>
      <w:bookmarkEnd w:id="14"/>
      <w:bookmarkEnd w:id="15"/>
      <w:bookmarkEnd w:id="16"/>
    </w:p>
    <w:p w14:paraId="4810D7AE">
      <w:pPr>
        <w:pStyle w:val="3"/>
        <w:keepNext/>
        <w:keepLines/>
        <w:pageBreakBefore w:val="0"/>
        <w:widowControl w:val="0"/>
        <w:kinsoku/>
        <w:wordWrap/>
        <w:overflowPunct/>
        <w:topLinePunct w:val="0"/>
        <w:autoSpaceDE/>
        <w:autoSpaceDN/>
        <w:bidi w:val="0"/>
        <w:adjustRightInd w:val="0"/>
        <w:snapToGrid w:val="0"/>
        <w:spacing w:before="163" w:beforeLines="50" w:after="163" w:afterLines="50" w:line="240" w:lineRule="auto"/>
        <w:ind w:firstLineChars="0"/>
        <w:textAlignment w:val="auto"/>
        <w:rPr>
          <w:rFonts w:hint="default" w:ascii="Times New Roman" w:hAnsi="Times New Roman" w:cs="Times New Roman"/>
          <w:b w:val="0"/>
          <w:bCs w:val="0"/>
          <w:color w:val="auto"/>
          <w:kern w:val="2"/>
          <w:sz w:val="30"/>
          <w:szCs w:val="30"/>
          <w:lang w:val="en-US" w:eastAsia="zh-CN" w:bidi="ar-SA"/>
        </w:rPr>
      </w:pPr>
      <w:bookmarkStart w:id="17" w:name="_Toc1583827925"/>
      <w:bookmarkStart w:id="18" w:name="_Toc1642956989"/>
      <w:bookmarkStart w:id="19" w:name="_Toc1447154659"/>
      <w:bookmarkStart w:id="20" w:name="_Toc28212"/>
      <w:bookmarkStart w:id="21" w:name="_Toc1705306840"/>
      <w:r>
        <w:rPr>
          <w:rFonts w:hint="default" w:ascii="Times New Roman" w:hAnsi="Times New Roman" w:cs="Times New Roman"/>
          <w:b w:val="0"/>
          <w:bCs w:val="0"/>
          <w:color w:val="auto"/>
          <w:kern w:val="2"/>
          <w:sz w:val="30"/>
          <w:szCs w:val="30"/>
          <w:lang w:val="en-US" w:eastAsia="zh-CN" w:bidi="ar-SA"/>
        </w:rPr>
        <w:t>1.1 研究背景</w:t>
      </w:r>
      <w:bookmarkEnd w:id="17"/>
      <w:bookmarkEnd w:id="18"/>
      <w:bookmarkEnd w:id="19"/>
      <w:bookmarkEnd w:id="20"/>
      <w:bookmarkEnd w:id="21"/>
    </w:p>
    <w:p w14:paraId="213C021C">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伴随着数字经济的发展以及人们消费方式的变化，电子商务已经成为促进传统产业升级的重要力量。据国家统计局数据显示，2025年我国网上零售额为15.4万亿元，增长7.3%，而食品类电商交易规模不断扩大，给传统特色加工品的线上销售带来巨大机遇。因此，如何利用电商平台打造有竞争力的品牌，是传统加工品企业需要思考的问题。南京盐水鸭是江苏省非物质文化遗产，有着上千年的历史，是南京的城市名片。</w:t>
      </w:r>
      <w:r>
        <w:rPr>
          <w:rFonts w:hint="eastAsia" w:cs="Times New Roman"/>
          <w:color w:val="000000" w:themeColor="text1"/>
          <w:kern w:val="2"/>
          <w:sz w:val="24"/>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没有一只鸭子能活着游出南京</w:t>
      </w:r>
      <w:r>
        <w:rPr>
          <w:rFonts w:hint="eastAsia" w:ascii="宋体" w:hAnsi="宋体" w:eastAsia="宋体" w:cs="宋体"/>
          <w:color w:val="000000" w:themeColor="text1"/>
          <w:kern w:val="2"/>
          <w:sz w:val="24"/>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这句网络用语形象地表达了南京人对鸭子的喜爱以及消费热情。根据南京鸭产业联盟的数据，南京每年要吃掉上亿只鸭子，鸭子相关产业三产融合产值到2025年将达到96.8亿元，即将突破百亿。但是，在电商时代，南京盐水鸭的品牌建设还存在很多问题，需要有系统的理论研究和实践探索。</w:t>
      </w:r>
    </w:p>
    <w:p w14:paraId="4CE926F7">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从宏观政策环境来看，国家层面对农产品电商品牌建设给予了高度重视。2024年中央一号文件明确提出</w:t>
      </w:r>
      <w:r>
        <w:rPr>
          <w:rFonts w:hint="eastAsia" w:cs="Times New Roman"/>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实施农产品品牌战略，培育一批具有市场竞争力的区域公用品牌</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，为传统特色加工品的电商化转型提供了政策指引。2025年，商务部等九部门联合印发《关于推动农村电商高质量发展的实施意见》，强调要</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加强农产品品牌培育，提升农产品附加值和市场竞争力</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。江苏省也相继出台了《江苏省农产品品牌提升行动实施方案》《关于加快推进南京都市圈建设的实施意见》等文件，明确提出要打造</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南京盐水鸭</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等一批具有地域特色的农产品品牌，推动传统产业与电子商务深度融合。</w:t>
      </w:r>
    </w:p>
    <w:p w14:paraId="17A37E22">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从消费市场趋势来看，（1995-2009年出生）和（1980-1994年出生）已成为食品电商消费的主力军。据艾瑞咨询《2025年中国食品电商消费趋势报告》显示，25-35岁消费者在食品电商中的占比达到47.6%，他们更加注重产品的品质、文化内涵和社交属性。同时，</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国潮</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消费的兴起为传统老字号品牌带来了新的发展机遇。据《2025国潮品牌发展报告》统计，2025年国潮食品类商品在电商平台上的销售额同比增长62.3%，消费者对具有传统文化底蕴的食品品牌表现出强烈的偏好。南京盐水鸭作为拥有千年历史的非遗美食，具备打造</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国潮食品</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品牌的天然优势，但目前在品牌年轻化、数字化营销等方面仍存在明显短板。</w:t>
      </w:r>
    </w:p>
    <w:p w14:paraId="09F3F45C">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从产业竞争格局来看，卤味熟食电商市场已进入白热化竞争阶段。周黑鸭、绝味鸭脖、煌上煌等全国性卤味品牌纷纷加大电商布局力度，2025年三大品牌线上销售额合计超过85亿元。相比之下，南京盐水鸭虽然拥有深厚的历史文化底蕴，但在品牌知名度、渠道覆盖、营销创新等方面与这些全国性品牌存在较大差距。如何在激烈的电商竞争中突出重围，实现从</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地方特产</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到</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全国品牌</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的跨越，是南京盐水鸭产业面临的紧迫课题。</w:t>
      </w:r>
    </w:p>
    <w:p w14:paraId="44DD47A8">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22" w:name="_Toc833380997"/>
      <w:bookmarkStart w:id="23" w:name="_Toc2076051538"/>
      <w:bookmarkStart w:id="24" w:name="_Toc775307018"/>
      <w:bookmarkStart w:id="25" w:name="_Toc1336130910"/>
      <w:bookmarkStart w:id="26" w:name="_Toc10682"/>
      <w:r>
        <w:rPr>
          <w:rFonts w:hint="default" w:ascii="Times New Roman" w:hAnsi="Times New Roman" w:cs="Times New Roman"/>
          <w:b w:val="0"/>
          <w:bCs w:val="0"/>
          <w:color w:val="auto"/>
          <w:kern w:val="2"/>
          <w:sz w:val="30"/>
          <w:szCs w:val="30"/>
          <w:lang w:val="en-US" w:eastAsia="zh-CN" w:bidi="ar-SA"/>
        </w:rPr>
        <w:t>1.2 研究意义</w:t>
      </w:r>
      <w:bookmarkEnd w:id="22"/>
      <w:bookmarkEnd w:id="23"/>
      <w:bookmarkEnd w:id="24"/>
      <w:bookmarkEnd w:id="25"/>
      <w:bookmarkEnd w:id="26"/>
    </w:p>
    <w:p w14:paraId="5DCAAB7D">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27" w:name="_Toc1941"/>
      <w:bookmarkStart w:id="28" w:name="_Toc115707691"/>
      <w:bookmarkStart w:id="29" w:name="_Toc2031386357"/>
      <w:bookmarkStart w:id="30" w:name="_Toc746070845"/>
      <w:bookmarkStart w:id="31" w:name="_Toc1801765177"/>
      <w:r>
        <w:rPr>
          <w:rFonts w:hint="default" w:ascii="Times New Roman" w:hAnsi="Times New Roman" w:eastAsia="黑体" w:cs="Times New Roman"/>
          <w:b w:val="0"/>
          <w:bCs/>
          <w:color w:val="auto"/>
          <w:kern w:val="2"/>
          <w:sz w:val="28"/>
          <w:szCs w:val="32"/>
          <w:lang w:val="en-US" w:eastAsia="zh-CN" w:bidi="ar-SA"/>
        </w:rPr>
        <w:t>1.2.1 理论意义</w:t>
      </w:r>
      <w:bookmarkEnd w:id="27"/>
      <w:bookmarkEnd w:id="28"/>
      <w:bookmarkEnd w:id="29"/>
      <w:bookmarkEnd w:id="30"/>
      <w:bookmarkEnd w:id="31"/>
    </w:p>
    <w:p w14:paraId="1A86F0A9">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本论文把品牌管理理论和农产品电商结合起来，是对传统特色加工品品牌建设研究的一个补充和完善。以南京盐水鸭为例，分析区域公用品牌和企业品牌在电商背景下的关系，对农产品区域公用品牌建设理论提出新的思考。并且，本文提出的加工品电商品牌建设路径模型，也可以作为以后相关研究的基础和依据。</w:t>
      </w:r>
    </w:p>
    <w:p w14:paraId="4237B0CE">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本研究的理论意义主要体现在以下三个层面：第一，拓展了农产品品牌建设的理论边界。现有研究多聚焦于生鲜农产品（如水果、蔬菜、粮油等）的品牌建设，而对熟食加工品这一特殊品类的电商品牌研究相对薄弱。本文以南京盐水鸭为切入点，系统探讨加工品在电商环境下的品牌建设规律，丰富了农产品品牌理论体系。第二，深化了区域公用品牌与企业品牌关系的理论认知。本文提出</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双轮驱动</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的品牌建设模式，即区域公用品牌提供信任背书，企业品牌实现差异化竞争，二者相互赋能、协同发展，为区域品牌治理理论提供了新的分析框架。第三，构建了加工品电商品牌建设的系统模型。本文整合品牌建设理论、消费者行为理论、供应链理论等多学科知识，构建了涵盖品牌定位、品质管控、文化赋能、数字营销、供应链优化五个维度的品牌建设路径模型，为后续研究提供了可借鉴的理论工具。</w:t>
      </w:r>
    </w:p>
    <w:p w14:paraId="525F23F4">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32" w:name="_Toc600423492"/>
      <w:bookmarkStart w:id="33" w:name="_Toc1226462102"/>
      <w:bookmarkStart w:id="34" w:name="_Toc815482093"/>
      <w:bookmarkStart w:id="35" w:name="_Toc55677082"/>
      <w:bookmarkStart w:id="36" w:name="_Toc7146"/>
      <w:r>
        <w:rPr>
          <w:rFonts w:hint="default" w:ascii="Times New Roman" w:hAnsi="Times New Roman" w:eastAsia="黑体" w:cs="Times New Roman"/>
          <w:b w:val="0"/>
          <w:bCs/>
          <w:color w:val="auto"/>
          <w:kern w:val="2"/>
          <w:sz w:val="28"/>
          <w:szCs w:val="32"/>
          <w:lang w:val="en-US" w:eastAsia="zh-CN" w:bidi="ar-SA"/>
        </w:rPr>
        <w:t>1.2.2 实践意义</w:t>
      </w:r>
      <w:bookmarkEnd w:id="32"/>
      <w:bookmarkEnd w:id="33"/>
      <w:bookmarkEnd w:id="34"/>
      <w:bookmarkEnd w:id="35"/>
      <w:bookmarkEnd w:id="36"/>
    </w:p>
    <w:p w14:paraId="08CCEED0">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本论文对于促进南京盐水鸭产业转型升级有重要现实意义。一方面，研究成果可以给政府在制定产业政策、推进区域公共品牌建设方面提供依据。另一方面，也可以给企业进行电商品牌打造、提升营销水平等方面提出建议。同时，本文的研究成果对其他地方的传统特色加工品电商品牌打造也有一定的参考价值。</w:t>
      </w:r>
    </w:p>
    <w:p w14:paraId="41DA51DD">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从实际操作来看，这项研究很实用。首先，它给政府部门在产业规划和品牌治理上带来了参考。文中梳理了南京盐水鸭电商品牌建设过程中遇到的问题，提出了区域公用品牌管理委员会、品牌准入机制、质量追溯体系这些具体方案。南京市农业农村局、市场监管局等部门可以直接用这些建议来制定产业政策。这项研究为企业做电商品牌运营提供了详细的操作指南。文章从品牌定位、产品创新、营销推广、供应链优化等方面给出具体建议，尤其针对直播电商、内容营销、私域运营这类新兴营销方式，提出了实际可行的方案，能直接指导企业行动。研究也为行业协会的组织协调工作指明了方向。提出了</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政府引导、协会协调、企业主体、社会参与</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四位一体的品牌建设机制，这套体系能帮助南京鸭产业联盟等行业协会更好地发挥桥梁纽带作用。这项研究对其他传统特色加工品，比如北京烤鸭、德州扒鸡、金华火腿等的电商品牌建设也有借鉴价值，有助于推动我国传统食品产业实现数字化转型升级。</w:t>
      </w:r>
    </w:p>
    <w:p w14:paraId="4CBEDBC3">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37" w:name="_Toc291972791"/>
      <w:bookmarkStart w:id="38" w:name="_Toc566901897"/>
      <w:bookmarkStart w:id="39" w:name="_Toc30635"/>
      <w:bookmarkStart w:id="40" w:name="_Toc1609330729"/>
      <w:bookmarkStart w:id="41" w:name="_Toc1600504408"/>
      <w:r>
        <w:rPr>
          <w:rFonts w:hint="default" w:ascii="Times New Roman" w:hAnsi="Times New Roman" w:cs="Times New Roman"/>
          <w:b w:val="0"/>
          <w:bCs w:val="0"/>
          <w:color w:val="auto"/>
          <w:kern w:val="2"/>
          <w:sz w:val="30"/>
          <w:szCs w:val="30"/>
          <w:lang w:val="en-US" w:eastAsia="zh-CN" w:bidi="ar-SA"/>
        </w:rPr>
        <w:t>1.3 国内外研究现状</w:t>
      </w:r>
      <w:bookmarkEnd w:id="37"/>
      <w:bookmarkEnd w:id="38"/>
      <w:bookmarkEnd w:id="39"/>
      <w:bookmarkEnd w:id="40"/>
      <w:bookmarkEnd w:id="41"/>
    </w:p>
    <w:p w14:paraId="0456E348">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42" w:name="_Toc29404"/>
      <w:bookmarkStart w:id="43" w:name="_Toc186564942"/>
      <w:bookmarkStart w:id="44" w:name="_Toc1682724787"/>
      <w:bookmarkStart w:id="45" w:name="_Toc465028338"/>
      <w:bookmarkStart w:id="46" w:name="_Toc297422934"/>
      <w:r>
        <w:rPr>
          <w:rFonts w:hint="default" w:ascii="Times New Roman" w:hAnsi="Times New Roman" w:eastAsia="黑体" w:cs="Times New Roman"/>
          <w:b w:val="0"/>
          <w:bCs/>
          <w:color w:val="auto"/>
          <w:kern w:val="2"/>
          <w:sz w:val="28"/>
          <w:szCs w:val="32"/>
          <w:lang w:val="en-US" w:eastAsia="zh-CN" w:bidi="ar-SA"/>
        </w:rPr>
        <w:t>1.3.1 国外研究现状</w:t>
      </w:r>
      <w:bookmarkEnd w:id="42"/>
      <w:bookmarkEnd w:id="43"/>
      <w:bookmarkEnd w:id="44"/>
      <w:bookmarkEnd w:id="45"/>
      <w:bookmarkEnd w:id="46"/>
    </w:p>
    <w:p w14:paraId="4524D010">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hint="default" w:ascii="Times New Roman" w:hAnsi="Times New Roman" w:eastAsia="宋体" w:cs="Times New Roman"/>
          <w:color w:val="000000" w:themeColor="text1"/>
          <w:kern w:val="2"/>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highlight w:val="none"/>
          <w:lang w:val="en-US" w:eastAsia="zh-CN" w:bidi="ar-SA"/>
          <w14:textFill>
            <w14:solidFill>
              <w14:schemeClr w14:val="tx1"/>
            </w14:solidFill>
          </w14:textFill>
        </w:rPr>
        <w:t>国外学者很早就开始研究农产品电商和品牌建设。Keller在1993年提出了顾客为中心的品牌资产（CBBE）模型，他强调品牌知识对消费者行为影响巨大，这一观点为农产品电商品牌建设提供了理论基础</w:t>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fldChar w:fldCharType="begin"/>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instrText xml:space="preserve"> REF _Ref14124 \r \h </w:instrText>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t>[1]</w:t>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highlight w:val="none"/>
          <w:lang w:val="en-US" w:eastAsia="zh-CN" w:bidi="ar-SA"/>
          <w14:textFill>
            <w14:solidFill>
              <w14:schemeClr w14:val="tx1"/>
            </w14:solidFill>
          </w14:textFill>
        </w:rPr>
        <w:t>。到了1996年，Aaker从品牌资产的角度，系统讲解了品牌管理框架。他提出品牌忠诚度、品牌知名度、感知质量、品牌联想这些核心维度</w:t>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fldChar w:fldCharType="begin"/>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instrText xml:space="preserve"> REF _Ref14284 \r \h </w:instrText>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t>[2]</w:t>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highlight w:val="none"/>
          <w:lang w:val="en-US" w:eastAsia="zh-CN" w:bidi="ar-SA"/>
          <w14:textFill>
            <w14:solidFill>
              <w14:schemeClr w14:val="tx1"/>
            </w14:solidFill>
          </w14:textFill>
        </w:rPr>
        <w:t>。这套理论现在被广泛用在农产品品牌评价和实际建设中。</w:t>
      </w:r>
    </w:p>
    <w:p w14:paraId="5D876228">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hint="default" w:ascii="Times New Roman" w:hAnsi="Times New Roman" w:eastAsia="宋体" w:cs="Times New Roman"/>
          <w:color w:val="000000" w:themeColor="text1"/>
          <w:kern w:val="2"/>
          <w:szCs w:val="18"/>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highlight w:val="none"/>
          <w:lang w:val="en-US" w:eastAsia="zh-CN" w:bidi="ar-SA"/>
          <w14:textFill>
            <w14:solidFill>
              <w14:schemeClr w14:val="tx1"/>
            </w14:solidFill>
          </w14:textFill>
        </w:rPr>
        <w:t>在区域品牌研究方面，Belletti等（2017）对欧盟地理标志产品进行了系统研究，认为地理标志保护制度能够有效提升农产品附加值，增强区域品牌竞争力</w:t>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fldChar w:fldCharType="begin"/>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instrText xml:space="preserve"> REF _Ref14434 \r \h </w:instrText>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t>[3]</w:t>
      </w:r>
      <w:r>
        <w:rPr>
          <w:rFonts w:hint="default" w:ascii="Times New Roman" w:hAnsi="Times New Roman" w:eastAsia="宋体" w:cs="Times New Roman"/>
          <w:color w:val="000000" w:themeColor="text1"/>
          <w:kern w:val="2"/>
          <w:szCs w:val="18"/>
          <w:highlight w:val="none"/>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highlight w:val="none"/>
          <w:lang w:val="en-US" w:eastAsia="zh-CN" w:bidi="ar-SA"/>
          <w14:textFill>
            <w14:solidFill>
              <w14:schemeClr w14:val="tx1"/>
            </w14:solidFill>
          </w14:textFill>
        </w:rPr>
        <w:t>。</w:t>
      </w:r>
    </w:p>
    <w:p w14:paraId="2714EB92">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47" w:name="_Toc1038285333"/>
      <w:bookmarkStart w:id="48" w:name="_Toc3035"/>
      <w:bookmarkStart w:id="49" w:name="_Toc270855574"/>
      <w:bookmarkStart w:id="50" w:name="_Toc1592805169"/>
      <w:bookmarkStart w:id="51" w:name="_Toc1343347766"/>
      <w:r>
        <w:rPr>
          <w:rFonts w:hint="default" w:ascii="Times New Roman" w:hAnsi="Times New Roman" w:eastAsia="黑体" w:cs="Times New Roman"/>
          <w:b w:val="0"/>
          <w:bCs/>
          <w:color w:val="auto"/>
          <w:kern w:val="2"/>
          <w:sz w:val="28"/>
          <w:szCs w:val="32"/>
          <w:lang w:val="en-US" w:eastAsia="zh-CN" w:bidi="ar-SA"/>
        </w:rPr>
        <w:t>1.3.2 国内研究现状</w:t>
      </w:r>
      <w:bookmarkEnd w:id="47"/>
      <w:bookmarkEnd w:id="48"/>
      <w:bookmarkEnd w:id="49"/>
      <w:bookmarkEnd w:id="50"/>
      <w:bookmarkEnd w:id="51"/>
    </w:p>
    <w:p w14:paraId="60CC588B">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国内关于农产品电商品牌建设的研究近年来取得了丰硕成果。在理论研究方面，孔艳芬（2026）提出了数字乡村视域下农产品电商品牌四维一体发展路径，强调品牌定位、品质保障、文化内涵和数字营销的系统整合</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instrText xml:space="preserve"> REF _Ref21013 \r \h </w:instrTex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t>[</w:t>
      </w:r>
      <w:r>
        <w:rPr>
          <w:rFonts w:hint="eastAsia" w:cs="Times New Roman"/>
          <w:color w:val="000000" w:themeColor="text1"/>
          <w:kern w:val="2"/>
          <w:szCs w:val="18"/>
          <w:vertAlign w:val="superscript"/>
          <w:lang w:val="en-US" w:eastAsia="zh-CN" w:bidi="ar-SA"/>
          <w14:textFill>
            <w14:solidFill>
              <w14:schemeClr w14:val="tx1"/>
            </w14:solidFill>
          </w14:textFill>
        </w:rPr>
        <w:t>4</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。蒙宁（2025）以广东地区农产品为例，分析了乡村振兴背景下农产品电商品牌建设的策略选择，指出区域公用品牌与企业品牌的协同发展是关键</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instrText xml:space="preserve"> REF _Ref21101 \r \h </w:instrTex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t>[</w:t>
      </w:r>
      <w:r>
        <w:rPr>
          <w:rFonts w:hint="eastAsia" w:cs="Times New Roman"/>
          <w:color w:val="000000" w:themeColor="text1"/>
          <w:kern w:val="2"/>
          <w:szCs w:val="18"/>
          <w:vertAlign w:val="superscript"/>
          <w:lang w:val="en-US" w:eastAsia="zh-CN" w:bidi="ar-SA"/>
          <w14:textFill>
            <w14:solidFill>
              <w14:schemeClr w14:val="tx1"/>
            </w14:solidFill>
          </w14:textFill>
        </w:rPr>
        <w:t>5</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。林萍和林居（2025）研究了广东省农产品电商品牌化建设对农民增收的影响，发现品牌化建设能够显著提升农产品溢价能力和农民收入水平</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instrText xml:space="preserve"> REF _Ref21134 \r \h </w:instrTex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eastAsia" w:cs="Times New Roman"/>
          <w:color w:val="000000" w:themeColor="text1"/>
          <w:kern w:val="2"/>
          <w:szCs w:val="18"/>
          <w:vertAlign w:val="superscript"/>
          <w:lang w:val="en-US" w:eastAsia="zh-CN" w:bidi="ar-SA"/>
          <w14:textFill>
            <w14:solidFill>
              <w14:schemeClr w14:val="tx1"/>
            </w14:solidFill>
          </w14:textFill>
        </w:rPr>
        <w:t>6</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w:t>
      </w:r>
    </w:p>
    <w:p w14:paraId="6B9BF01A">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在区域公用品牌研究方面，廖丽（2025）研究了民族地区政府嵌入农产品区域公用品牌建设的路径，分析了政府在品牌建设中的角色定位与职能发挥</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instrText xml:space="preserve"> REF _Ref21238 \r \h </w:instrTex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t>[</w:t>
      </w:r>
      <w:r>
        <w:rPr>
          <w:rFonts w:hint="eastAsia" w:cs="Times New Roman"/>
          <w:color w:val="000000" w:themeColor="text1"/>
          <w:kern w:val="2"/>
          <w:szCs w:val="18"/>
          <w:vertAlign w:val="superscript"/>
          <w:lang w:val="en-US" w:eastAsia="zh-CN" w:bidi="ar-SA"/>
          <w14:textFill>
            <w14:solidFill>
              <w14:schemeClr w14:val="tx1"/>
            </w14:solidFill>
          </w14:textFill>
        </w:rPr>
        <w:t>7</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。梁潇（2025）探讨了政府主导下区域农产品品牌建设助推产业振兴的路径优化问题，提出了政府引导、市场主导、社会参与的三方协同机制</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instrText xml:space="preserve"> REF _Ref21496 \r \h </w:instrTex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t>[</w:t>
      </w:r>
      <w:r>
        <w:rPr>
          <w:rFonts w:hint="eastAsia" w:cs="Times New Roman"/>
          <w:color w:val="000000" w:themeColor="text1"/>
          <w:kern w:val="2"/>
          <w:szCs w:val="18"/>
          <w:vertAlign w:val="superscript"/>
          <w:lang w:val="en-US" w:eastAsia="zh-CN" w:bidi="ar-SA"/>
          <w14:textFill>
            <w14:solidFill>
              <w14:schemeClr w14:val="tx1"/>
            </w14:solidFill>
          </w14:textFill>
        </w:rPr>
        <w:t>8</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。王珈琪（2025）以库伦旗为例，研究了农产品区域品牌建设中的政府职能，为区域公用品牌治理提供了实践参考</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instrText xml:space="preserve"> REF _Ref21539 \r \h </w:instrTex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eastAsia" w:cs="Times New Roman"/>
          <w:color w:val="000000" w:themeColor="text1"/>
          <w:kern w:val="2"/>
          <w:szCs w:val="18"/>
          <w:vertAlign w:val="superscript"/>
          <w:lang w:val="en-US" w:eastAsia="zh-CN" w:bidi="ar-SA"/>
          <w14:textFill>
            <w14:solidFill>
              <w14:schemeClr w14:val="tx1"/>
            </w14:solidFill>
          </w14:textFill>
        </w:rPr>
        <w:t>9</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w:t>
      </w:r>
    </w:p>
    <w:p w14:paraId="1D524C46">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在农产品电商营销策略研究方面，杨明珠（2025）分析了南阳市特色农产品电商品牌塑造与推广策略，提出了基于SWOT分析的品牌建设框架</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instrText xml:space="preserve"> REF _Ref21620 \r \h </w:instrTex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[1</w:t>
      </w:r>
      <w:r>
        <w:rPr>
          <w:rFonts w:hint="eastAsia" w:cs="Times New Roman"/>
          <w:color w:val="000000" w:themeColor="text1"/>
          <w:kern w:val="2"/>
          <w:szCs w:val="18"/>
          <w:vertAlign w:val="superscript"/>
          <w:lang w:val="en-US" w:eastAsia="zh-CN" w:bidi="ar-SA"/>
          <w14:textFill>
            <w14:solidFill>
              <w14:schemeClr w14:val="tx1"/>
            </w14:solidFill>
          </w14:textFill>
        </w:rPr>
        <w:t>0</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。闫思敏和潘文佳（2025）研究了临潼农产品电商品牌建设的发展路径，强调数字化营销手段的应用</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instrText xml:space="preserve"> REF _Ref21656 \r \h </w:instrTex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[1</w:t>
      </w:r>
      <w:r>
        <w:rPr>
          <w:rFonts w:hint="eastAsia" w:cs="Times New Roman"/>
          <w:color w:val="000000" w:themeColor="text1"/>
          <w:kern w:val="2"/>
          <w:szCs w:val="18"/>
          <w:vertAlign w:val="superscript"/>
          <w:lang w:val="en-US" w:eastAsia="zh-CN" w:bidi="ar-SA"/>
          <w14:textFill>
            <w14:solidFill>
              <w14:schemeClr w14:val="tx1"/>
            </w14:solidFill>
          </w14:textFill>
        </w:rPr>
        <w:t>1</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。刘晶晶（2025）从区域特色农产品电商品牌化建设路径与营销模式的角度，提出了全产业链品牌管理思路</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instrText xml:space="preserve"> REF _Ref21692 \r \h </w:instrTex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eastAsia" w:cs="Times New Roman"/>
          <w:color w:val="000000" w:themeColor="text1"/>
          <w:kern w:val="2"/>
          <w:szCs w:val="18"/>
          <w:vertAlign w:val="superscript"/>
          <w:lang w:val="en-US" w:eastAsia="zh-CN" w:bidi="ar-SA"/>
          <w14:textFill>
            <w14:solidFill>
              <w14:schemeClr w14:val="tx1"/>
            </w14:solidFill>
          </w14:textFill>
        </w:rPr>
        <w:t>12</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。杨志琪和梁誉芳（2024）运用SWOT-AHP方法分析了云南省农产品电商品牌发展战略，为区域农产品电商品牌定位提供了方法论指导</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instrText xml:space="preserve"> REF _Ref21718 \r \h </w:instrTex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[1</w:t>
      </w:r>
      <w:r>
        <w:rPr>
          <w:rFonts w:hint="eastAsia" w:cs="Times New Roman"/>
          <w:color w:val="000000" w:themeColor="text1"/>
          <w:kern w:val="2"/>
          <w:szCs w:val="18"/>
          <w:vertAlign w:val="superscript"/>
          <w:lang w:val="en-US" w:eastAsia="zh-CN" w:bidi="ar-SA"/>
          <w14:textFill>
            <w14:solidFill>
              <w14:schemeClr w14:val="tx1"/>
            </w14:solidFill>
          </w14:textFill>
        </w:rPr>
        <w:t>3</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w:t>
      </w:r>
    </w:p>
    <w:p w14:paraId="4EB3601A">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在跨境电商与品牌化研究方面，白赟腾和吴英（2024）以湖北秭归脐橙为例，研究了乡村振兴背景下农产品跨境电商品牌建设问题</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instrText xml:space="preserve"> REF _Ref21751 \r \h </w:instrTex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[1</w:t>
      </w:r>
      <w:r>
        <w:rPr>
          <w:rFonts w:hint="eastAsia" w:cs="Times New Roman"/>
          <w:color w:val="000000" w:themeColor="text1"/>
          <w:kern w:val="2"/>
          <w:szCs w:val="18"/>
          <w:vertAlign w:val="superscript"/>
          <w:lang w:val="en-US" w:eastAsia="zh-CN" w:bidi="ar-SA"/>
          <w14:textFill>
            <w14:solidFill>
              <w14:schemeClr w14:val="tx1"/>
            </w14:solidFill>
          </w14:textFill>
        </w:rPr>
        <w:t>4</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。袁玉玲（2023）以广东省韶关市乳源瑶族自治县为例，探讨了数字经济背景下农产品电商品牌营销策略，强调了数字化转型对品牌建设的赋能作用</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begin"/>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instrText xml:space="preserve"> REF _Ref21796 \r \h </w:instrTex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separate"/>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[1</w:t>
      </w:r>
      <w:r>
        <w:rPr>
          <w:rFonts w:hint="eastAsia" w:cs="Times New Roman"/>
          <w:color w:val="000000" w:themeColor="text1"/>
          <w:kern w:val="2"/>
          <w:szCs w:val="18"/>
          <w:vertAlign w:val="superscript"/>
          <w:lang w:val="en-US" w:eastAsia="zh-CN" w:bidi="ar-SA"/>
          <w14:textFill>
            <w14:solidFill>
              <w14:schemeClr w14:val="tx1"/>
            </w14:solidFill>
          </w14:textFill>
        </w:rPr>
        <w:t>5</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t>]</w:t>
      </w:r>
      <w:r>
        <w:rPr>
          <w:rFonts w:hint="default" w:ascii="Times New Roman" w:hAnsi="Times New Roman" w:cs="Times New Roman"/>
          <w:color w:val="000000" w:themeColor="text1"/>
          <w:kern w:val="2"/>
          <w:szCs w:val="18"/>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w:t>
      </w:r>
    </w:p>
    <w:p w14:paraId="4EDD486F">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52" w:name="_Toc1150322251"/>
      <w:bookmarkStart w:id="53" w:name="_Toc16217"/>
      <w:r>
        <w:rPr>
          <w:rFonts w:hint="default" w:ascii="Times New Roman" w:hAnsi="Times New Roman" w:eastAsia="黑体" w:cs="Times New Roman"/>
          <w:b w:val="0"/>
          <w:bCs/>
          <w:color w:val="auto"/>
          <w:kern w:val="2"/>
          <w:sz w:val="28"/>
          <w:szCs w:val="32"/>
          <w:lang w:val="en-US" w:eastAsia="zh-CN" w:bidi="ar-SA"/>
        </w:rPr>
        <w:t>1.3.3 研究述评</w:t>
      </w:r>
      <w:bookmarkEnd w:id="52"/>
      <w:bookmarkEnd w:id="53"/>
    </w:p>
    <w:p w14:paraId="34AE73C6">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通过对国内外文献的系统梳理，可以发现现有研究存在以下特点和不足：第一，研究对象以生鲜农产品为主，对熟食加工品这一特殊品类的关注不足。加工品具有保质期长、标准化程度高、文化属性强等特点，其品牌建设规律与生鲜农产品存在显著差异，需要专门研究。第二，研究视角多集中于单一维度，缺乏系统性。现有研究或侧重于品牌定位，或侧重于营销策略，或侧重于供应链管理，较少将品牌建设视为一个涵盖定位、品质、文化、营销、供应链等多维度的系统工程。第三，实证研究相对薄弱，尤其是基于消费者视角的微观研究不足。多数研究停留在宏观策略层面，缺乏对消费者购买行为、品牌认知、满意度等方面的深入调查和数据支撑。第四，对新型电商模式（如直播电商、内容电商、社交电商）与传统加工品品牌建设的结合研究尚处于起步阶段。本文正是基于上述研究缺口，以南京盐水鸭为典型案例，采用文献研究、案例分析和问卷调查相结合的方法，系统构建加工品电商品牌建设的路径模型，以期弥补现有研究的不足。</w:t>
      </w:r>
    </w:p>
    <w:p w14:paraId="4C07AE9A">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54" w:name="_Toc1751784225"/>
      <w:bookmarkStart w:id="55" w:name="_Toc1818282263"/>
      <w:bookmarkStart w:id="56" w:name="_Toc3806"/>
      <w:bookmarkStart w:id="57" w:name="_Toc1892815528"/>
      <w:bookmarkStart w:id="58" w:name="_Toc9476209"/>
      <w:r>
        <w:rPr>
          <w:rFonts w:hint="default" w:ascii="Times New Roman" w:hAnsi="Times New Roman" w:cs="Times New Roman"/>
          <w:b w:val="0"/>
          <w:bCs w:val="0"/>
          <w:color w:val="auto"/>
          <w:kern w:val="2"/>
          <w:sz w:val="30"/>
          <w:szCs w:val="30"/>
          <w:lang w:val="en-US" w:eastAsia="zh-CN" w:bidi="ar-SA"/>
        </w:rPr>
        <w:t>1.4 研究方法</w:t>
      </w:r>
      <w:bookmarkEnd w:id="54"/>
      <w:bookmarkEnd w:id="55"/>
      <w:bookmarkEnd w:id="56"/>
      <w:bookmarkEnd w:id="57"/>
      <w:bookmarkEnd w:id="58"/>
    </w:p>
    <w:p w14:paraId="53745165">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1）文献研究法：查阅国内外有关品牌建设、农产品电商、区域公用品牌等方面的资料，形成本文的研究思路。在中国知网、万方数据库等网站上搜索相关文献156篇，其中核心期刊论文42篇，为本文的研究奠定了良好的基础。</w:t>
      </w:r>
    </w:p>
    <w:p w14:paraId="71923171">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（2）案例分析法：选取南京盐水鸭产业中有代表性的企业进行研究，分析其品牌发展过程、电商运营方式以及遇到的问题，通过对典型企业的研究总结出加工品电商品牌建设的一般性规律。</w:t>
      </w:r>
    </w:p>
    <w:p w14:paraId="797594D8">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（3）问卷调查法：设计消费者调查问卷，在网络上进行发放，获取消费者对于南京盐水鸭品牌认知、购买行为以及满意度等方面信息。</w:t>
      </w:r>
    </w:p>
    <w:p w14:paraId="2D114A6E">
      <w:pPr>
        <w:widowControl w:val="0"/>
        <w:adjustRightInd w:val="0"/>
        <w:snapToGrid w:val="0"/>
        <w:spacing w:after="0" w:line="400" w:lineRule="exact"/>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4）比较分析法：本文运用比较分析法，将南京盐水鸭与周黑鸭、绝味鸭脖、德州扒鸡、金华火腿等同类或相似产品进行横向对比，分析其在品牌定位、产品创新、营销策略、渠道布局等方面的异同，从而找出南京盐水鸭电商品牌建设的优势与短板，为提出针对性对策提供依据。</w:t>
      </w:r>
    </w:p>
    <w:p w14:paraId="29B75648">
      <w:pPr>
        <w:rPr>
          <w:rFonts w:hint="default" w:ascii="Times New Roman" w:hAnsi="Times New Roman" w:cs="Times New Roman"/>
          <w:lang w:val="en-US" w:eastAsia="zh-CN"/>
        </w:rPr>
      </w:pPr>
      <w:bookmarkStart w:id="59" w:name="_Toc352854785"/>
      <w:bookmarkStart w:id="60" w:name="_Toc1875316085"/>
      <w:bookmarkStart w:id="61" w:name="_Toc236669205"/>
      <w:r>
        <w:rPr>
          <w:rFonts w:hint="default" w:ascii="Times New Roman" w:hAnsi="Times New Roman" w:cs="Times New Roman"/>
          <w:lang w:val="en-US" w:eastAsia="zh-CN"/>
        </w:rPr>
        <w:br w:type="page"/>
      </w:r>
    </w:p>
    <w:p w14:paraId="56EA7C67">
      <w:pPr>
        <w:pStyle w:val="17"/>
        <w:rPr>
          <w:rFonts w:hint="default" w:ascii="Times New Roman" w:hAnsi="Times New Roman" w:cs="Times New Roman"/>
          <w:lang w:val="en-US" w:eastAsia="zh-CN"/>
        </w:rPr>
      </w:pPr>
      <w:bookmarkStart w:id="62" w:name="_Toc1177697431"/>
      <w:bookmarkStart w:id="63" w:name="_Toc29182"/>
      <w:r>
        <w:rPr>
          <w:rFonts w:hint="default" w:ascii="Times New Roman" w:hAnsi="Times New Roman" w:cs="Times New Roman"/>
          <w:lang w:val="en-US" w:eastAsia="zh-CN"/>
        </w:rPr>
        <w:t>2 相关概念与理论基础</w:t>
      </w:r>
      <w:bookmarkEnd w:id="59"/>
      <w:bookmarkEnd w:id="60"/>
      <w:bookmarkEnd w:id="61"/>
      <w:bookmarkEnd w:id="62"/>
      <w:bookmarkEnd w:id="63"/>
    </w:p>
    <w:p w14:paraId="738FBC91">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64" w:name="_Toc203948418"/>
      <w:bookmarkStart w:id="65" w:name="_Toc1967437223"/>
      <w:bookmarkStart w:id="66" w:name="_Toc25729"/>
      <w:bookmarkStart w:id="67" w:name="_Toc559614191"/>
      <w:bookmarkStart w:id="68" w:name="_Toc1228022128"/>
      <w:r>
        <w:rPr>
          <w:rFonts w:hint="default" w:ascii="Times New Roman" w:hAnsi="Times New Roman" w:cs="Times New Roman"/>
          <w:b w:val="0"/>
          <w:bCs w:val="0"/>
          <w:color w:val="auto"/>
          <w:kern w:val="2"/>
          <w:sz w:val="30"/>
          <w:szCs w:val="30"/>
          <w:lang w:val="en-US" w:eastAsia="zh-CN" w:bidi="ar-SA"/>
        </w:rPr>
        <w:t>2.1 相关概念界定</w:t>
      </w:r>
      <w:bookmarkEnd w:id="64"/>
      <w:bookmarkEnd w:id="65"/>
      <w:bookmarkEnd w:id="66"/>
      <w:bookmarkEnd w:id="67"/>
      <w:bookmarkEnd w:id="68"/>
    </w:p>
    <w:p w14:paraId="572F871B">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69" w:name="_Toc1604817924"/>
      <w:bookmarkStart w:id="70" w:name="_Toc1911694102"/>
      <w:bookmarkStart w:id="71" w:name="_Toc18052"/>
      <w:bookmarkStart w:id="72" w:name="_Toc377160714"/>
      <w:bookmarkStart w:id="73" w:name="_Toc2050057626"/>
      <w:r>
        <w:rPr>
          <w:rFonts w:hint="default" w:ascii="Times New Roman" w:hAnsi="Times New Roman" w:eastAsia="黑体" w:cs="Times New Roman"/>
          <w:b w:val="0"/>
          <w:bCs/>
          <w:color w:val="auto"/>
          <w:kern w:val="2"/>
          <w:sz w:val="28"/>
          <w:szCs w:val="32"/>
          <w:lang w:val="en-US" w:eastAsia="zh-CN" w:bidi="ar-SA"/>
        </w:rPr>
        <w:t>2.1.1 加工品的内涵与特征</w:t>
      </w:r>
      <w:bookmarkEnd w:id="69"/>
      <w:bookmarkEnd w:id="70"/>
      <w:bookmarkEnd w:id="71"/>
      <w:bookmarkEnd w:id="72"/>
      <w:bookmarkEnd w:id="73"/>
    </w:p>
    <w:p w14:paraId="189492B1">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加工品是以农产品为原料，经过腌制、熏制、干制、发酵等方法制成的产品。相比于传统的生鲜农产品，加工品有以下几个特点：（1）保质期长，容易保存、携带。（2）产品标准化程度高，有利于大规模生产。（3）附加值大，利润空间较大。（4）地方风味浓郁，富有文化底蕴。南京盐水鸭就是一种典型的熟食加工品，很好地反映了这些特点，是研究加工品电商品牌建设的一个很好的例子。</w:t>
      </w:r>
    </w:p>
    <w:p w14:paraId="06DDF066">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从产业分类角度看，加工品可分为初加工品和深加工品两大类。初加工品是指对农产品进行简单的清洗、分级、包装等处理后的产品，如净菜、分割肉等；深加工品则是指经过复杂工艺处理、发生本质性变化的产品，如腌腊制品、罐头食品、休闲食品等。南京盐水鸭属于深加工品中的腌腊熟食类，其制作工艺包括宰杀、腌制、煮制、冷却等多道工序，技术含量较高，产品附加值也相应较高。</w:t>
      </w:r>
    </w:p>
    <w:p w14:paraId="7ADEF062">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从电商属性角度看，加工品相较于生鲜农产品具有显著的电商适配性。首先，加工品的保质期通常在数周至数月，远超生鲜农产品的数日，这大大降低了物流时效要求和损耗率，使其更适合通过电商渠道进行长距离销售。其次，加工品的标准化程度较高，产品规格、品质、包装等易于统一，有利于建立标准化的电商运营体系。再次，加工品具有较强的文化属性和礼品属性，适合通过内容营销和情感营销进行品牌传播。最后，加工品的客单价通常高于生鲜农产品，能够支撑较高的物流成本和营销投入，为品牌溢价提供了空间。</w:t>
      </w:r>
    </w:p>
    <w:p w14:paraId="0B1ECF91">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74" w:name="_Toc3145"/>
      <w:bookmarkStart w:id="75" w:name="_Toc1339929547"/>
      <w:bookmarkStart w:id="76" w:name="_Toc1715877901"/>
      <w:bookmarkStart w:id="77" w:name="_Toc1090887714"/>
      <w:bookmarkStart w:id="78" w:name="_Toc1927725995"/>
      <w:r>
        <w:rPr>
          <w:rFonts w:hint="default" w:ascii="Times New Roman" w:hAnsi="Times New Roman" w:eastAsia="黑体" w:cs="Times New Roman"/>
          <w:b w:val="0"/>
          <w:bCs/>
          <w:color w:val="auto"/>
          <w:kern w:val="2"/>
          <w:sz w:val="28"/>
          <w:szCs w:val="32"/>
          <w:lang w:val="en-US" w:eastAsia="zh-CN" w:bidi="ar-SA"/>
        </w:rPr>
        <w:t>2.1.2 电商品牌的内涵</w:t>
      </w:r>
      <w:bookmarkEnd w:id="74"/>
      <w:bookmarkEnd w:id="75"/>
      <w:bookmarkEnd w:id="76"/>
      <w:bookmarkEnd w:id="77"/>
      <w:bookmarkEnd w:id="78"/>
    </w:p>
    <w:p w14:paraId="738E75B6">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电商品牌是指企业在电子商务环境中打造的品牌形象，是消费者对于企业在网络平台的印象以及感受的总和。相对于传统的线下品牌而言，电商品牌有以下几个特点：（1）传播迅速，可以很快被大量的人群所了解。（2）互动性强，可以和消费者进行直接交流。（3）可以被记录下来，方便进行精准的营销以及效果分析。（4）竞争激烈，需要不断地进行内容更新以及创新。</w:t>
      </w:r>
    </w:p>
    <w:p w14:paraId="1D47E8CD">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电商品牌的构建逻辑与传统品牌存在本质差异。传统品牌的建设遵循</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知名度—美誉度—忠诚度</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的线性路径，依赖于大规模广告投放和渠道铺货；而电商品牌的建设则遵循</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流量—转化—留存—裂变</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的闭环路径，依赖于精准流量获取、高效转化运营和持续用户互动。在电商环境下，品牌不再仅仅是企业单向输出的符号，而是企业与消费者共同建构的意义系统。消费者的评价、分享、互动内容（UGC）成为品牌形象的重要组成部分，甚至能够反向影响品牌的定位和发展方向。</w:t>
      </w:r>
    </w:p>
    <w:p w14:paraId="357723C3">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从构成要素看，电商品牌包括视觉品牌、体验品牌、社交品牌三个层面。视觉品牌是指品牌在电商平台上的视觉呈现，包括店铺装修、产品图片、详情页设计、视频内容等，是消费者对品牌的第一印象。体验品牌是指消费者在购买和使用过程中形成的综合感受，包括浏览体验、支付体验、物流体验、售后体验、产品体验等，直接影响消费者的满意度和复购率。社交品牌是指品牌在社交媒体和社群中的口碑形象，包括用户评价、KOL推荐、话题讨论、社群互动等，是品牌信任度和影响力的重要来源。南京盐水鸭的电商品牌建设需要在这三个层面协同发力，构建完整的电商品牌体系。</w:t>
      </w:r>
    </w:p>
    <w:p w14:paraId="37C28E7D">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79" w:name="_Toc201986544"/>
      <w:bookmarkStart w:id="80" w:name="_Toc205015676"/>
      <w:bookmarkStart w:id="81" w:name="_Toc1481914759"/>
      <w:bookmarkStart w:id="82" w:name="_Toc1682373987"/>
      <w:bookmarkStart w:id="83" w:name="_Toc28223"/>
      <w:r>
        <w:rPr>
          <w:rFonts w:hint="default" w:ascii="Times New Roman" w:hAnsi="Times New Roman" w:cs="Times New Roman"/>
          <w:b w:val="0"/>
          <w:bCs w:val="0"/>
          <w:color w:val="auto"/>
          <w:kern w:val="2"/>
          <w:sz w:val="30"/>
          <w:szCs w:val="30"/>
          <w:lang w:val="en-US" w:eastAsia="zh-CN" w:bidi="ar-SA"/>
        </w:rPr>
        <w:t>2.2 品牌建设理论</w:t>
      </w:r>
      <w:bookmarkEnd w:id="79"/>
      <w:bookmarkEnd w:id="80"/>
      <w:bookmarkEnd w:id="81"/>
      <w:bookmarkEnd w:id="82"/>
      <w:bookmarkEnd w:id="83"/>
    </w:p>
    <w:p w14:paraId="79252DC9">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highlight w:val="none"/>
          <w:lang w:val="en-US" w:eastAsia="zh-CN" w:bidi="ar-SA"/>
          <w14:textFill>
            <w14:solidFill>
              <w14:schemeClr w14:val="tx1"/>
            </w14:solidFill>
          </w14:textFill>
        </w:rPr>
      </w:pPr>
      <w:r>
        <w:rPr>
          <w:rFonts w:hint="default" w:ascii="Times New Roman" w:hAnsi="Times New Roman" w:cs="Times New Roman"/>
          <w:color w:val="000000" w:themeColor="text1"/>
          <w:kern w:val="2"/>
          <w:szCs w:val="18"/>
          <w:highlight w:val="none"/>
          <w:lang w:val="en-US" w:eastAsia="zh-CN" w:bidi="ar-SA"/>
          <w14:textFill>
            <w14:solidFill>
              <w14:schemeClr w14:val="tx1"/>
            </w14:solidFill>
          </w14:textFill>
        </w:rPr>
        <w:t>品牌建设理论起源于20世纪50年代的品牌形象理论，在之后几十年的发展过程中逐渐完善起来。Aaker的品牌资产模型把品牌资产分为品牌认知、品牌联想、感知质量、品牌忠诚度以及专有品牌资产五个方面，对品牌进行评价提供了一个很好的参考标准。而Keller提出的基于顾客的品牌资产（CBBE）模型更加强调品牌知识对于品牌建设的作用，认为一个强大的品牌必须有很高的知名度并且具有良好的形象。</w:t>
      </w:r>
    </w:p>
    <w:p w14:paraId="13923EEF">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在电商时代背景下，品牌建设理论也有所变化</w:t>
      </w:r>
      <w:r>
        <w:rPr>
          <w:rFonts w:hint="default" w:ascii="Times New Roman" w:hAnsi="Times New Roman" w:cs="Times New Roman"/>
          <w:color w:val="000000" w:themeColor="text1"/>
          <w:kern w:val="2"/>
          <w:szCs w:val="18"/>
          <w:highlight w:val="none"/>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的品牌识别棱镜模型突出了品牌的个性，而这一点正好符合电商品牌注重内容营销、情感链接的特点。同时，数字营销的发展也为电商品牌建设提供了新的思路和手段，比如社交媒体营销、内容营销、影响者营销等，这些都是本文的研究基础。</w:t>
      </w:r>
    </w:p>
    <w:p w14:paraId="0C7BB201">
      <w:pPr>
        <w:keepNext w:val="0"/>
        <w:keepLines w:val="0"/>
        <w:pageBreakBefore w:val="0"/>
        <w:widowControl w:val="0"/>
        <w:kinsoku/>
        <w:wordWrap/>
        <w:overflowPunct w:val="0"/>
        <w:topLinePunct w:val="0"/>
        <w:autoSpaceDE/>
        <w:autoSpaceDN/>
        <w:bidi w:val="0"/>
        <w:adjustRightInd w:val="0"/>
        <w:snapToGrid w:val="0"/>
        <w:spacing w:after="0" w:line="400" w:lineRule="exact"/>
        <w:ind w:firstLine="480" w:firstLineChars="200"/>
        <w:textAlignment w:val="auto"/>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在电商品牌建设的具体实践中，品牌资产模型需要结合数字营销的特点进行拓展。本文借鉴</w:t>
      </w:r>
      <w:r>
        <w:rPr>
          <w:rFonts w:hint="default" w:ascii="Times New Roman" w:hAnsi="Times New Roman" w:cs="Times New Roman"/>
          <w:color w:val="000000" w:themeColor="text1"/>
          <w:kern w:val="2"/>
          <w:szCs w:val="18"/>
          <w:highlight w:val="none"/>
          <w:lang w:val="en-US" w:eastAsia="zh-CN" w:bidi="ar-SA"/>
          <w14:textFill>
            <w14:solidFill>
              <w14:schemeClr w14:val="tx1"/>
            </w14:solidFill>
          </w14:textFill>
        </w:rPr>
        <w:t>Aaker和Keller的</w:t>
      </w:r>
      <w:r>
        <w:rPr>
          <w:rFonts w:hint="default" w:ascii="Times New Roman" w:hAnsi="Times New Roman" w:cs="Times New Roman"/>
          <w:color w:val="000000" w:themeColor="text1"/>
          <w:kern w:val="2"/>
          <w:szCs w:val="18"/>
          <w:lang w:val="en-US" w:eastAsia="zh-CN" w:bidi="ar-SA"/>
          <w14:textFill>
            <w14:solidFill>
              <w14:schemeClr w14:val="tx1"/>
            </w14:solidFill>
          </w14:textFill>
        </w:rPr>
        <w:t>理论框架，结合电商环境特征，提出加工品电商品牌资产的</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五维模型</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1）数字品牌认知，指品牌在电商平台和社交媒体上的曝光度和搜索排名，可通过SEO优化、信息流广告、内容种草等方式提升；（2）数字品牌联想，指消费者看到品牌时联想到的关键词和情感，如正宗非遗健康美味等，需要通过品牌故事、视觉设计、内容营销来塑造；（3）数字感知质量，指消费者基于线上信息（产品详情、用户评价、KOL测评、直播展示等）对产品质量的主观判断，需要通过详情页优化、溯源展示、品质承诺等方式来保障；（4）数字品牌忠诚度，指消费者在电商环境下的复购率、会员活跃度、社群参与度等，需要通过会员体系、私域运营、情感连接来培养；（5）数字品牌共鸣，指消费者对品牌的情感认同和价值共鸣，是品牌建设的最高层次，需要通过文化赋能、价值观传递、社群共创来实现。</w:t>
      </w:r>
    </w:p>
    <w:p w14:paraId="69B168A6">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此外，品牌定位理论也是本文的重要理论基础。特劳特和里斯的定位理论强调，品牌要在消费者心智中占据一个独特的位置。在电商环境下，品牌定位需要更加精准和差异化，因为消费者面临的选择更多、注意力更分散。南京盐水鸭的电商品牌定位需要回答三个核心问题：一是</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我是谁</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，即品牌的核心价值和差异化优势是什么；二是</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我为谁</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，即目标消费群体是谁，他们的需求和痛点是什么；三是</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为何选我</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，即消费者选择本品牌而非竞品的理由是什么。本文将在后续章节中围绕这三个问题展开深入分析。</w:t>
      </w:r>
    </w:p>
    <w:p w14:paraId="3622F230">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84" w:name="_Toc1763682748"/>
      <w:bookmarkStart w:id="85" w:name="_Toc1889903107"/>
      <w:bookmarkStart w:id="86" w:name="_Toc1134696744"/>
      <w:bookmarkStart w:id="87" w:name="_Toc2681"/>
      <w:bookmarkStart w:id="88" w:name="_Toc26016607"/>
      <w:r>
        <w:rPr>
          <w:rFonts w:hint="default" w:ascii="Times New Roman" w:hAnsi="Times New Roman" w:cs="Times New Roman"/>
          <w:b w:val="0"/>
          <w:bCs w:val="0"/>
          <w:color w:val="auto"/>
          <w:kern w:val="2"/>
          <w:sz w:val="30"/>
          <w:szCs w:val="30"/>
          <w:lang w:val="en-US" w:eastAsia="zh-CN" w:bidi="ar-SA"/>
        </w:rPr>
        <w:t>2.3</w:t>
      </w:r>
      <w:r>
        <w:rPr>
          <w:rFonts w:hint="eastAsia" w:cs="Times New Roman"/>
          <w:b w:val="0"/>
          <w:bCs w:val="0"/>
          <w:color w:val="auto"/>
          <w:kern w:val="2"/>
          <w:sz w:val="30"/>
          <w:szCs w:val="30"/>
          <w:lang w:val="en-US" w:eastAsia="zh-CN" w:bidi="ar-SA"/>
        </w:rPr>
        <w:t xml:space="preserve"> </w:t>
      </w:r>
      <w:r>
        <w:rPr>
          <w:rFonts w:hint="default" w:ascii="Times New Roman" w:hAnsi="Times New Roman" w:cs="Times New Roman"/>
          <w:b w:val="0"/>
          <w:bCs w:val="0"/>
          <w:color w:val="auto"/>
          <w:kern w:val="2"/>
          <w:sz w:val="30"/>
          <w:szCs w:val="30"/>
          <w:lang w:val="en-US" w:eastAsia="zh-CN" w:bidi="ar-SA"/>
        </w:rPr>
        <w:t>农产品区域公用品牌理论</w:t>
      </w:r>
      <w:bookmarkEnd w:id="84"/>
      <w:bookmarkEnd w:id="85"/>
      <w:bookmarkEnd w:id="86"/>
      <w:bookmarkEnd w:id="87"/>
      <w:bookmarkEnd w:id="88"/>
    </w:p>
    <w:p w14:paraId="717594C4">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农产品区域公用品牌是某一地区内有关单位、企业和农民等共同拥有，在生产地域范围、品种品质管理、品牌使用许可、品牌推广等方面有共同利益和要求，为了提升本地区内外消费者对品牌的认可度而形成的品牌。根据韩旭东等人研究认为，优质农产品区域品牌建设应该采用</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一个区域公用品牌+多个区域私有品牌</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的方式，由政府引导、企业运营，使区域公用品牌和企业品牌相互促进。</w:t>
      </w:r>
    </w:p>
    <w:p w14:paraId="02F195A4">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bookmarkStart w:id="89" w:name="_Toc1193391048"/>
      <w:bookmarkStart w:id="90" w:name="_Toc170896572"/>
      <w:bookmarkStart w:id="91" w:name="_Toc1321933508"/>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农产品区域公用品牌建设面临不少难题。比如，有的人只想着</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搭便车</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借用品牌宣传自己，却不愿承担任何成本。质量标准也是个麻烦事儿，各地执行标准参差不齐，品牌推广起来就很难统一。再有，品牌管理主体不明确，监督和管理不到位，容易出问题。针对这些情况，学者们给出了一些建议，比如制定严格的品牌准入制度，健全质量追溯系统，发挥行业协会的协调和监管作用。</w:t>
      </w:r>
    </w:p>
    <w:p w14:paraId="74A2FE4B">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区域公用品牌要想健康发展，治理机制不能少。从产权经济学的角度来看，这类品牌像</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准公共物品</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，容易遇到</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公地悲剧</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或者</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搭便车</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问题。要解决这些麻烦，必须明确产权、建立监督机制，还要合理分配利益。</w:t>
      </w:r>
    </w:p>
    <w:p w14:paraId="23EC96A6">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参考公共池塘资源治理理论，我提出一个</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三维框架</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专门针对区域公用品牌治理。第一是制度维度，包含品牌准入标准、使用规范、退出机制和违规惩戒等正式制度，还加上行业自律和声誉机制这些非正式制度。第二是组织维度，就是政府监管部门、行业协会、品牌运营公司、生产企业这些多元主体，谁负责什么、怎么协作都要明确。第三是技术维度，像质量追溯系统、区块链存证、大数据监测这些技术手段，为品牌治理提供支持。这样，治理机制才算真正扎实，品牌才能持续发展。</w:t>
      </w:r>
    </w:p>
    <w:p w14:paraId="1B51A694">
      <w:pPr>
        <w:widowControl w:val="0"/>
        <w:adjustRightInd w:val="0"/>
        <w:snapToGrid w:val="0"/>
        <w:spacing w:after="0" w:line="400" w:lineRule="exact"/>
        <w:ind w:firstLine="480" w:firstLineChars="200"/>
        <w:rPr>
          <w:rFonts w:hint="default" w:ascii="Times New Roman" w:hAnsi="Times New Roman" w:cs="Times New Roman"/>
          <w:lang w:val="en-US" w:eastAsia="zh-CN"/>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电商时代，区域公用品牌的建设变得更加复杂。一方面，开放的平台让假冒伪劣商品很容易通过网络渗透进市场，品牌保护变得很棘手。另一方面，电商平台的数据透明和评价体系带来了新机遇。消费者的评价、销量排名、投诉举报等信息时时更新，这些数据直接反映品牌使用情况，也为品牌治理提供了强有力的支持。以南京盐水鸭为例，本文将深入讨论，怎样在电商环境下打造更有效的区域公用品牌治理机制。</w:t>
      </w:r>
      <w:r>
        <w:rPr>
          <w:rFonts w:hint="default" w:ascii="Times New Roman" w:hAnsi="Times New Roman" w:cs="Times New Roman"/>
          <w:lang w:val="en-US" w:eastAsia="zh-CN"/>
        </w:rPr>
        <w:br w:type="page"/>
      </w:r>
    </w:p>
    <w:bookmarkEnd w:id="89"/>
    <w:bookmarkEnd w:id="90"/>
    <w:bookmarkEnd w:id="91"/>
    <w:p w14:paraId="28CFE917">
      <w:pPr>
        <w:pStyle w:val="17"/>
        <w:rPr>
          <w:rFonts w:hint="default" w:ascii="Times New Roman" w:hAnsi="Times New Roman" w:cs="Times New Roman"/>
          <w:color w:val="auto"/>
        </w:rPr>
      </w:pPr>
      <w:bookmarkStart w:id="92" w:name="_Toc7076"/>
      <w:bookmarkStart w:id="93" w:name="_Toc499166095"/>
      <w:r>
        <w:rPr>
          <w:rFonts w:hint="default" w:ascii="Times New Roman" w:hAnsi="Times New Roman" w:cs="Times New Roman"/>
          <w:color w:val="auto"/>
          <w:lang w:val="en-US" w:eastAsia="zh-CN"/>
        </w:rPr>
        <w:t xml:space="preserve">3 </w:t>
      </w:r>
      <w:r>
        <w:rPr>
          <w:rFonts w:hint="default" w:ascii="Times New Roman" w:hAnsi="Times New Roman" w:cs="Times New Roman"/>
          <w:color w:val="auto"/>
        </w:rPr>
        <w:t>南京盐水鸭产业发展现状分析</w:t>
      </w:r>
      <w:bookmarkEnd w:id="92"/>
      <w:bookmarkEnd w:id="93"/>
    </w:p>
    <w:p w14:paraId="146847E5">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94" w:name="_Toc1413433483"/>
      <w:bookmarkStart w:id="95" w:name="_Toc1973564403"/>
      <w:bookmarkStart w:id="96" w:name="_Toc29197"/>
      <w:bookmarkStart w:id="97" w:name="_Toc1073049565"/>
      <w:bookmarkStart w:id="98" w:name="_Toc2018140741"/>
      <w:r>
        <w:rPr>
          <w:rFonts w:hint="default" w:ascii="Times New Roman" w:hAnsi="Times New Roman" w:cs="Times New Roman"/>
          <w:b w:val="0"/>
          <w:bCs w:val="0"/>
          <w:color w:val="auto"/>
          <w:kern w:val="2"/>
          <w:sz w:val="30"/>
          <w:szCs w:val="30"/>
          <w:lang w:val="en-US" w:eastAsia="zh-CN" w:bidi="ar-SA"/>
        </w:rPr>
        <w:t>3.1 产业发展概况</w:t>
      </w:r>
      <w:bookmarkEnd w:id="94"/>
      <w:bookmarkEnd w:id="95"/>
      <w:bookmarkEnd w:id="96"/>
      <w:bookmarkEnd w:id="97"/>
      <w:bookmarkEnd w:id="98"/>
    </w:p>
    <w:p w14:paraId="5CD74244">
      <w:pPr>
        <w:widowControl w:val="0"/>
        <w:adjustRightInd w:val="0"/>
        <w:snapToGrid w:val="0"/>
        <w:spacing w:after="0" w:line="400" w:lineRule="exact"/>
        <w:ind w:firstLine="480" w:firstLine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南京盐水鸭产业历史悠久，与南京城市文化深度交融，是江苏省非物质文化遗产代表性项目，也是南京最具辨识度的城市美食名片和特色支柱产业。据史料考证，南京盐水鸭的制作技艺最早可追溯至</w:t>
      </w:r>
      <w:r>
        <w:rPr>
          <w:rFonts w:hint="default" w:ascii="Times New Roman" w:hAnsi="Times New Roman" w:eastAsia="宋体" w:cs="Times New Roman"/>
          <w:color w:val="000000" w:themeColor="text1"/>
          <w:sz w:val="24"/>
          <w:szCs w:val="24"/>
          <w14:textFill>
            <w14:solidFill>
              <w14:schemeClr w14:val="tx1"/>
            </w14:solidFill>
          </w14:textFill>
        </w:rPr>
        <w:t>1000</w:t>
      </w:r>
      <w:r>
        <w:rPr>
          <w:rFonts w:ascii="宋体" w:hAnsi="宋体" w:eastAsia="宋体" w:cs="宋体"/>
          <w:color w:val="000000" w:themeColor="text1"/>
          <w:sz w:val="24"/>
          <w:szCs w:val="24"/>
          <w14:textFill>
            <w14:solidFill>
              <w14:schemeClr w14:val="tx1"/>
            </w14:solidFill>
          </w14:textFill>
        </w:rPr>
        <w:t>多年前的六朝时期，至明、清两代被列为宫廷御用贡品，形成了“金陵鸭馔甲天下”的饮食文化格局，其“炒盐腌、清卤复、烘得干、焐得足”的十六字核心工艺历经数代传承，成为区别于其他卤味产品的核心标识。</w:t>
      </w:r>
    </w:p>
    <w:p w14:paraId="3D271531">
      <w:pPr>
        <w:widowControl w:val="0"/>
        <w:adjustRightInd w:val="0"/>
        <w:snapToGrid w:val="0"/>
        <w:spacing w:after="0" w:line="400" w:lineRule="exact"/>
        <w:ind w:firstLine="480" w:firstLine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从产业整体规模来看，南京鸭产业已构建起涵盖养殖、加工、销售、文旅的完整三产融合发展体系，增长态势持续稳健。据南京鸭产业联盟统计数据，南京全市每年出栏商品鸭约</w:t>
      </w:r>
      <w:r>
        <w:rPr>
          <w:rFonts w:hint="default" w:ascii="Times New Roman" w:hAnsi="Times New Roman" w:eastAsia="宋体" w:cs="Times New Roman"/>
          <w:color w:val="000000" w:themeColor="text1"/>
          <w:sz w:val="24"/>
          <w:szCs w:val="24"/>
          <w14:textFill>
            <w14:solidFill>
              <w14:schemeClr w14:val="tx1"/>
            </w14:solidFill>
          </w14:textFill>
        </w:rPr>
        <w:t>1</w:t>
      </w:r>
      <w:r>
        <w:rPr>
          <w:rFonts w:ascii="宋体" w:hAnsi="宋体" w:eastAsia="宋体" w:cs="宋体"/>
          <w:color w:val="000000" w:themeColor="text1"/>
          <w:sz w:val="24"/>
          <w:szCs w:val="24"/>
          <w14:textFill>
            <w14:solidFill>
              <w14:schemeClr w14:val="tx1"/>
            </w14:solidFill>
          </w14:textFill>
        </w:rPr>
        <w:t>亿只，日均消费盐水鸭等鸭类熟食约</w:t>
      </w:r>
      <w:r>
        <w:rPr>
          <w:rFonts w:hint="default" w:ascii="Times New Roman" w:hAnsi="Times New Roman" w:eastAsia="宋体" w:cs="Times New Roman"/>
          <w:color w:val="000000" w:themeColor="text1"/>
          <w:sz w:val="24"/>
          <w:szCs w:val="24"/>
          <w14:textFill>
            <w14:solidFill>
              <w14:schemeClr w14:val="tx1"/>
            </w14:solidFill>
          </w14:textFill>
        </w:rPr>
        <w:t>30</w:t>
      </w:r>
      <w:r>
        <w:rPr>
          <w:rFonts w:ascii="宋体" w:hAnsi="宋体" w:eastAsia="宋体" w:cs="宋体"/>
          <w:color w:val="000000" w:themeColor="text1"/>
          <w:sz w:val="24"/>
          <w:szCs w:val="24"/>
          <w14:textFill>
            <w14:solidFill>
              <w14:schemeClr w14:val="tx1"/>
            </w14:solidFill>
          </w14:textFill>
        </w:rPr>
        <w:t>万只，其中南京本地市场消费占比达</w:t>
      </w:r>
      <w:r>
        <w:rPr>
          <w:rFonts w:hint="default" w:ascii="Times New Roman" w:hAnsi="Times New Roman" w:eastAsia="宋体" w:cs="Times New Roman"/>
          <w:color w:val="000000" w:themeColor="text1"/>
          <w:sz w:val="24"/>
          <w:szCs w:val="24"/>
          <w14:textFill>
            <w14:solidFill>
              <w14:schemeClr w14:val="tx1"/>
            </w14:solidFill>
          </w14:textFill>
        </w:rPr>
        <w:t>70%</w:t>
      </w:r>
      <w:r>
        <w:rPr>
          <w:rFonts w:ascii="宋体" w:hAnsi="宋体" w:eastAsia="宋体" w:cs="宋体"/>
          <w:color w:val="000000" w:themeColor="text1"/>
          <w:sz w:val="24"/>
          <w:szCs w:val="24"/>
          <w14:textFill>
            <w14:solidFill>
              <w14:schemeClr w14:val="tx1"/>
            </w14:solidFill>
          </w14:textFill>
        </w:rPr>
        <w:t>，以上海、浙江为核心的长三角周边地区消费占比</w:t>
      </w:r>
      <w:r>
        <w:rPr>
          <w:rFonts w:hint="default" w:ascii="Times New Roman" w:hAnsi="Times New Roman" w:eastAsia="宋体" w:cs="Times New Roman"/>
          <w:color w:val="000000" w:themeColor="text1"/>
          <w:sz w:val="24"/>
          <w:szCs w:val="24"/>
          <w14:textFill>
            <w14:solidFill>
              <w14:schemeClr w14:val="tx1"/>
            </w14:solidFill>
          </w14:textFill>
        </w:rPr>
        <w:t>30%</w:t>
      </w:r>
      <w:r>
        <w:rPr>
          <w:rFonts w:ascii="宋体" w:hAnsi="宋体" w:eastAsia="宋体" w:cs="宋体"/>
          <w:color w:val="000000" w:themeColor="text1"/>
          <w:sz w:val="24"/>
          <w:szCs w:val="24"/>
          <w14:textFill>
            <w14:solidFill>
              <w14:schemeClr w14:val="tx1"/>
            </w14:solidFill>
          </w14:textFill>
        </w:rPr>
        <w:t>，初步形成了立足南京、辐射长三角的市场格局。</w:t>
      </w:r>
      <w:r>
        <w:rPr>
          <w:rFonts w:hint="default" w:ascii="Times New Roman" w:hAnsi="Times New Roman" w:eastAsia="宋体" w:cs="Times New Roman"/>
          <w:color w:val="000000" w:themeColor="text1"/>
          <w:sz w:val="24"/>
          <w:szCs w:val="24"/>
          <w14:textFill>
            <w14:solidFill>
              <w14:schemeClr w14:val="tx1"/>
            </w14:solidFill>
          </w14:textFill>
        </w:rPr>
        <w:t>2020</w:t>
      </w:r>
      <w:r>
        <w:rPr>
          <w:rFonts w:ascii="宋体" w:hAnsi="宋体" w:eastAsia="宋体" w:cs="宋体"/>
          <w:color w:val="000000" w:themeColor="text1"/>
          <w:sz w:val="24"/>
          <w:szCs w:val="24"/>
          <w14:textFill>
            <w14:solidFill>
              <w14:schemeClr w14:val="tx1"/>
            </w14:solidFill>
          </w14:textFill>
        </w:rPr>
        <w:t>年南京鸭产业链三产融合总产值为</w:t>
      </w:r>
      <w:r>
        <w:rPr>
          <w:rFonts w:hint="default" w:ascii="Times New Roman" w:hAnsi="Times New Roman" w:eastAsia="宋体" w:cs="Times New Roman"/>
          <w:color w:val="000000" w:themeColor="text1"/>
          <w:sz w:val="24"/>
          <w:szCs w:val="24"/>
          <w14:textFill>
            <w14:solidFill>
              <w14:schemeClr w14:val="tx1"/>
            </w14:solidFill>
          </w14:textFill>
        </w:rPr>
        <w:t>60</w:t>
      </w:r>
      <w:r>
        <w:rPr>
          <w:rFonts w:ascii="宋体" w:hAnsi="宋体" w:eastAsia="宋体" w:cs="宋体"/>
          <w:color w:val="000000" w:themeColor="text1"/>
          <w:sz w:val="24"/>
          <w:szCs w:val="24"/>
          <w14:textFill>
            <w14:solidFill>
              <w14:schemeClr w14:val="tx1"/>
            </w14:solidFill>
          </w14:textFill>
        </w:rPr>
        <w:t>亿元，至</w:t>
      </w:r>
      <w:r>
        <w:rPr>
          <w:rFonts w:hint="default" w:ascii="Times New Roman" w:hAnsi="Times New Roman" w:eastAsia="宋体" w:cs="Times New Roman"/>
          <w:color w:val="000000" w:themeColor="text1"/>
          <w:sz w:val="24"/>
          <w:szCs w:val="24"/>
          <w14:textFill>
            <w14:solidFill>
              <w14:schemeClr w14:val="tx1"/>
            </w14:solidFill>
          </w14:textFill>
        </w:rPr>
        <w:t>2025</w:t>
      </w:r>
      <w:r>
        <w:rPr>
          <w:rFonts w:ascii="宋体" w:hAnsi="宋体" w:eastAsia="宋体" w:cs="宋体"/>
          <w:color w:val="000000" w:themeColor="text1"/>
          <w:sz w:val="24"/>
          <w:szCs w:val="24"/>
          <w14:textFill>
            <w14:solidFill>
              <w14:schemeClr w14:val="tx1"/>
            </w14:solidFill>
          </w14:textFill>
        </w:rPr>
        <w:t>年已增长至</w:t>
      </w:r>
      <w:r>
        <w:rPr>
          <w:rFonts w:hint="default" w:ascii="Times New Roman" w:hAnsi="Times New Roman" w:eastAsia="宋体" w:cs="Times New Roman"/>
          <w:color w:val="000000" w:themeColor="text1"/>
          <w:sz w:val="24"/>
          <w:szCs w:val="24"/>
          <w14:textFill>
            <w14:solidFill>
              <w14:schemeClr w14:val="tx1"/>
            </w14:solidFill>
          </w14:textFill>
        </w:rPr>
        <w:t>96.8</w:t>
      </w:r>
      <w:r>
        <w:rPr>
          <w:rFonts w:ascii="宋体" w:hAnsi="宋体" w:eastAsia="宋体" w:cs="宋体"/>
          <w:color w:val="000000" w:themeColor="text1"/>
          <w:sz w:val="24"/>
          <w:szCs w:val="24"/>
          <w14:textFill>
            <w14:solidFill>
              <w14:schemeClr w14:val="tx1"/>
            </w14:solidFill>
          </w14:textFill>
        </w:rPr>
        <w:t>亿元，五年间增长近</w:t>
      </w:r>
      <w:r>
        <w:rPr>
          <w:rFonts w:hint="default" w:ascii="Times New Roman" w:hAnsi="Times New Roman" w:eastAsia="宋体" w:cs="Times New Roman"/>
          <w:color w:val="000000" w:themeColor="text1"/>
          <w:sz w:val="24"/>
          <w:szCs w:val="24"/>
          <w14:textFill>
            <w14:solidFill>
              <w14:schemeClr w14:val="tx1"/>
            </w14:solidFill>
          </w14:textFill>
        </w:rPr>
        <w:t>60%</w:t>
      </w:r>
      <w:r>
        <w:rPr>
          <w:rFonts w:ascii="宋体" w:hAnsi="宋体" w:eastAsia="宋体" w:cs="宋体"/>
          <w:color w:val="000000" w:themeColor="text1"/>
          <w:sz w:val="24"/>
          <w:szCs w:val="24"/>
          <w14:textFill>
            <w14:solidFill>
              <w14:schemeClr w14:val="tx1"/>
            </w14:solidFill>
          </w14:textFill>
        </w:rPr>
        <w:t>，年均复合增长率超过</w:t>
      </w:r>
      <w:r>
        <w:rPr>
          <w:rFonts w:hint="default" w:ascii="Times New Roman" w:hAnsi="Times New Roman" w:eastAsia="宋体" w:cs="Times New Roman"/>
          <w:color w:val="000000" w:themeColor="text1"/>
          <w:sz w:val="24"/>
          <w:szCs w:val="24"/>
          <w14:textFill>
            <w14:solidFill>
              <w14:schemeClr w14:val="tx1"/>
            </w14:solidFill>
          </w14:textFill>
        </w:rPr>
        <w:t>10%</w:t>
      </w:r>
      <w:r>
        <w:rPr>
          <w:rFonts w:ascii="宋体" w:hAnsi="宋体" w:eastAsia="宋体" w:cs="宋体"/>
          <w:color w:val="000000" w:themeColor="text1"/>
          <w:sz w:val="24"/>
          <w:szCs w:val="24"/>
          <w14:textFill>
            <w14:solidFill>
              <w14:schemeClr w14:val="tx1"/>
            </w14:solidFill>
          </w14:textFill>
        </w:rPr>
        <w:t>，正稳步向百亿级产业集群迈进。</w:t>
      </w:r>
    </w:p>
    <w:p w14:paraId="76C367B5">
      <w:pPr>
        <w:widowControl w:val="0"/>
        <w:adjustRightInd w:val="0"/>
        <w:snapToGrid w:val="0"/>
        <w:spacing w:after="0" w:line="400" w:lineRule="exact"/>
        <w:ind w:firstLine="480" w:firstLine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从产业链各环节的产值构成来看（见表</w:t>
      </w:r>
      <w:r>
        <w:rPr>
          <w:rFonts w:hint="default" w:ascii="Times New Roman" w:hAnsi="Times New Roman" w:eastAsia="宋体" w:cs="Times New Roman"/>
          <w:color w:val="000000" w:themeColor="text1"/>
          <w:sz w:val="24"/>
          <w:szCs w:val="24"/>
          <w14:textFill>
            <w14:solidFill>
              <w14:schemeClr w14:val="tx1"/>
            </w14:solidFill>
          </w14:textFill>
        </w:rPr>
        <w:t>3-1</w:t>
      </w:r>
      <w:r>
        <w:rPr>
          <w:rFonts w:ascii="宋体" w:hAnsi="宋体" w:eastAsia="宋体" w:cs="宋体"/>
          <w:color w:val="000000" w:themeColor="text1"/>
          <w:sz w:val="24"/>
          <w:szCs w:val="24"/>
          <w14:textFill>
            <w14:solidFill>
              <w14:schemeClr w14:val="tx1"/>
            </w14:solidFill>
          </w14:textFill>
        </w:rPr>
        <w:t>），第二产业加工环节是产业发展的核心支柱，</w:t>
      </w:r>
      <w:r>
        <w:rPr>
          <w:rFonts w:hint="default" w:ascii="Times New Roman" w:hAnsi="Times New Roman" w:eastAsia="宋体" w:cs="Times New Roman"/>
          <w:color w:val="000000" w:themeColor="text1"/>
          <w:sz w:val="24"/>
          <w:szCs w:val="24"/>
          <w14:textFill>
            <w14:solidFill>
              <w14:schemeClr w14:val="tx1"/>
            </w14:solidFill>
          </w14:textFill>
        </w:rPr>
        <w:t>2025</w:t>
      </w:r>
      <w:r>
        <w:rPr>
          <w:rFonts w:ascii="宋体" w:hAnsi="宋体" w:eastAsia="宋体" w:cs="宋体"/>
          <w:color w:val="000000" w:themeColor="text1"/>
          <w:sz w:val="24"/>
          <w:szCs w:val="24"/>
          <w14:textFill>
            <w14:solidFill>
              <w14:schemeClr w14:val="tx1"/>
            </w14:solidFill>
          </w14:textFill>
        </w:rPr>
        <w:t>年产值达</w:t>
      </w:r>
      <w:r>
        <w:rPr>
          <w:rFonts w:hint="default" w:ascii="Times New Roman" w:hAnsi="Times New Roman" w:eastAsia="宋体" w:cs="Times New Roman"/>
          <w:color w:val="000000" w:themeColor="text1"/>
          <w:sz w:val="24"/>
          <w:szCs w:val="24"/>
          <w14:textFill>
            <w14:solidFill>
              <w14:schemeClr w14:val="tx1"/>
            </w14:solidFill>
          </w14:textFill>
        </w:rPr>
        <w:t>45.3</w:t>
      </w:r>
      <w:r>
        <w:rPr>
          <w:rFonts w:ascii="宋体" w:hAnsi="宋体" w:eastAsia="宋体" w:cs="宋体"/>
          <w:color w:val="000000" w:themeColor="text1"/>
          <w:sz w:val="24"/>
          <w:szCs w:val="24"/>
          <w14:textFill>
            <w14:solidFill>
              <w14:schemeClr w14:val="tx1"/>
            </w14:solidFill>
          </w14:textFill>
        </w:rPr>
        <w:t>亿元，占产业链总产值的</w:t>
      </w:r>
      <w:r>
        <w:rPr>
          <w:rFonts w:hint="default" w:ascii="Times New Roman" w:hAnsi="Times New Roman" w:eastAsia="宋体" w:cs="Times New Roman"/>
          <w:color w:val="000000" w:themeColor="text1"/>
          <w:sz w:val="24"/>
          <w:szCs w:val="24"/>
          <w14:textFill>
            <w14:solidFill>
              <w14:schemeClr w14:val="tx1"/>
            </w14:solidFill>
          </w14:textFill>
        </w:rPr>
        <w:t>46.8%</w:t>
      </w:r>
      <w:r>
        <w:rPr>
          <w:rFonts w:ascii="宋体" w:hAnsi="宋体" w:eastAsia="宋体" w:cs="宋体"/>
          <w:color w:val="000000" w:themeColor="text1"/>
          <w:sz w:val="24"/>
          <w:szCs w:val="24"/>
          <w14:textFill>
            <w14:solidFill>
              <w14:schemeClr w14:val="tx1"/>
            </w14:solidFill>
          </w14:textFill>
        </w:rPr>
        <w:t>，主要涵盖屠宰分割、熟食加工、鸭副产品综合利用等领域，其中盐水鸭等熟食加工产值占第二产业总产值的</w:t>
      </w:r>
      <w:r>
        <w:rPr>
          <w:rFonts w:hint="default" w:ascii="Times New Roman" w:hAnsi="Times New Roman" w:eastAsia="宋体" w:cs="Times New Roman"/>
          <w:color w:val="000000" w:themeColor="text1"/>
          <w:sz w:val="24"/>
          <w:szCs w:val="24"/>
          <w14:textFill>
            <w14:solidFill>
              <w14:schemeClr w14:val="tx1"/>
            </w14:solidFill>
          </w14:textFill>
        </w:rPr>
        <w:t>65%</w:t>
      </w:r>
      <w:r>
        <w:rPr>
          <w:rFonts w:ascii="宋体" w:hAnsi="宋体" w:eastAsia="宋体" w:cs="宋体"/>
          <w:color w:val="000000" w:themeColor="text1"/>
          <w:sz w:val="24"/>
          <w:szCs w:val="24"/>
          <w14:textFill>
            <w14:solidFill>
              <w14:schemeClr w14:val="tx1"/>
            </w14:solidFill>
          </w14:textFill>
        </w:rPr>
        <w:t>以上。第一产业养殖环节产值为</w:t>
      </w:r>
      <w:r>
        <w:rPr>
          <w:rFonts w:hint="default" w:ascii="Times New Roman" w:hAnsi="Times New Roman" w:eastAsia="宋体" w:cs="Times New Roman"/>
          <w:color w:val="000000" w:themeColor="text1"/>
          <w:sz w:val="24"/>
          <w:szCs w:val="24"/>
          <w14:textFill>
            <w14:solidFill>
              <w14:schemeClr w14:val="tx1"/>
            </w14:solidFill>
          </w14:textFill>
        </w:rPr>
        <w:t>22.5</w:t>
      </w:r>
      <w:r>
        <w:rPr>
          <w:rFonts w:ascii="宋体" w:hAnsi="宋体" w:eastAsia="宋体" w:cs="宋体"/>
          <w:color w:val="000000" w:themeColor="text1"/>
          <w:sz w:val="24"/>
          <w:szCs w:val="24"/>
          <w14:textFill>
            <w14:solidFill>
              <w14:schemeClr w14:val="tx1"/>
            </w14:solidFill>
          </w14:textFill>
        </w:rPr>
        <w:t>亿元，占比</w:t>
      </w:r>
      <w:r>
        <w:rPr>
          <w:rFonts w:hint="default" w:ascii="Times New Roman" w:hAnsi="Times New Roman" w:eastAsia="宋体" w:cs="Times New Roman"/>
          <w:color w:val="000000" w:themeColor="text1"/>
          <w:sz w:val="24"/>
          <w:szCs w:val="24"/>
          <w14:textFill>
            <w14:solidFill>
              <w14:schemeClr w14:val="tx1"/>
            </w14:solidFill>
          </w14:textFill>
        </w:rPr>
        <w:t>23.2%</w:t>
      </w:r>
      <w:r>
        <w:rPr>
          <w:rFonts w:ascii="宋体" w:hAnsi="宋体" w:eastAsia="宋体" w:cs="宋体"/>
          <w:color w:val="000000" w:themeColor="text1"/>
          <w:sz w:val="24"/>
          <w:szCs w:val="24"/>
          <w14:textFill>
            <w14:solidFill>
              <w14:schemeClr w14:val="tx1"/>
            </w14:solidFill>
          </w14:textFill>
        </w:rPr>
        <w:t>，以种鸭繁育和商品鸭标准化养殖为主，为下游加工环节提供稳定的原料保障。第三产业服务环节产值</w:t>
      </w:r>
      <w:r>
        <w:rPr>
          <w:rFonts w:hint="default" w:ascii="Times New Roman" w:hAnsi="Times New Roman" w:eastAsia="宋体" w:cs="Times New Roman"/>
          <w:color w:val="000000" w:themeColor="text1"/>
          <w:sz w:val="24"/>
          <w:szCs w:val="24"/>
          <w14:textFill>
            <w14:solidFill>
              <w14:schemeClr w14:val="tx1"/>
            </w14:solidFill>
          </w14:textFill>
        </w:rPr>
        <w:t>29.0</w:t>
      </w:r>
      <w:r>
        <w:rPr>
          <w:rFonts w:ascii="宋体" w:hAnsi="宋体" w:eastAsia="宋体" w:cs="宋体"/>
          <w:color w:val="000000" w:themeColor="text1"/>
          <w:sz w:val="24"/>
          <w:szCs w:val="24"/>
          <w14:textFill>
            <w14:solidFill>
              <w14:schemeClr w14:val="tx1"/>
            </w14:solidFill>
          </w14:textFill>
        </w:rPr>
        <w:t>亿元，占比</w:t>
      </w:r>
      <w:r>
        <w:rPr>
          <w:rFonts w:hint="default" w:ascii="Times New Roman" w:hAnsi="Times New Roman" w:eastAsia="宋体" w:cs="Times New Roman"/>
          <w:color w:val="000000" w:themeColor="text1"/>
          <w:sz w:val="24"/>
          <w:szCs w:val="24"/>
          <w14:textFill>
            <w14:solidFill>
              <w14:schemeClr w14:val="tx1"/>
            </w14:solidFill>
          </w14:textFill>
        </w:rPr>
        <w:t>30.0%</w:t>
      </w:r>
      <w:r>
        <w:rPr>
          <w:rFonts w:ascii="宋体" w:hAnsi="宋体" w:eastAsia="宋体" w:cs="宋体"/>
          <w:color w:val="000000" w:themeColor="text1"/>
          <w:sz w:val="24"/>
          <w:szCs w:val="24"/>
          <w14:textFill>
            <w14:solidFill>
              <w14:schemeClr w14:val="tx1"/>
            </w14:solidFill>
          </w14:textFill>
        </w:rPr>
        <w:t>，包括批发零售、餐饮服务、文化旅游等多个领域，其中依托盐水鸭文化发展的文旅融合产业近年来增速较快，成为产业新的增长点。整体来看，南京鸭产业链结构呈现“二产主导、三产跟进、一产支撑”的特征，产业链条不断延伸，产业附加值逐步提升。</w:t>
      </w:r>
    </w:p>
    <w:p w14:paraId="4B26D464">
      <w:pPr>
        <w:keepNext w:val="0"/>
        <w:keepLines w:val="0"/>
        <w:pageBreakBefore w:val="0"/>
        <w:widowControl w:val="0"/>
        <w:kinsoku/>
        <w:wordWrap/>
        <w:overflowPunct/>
        <w:topLinePunct w:val="0"/>
        <w:autoSpaceDE/>
        <w:autoSpaceDN/>
        <w:bidi w:val="0"/>
        <w:adjustRightInd w:val="0"/>
        <w:snapToGrid w:val="0"/>
        <w:spacing w:after="0" w:line="240" w:lineRule="auto"/>
        <w:ind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Style w:val="19"/>
          <w:rFonts w:hint="default" w:ascii="Times New Roman" w:hAnsi="Times New Roman" w:eastAsia="宋体" w:cs="Times New Roman"/>
          <w:sz w:val="21"/>
          <w:szCs w:val="21"/>
          <w:lang w:val="en-US" w:eastAsia="zh-CN"/>
        </w:rPr>
        <w:t>表3-1  南京鸭产业链产值构成（2025年</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w:t>
      </w:r>
    </w:p>
    <w:tbl>
      <w:tblPr>
        <w:tblStyle w:val="13"/>
        <w:tblW w:w="5000"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47" w:type="dxa"/>
          <w:bottom w:w="0" w:type="dxa"/>
          <w:right w:w="147" w:type="dxa"/>
        </w:tblCellMar>
      </w:tblPr>
      <w:tblGrid>
        <w:gridCol w:w="2799"/>
        <w:gridCol w:w="2241"/>
        <w:gridCol w:w="3920"/>
      </w:tblGrid>
      <w:tr w14:paraId="2010673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47" w:type="dxa"/>
            <w:bottom w:w="0" w:type="dxa"/>
            <w:right w:w="147" w:type="dxa"/>
          </w:tblCellMar>
        </w:tblPrEx>
        <w:trPr>
          <w:trHeight w:val="363" w:hRule="exact"/>
          <w:tblHeader/>
        </w:trPr>
        <w:tc>
          <w:tcPr>
            <w:tcW w:w="2799" w:type="dxa"/>
            <w:tcBorders>
              <w:bottom w:val="single" w:color="000000" w:themeColor="text1" w:sz="12" w:space="0"/>
            </w:tcBorders>
            <w:shd w:val="clear" w:color="auto" w:fill="FFFFFF" w:themeFill="background1"/>
            <w:vAlign w:val="center"/>
          </w:tcPr>
          <w:p w14:paraId="0BA42705">
            <w:pPr>
              <w:spacing w:before="0" w:after="0"/>
              <w:ind w:firstLine="0"/>
              <w:jc w:val="center"/>
              <w:rPr>
                <w:rFonts w:hint="default" w:ascii="Times New Roman" w:hAnsi="Times New Roman" w:eastAsia="宋体" w:cs="Times New Roman"/>
                <w:b/>
                <w:bCs w:val="0"/>
                <w:color w:val="auto"/>
                <w:sz w:val="21"/>
                <w:szCs w:val="21"/>
              </w:rPr>
            </w:pPr>
            <w:r>
              <w:rPr>
                <w:rFonts w:hint="default" w:ascii="Times New Roman" w:hAnsi="Times New Roman" w:eastAsia="宋体" w:cs="Times New Roman"/>
                <w:b/>
                <w:bCs w:val="0"/>
                <w:color w:val="auto"/>
                <w:sz w:val="21"/>
                <w:szCs w:val="21"/>
              </w:rPr>
              <w:t>产业环节</w:t>
            </w:r>
          </w:p>
        </w:tc>
        <w:tc>
          <w:tcPr>
            <w:tcW w:w="2241" w:type="dxa"/>
            <w:tcBorders>
              <w:bottom w:val="single" w:color="000000" w:themeColor="text1" w:sz="12" w:space="0"/>
            </w:tcBorders>
            <w:shd w:val="clear" w:color="auto" w:fill="FFFFFF" w:themeFill="background1"/>
            <w:vAlign w:val="center"/>
          </w:tcPr>
          <w:p w14:paraId="6AB23667">
            <w:pPr>
              <w:spacing w:before="0" w:after="0"/>
              <w:ind w:firstLine="0"/>
              <w:jc w:val="center"/>
              <w:rPr>
                <w:rFonts w:hint="default" w:ascii="Times New Roman" w:hAnsi="Times New Roman" w:eastAsia="宋体" w:cs="Times New Roman"/>
                <w:b/>
                <w:bCs w:val="0"/>
                <w:color w:val="auto"/>
                <w:sz w:val="21"/>
                <w:szCs w:val="21"/>
              </w:rPr>
            </w:pPr>
            <w:r>
              <w:rPr>
                <w:rFonts w:hint="default" w:ascii="Times New Roman" w:hAnsi="Times New Roman" w:eastAsia="宋体" w:cs="Times New Roman"/>
                <w:b/>
                <w:bCs w:val="0"/>
                <w:color w:val="auto"/>
                <w:sz w:val="21"/>
                <w:szCs w:val="21"/>
              </w:rPr>
              <w:t>产值（亿元）</w:t>
            </w:r>
          </w:p>
        </w:tc>
        <w:tc>
          <w:tcPr>
            <w:tcW w:w="3920" w:type="dxa"/>
            <w:tcBorders>
              <w:bottom w:val="single" w:color="000000" w:themeColor="text1" w:sz="12" w:space="0"/>
            </w:tcBorders>
            <w:shd w:val="clear" w:color="auto" w:fill="FFFFFF" w:themeFill="background1"/>
            <w:vAlign w:val="center"/>
          </w:tcPr>
          <w:p w14:paraId="4D2CA77B">
            <w:pPr>
              <w:spacing w:before="0" w:after="0"/>
              <w:ind w:firstLine="0"/>
              <w:jc w:val="center"/>
              <w:rPr>
                <w:rFonts w:hint="default" w:ascii="Times New Roman" w:hAnsi="Times New Roman" w:eastAsia="宋体" w:cs="Times New Roman"/>
                <w:b/>
                <w:bCs w:val="0"/>
                <w:color w:val="auto"/>
                <w:sz w:val="21"/>
                <w:szCs w:val="21"/>
              </w:rPr>
            </w:pPr>
            <w:r>
              <w:rPr>
                <w:rFonts w:hint="default" w:ascii="Times New Roman" w:hAnsi="Times New Roman" w:eastAsia="宋体" w:cs="Times New Roman"/>
                <w:b/>
                <w:bCs w:val="0"/>
                <w:color w:val="auto"/>
                <w:sz w:val="21"/>
                <w:szCs w:val="21"/>
              </w:rPr>
              <w:t>主要构成</w:t>
            </w:r>
          </w:p>
        </w:tc>
      </w:tr>
      <w:tr w14:paraId="3B23CB8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47" w:type="dxa"/>
            <w:bottom w:w="0" w:type="dxa"/>
            <w:right w:w="147" w:type="dxa"/>
          </w:tblCellMar>
        </w:tblPrEx>
        <w:trPr>
          <w:trHeight w:val="363" w:hRule="exact"/>
        </w:trPr>
        <w:tc>
          <w:tcPr>
            <w:tcW w:w="2799" w:type="dxa"/>
            <w:tcBorders>
              <w:top w:val="single" w:color="000000" w:themeColor="text1" w:sz="12" w:space="0"/>
            </w:tcBorders>
            <w:vAlign w:val="center"/>
          </w:tcPr>
          <w:p w14:paraId="385AE851">
            <w:pPr>
              <w:spacing w:before="0" w:after="0"/>
              <w:ind w:firstLine="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第一产业（养殖）</w:t>
            </w:r>
          </w:p>
        </w:tc>
        <w:tc>
          <w:tcPr>
            <w:tcW w:w="2241" w:type="dxa"/>
            <w:tcBorders>
              <w:top w:val="single" w:color="000000" w:themeColor="text1" w:sz="12" w:space="0"/>
            </w:tcBorders>
            <w:vAlign w:val="center"/>
          </w:tcPr>
          <w:p w14:paraId="6423F093">
            <w:pPr>
              <w:spacing w:before="0" w:after="0"/>
              <w:ind w:firstLine="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22.5</w:t>
            </w:r>
          </w:p>
        </w:tc>
        <w:tc>
          <w:tcPr>
            <w:tcW w:w="3920" w:type="dxa"/>
            <w:tcBorders>
              <w:top w:val="single" w:color="000000" w:themeColor="text1" w:sz="12" w:space="0"/>
            </w:tcBorders>
            <w:vAlign w:val="center"/>
          </w:tcPr>
          <w:p w14:paraId="3672B5F5">
            <w:pPr>
              <w:spacing w:before="0" w:after="0"/>
              <w:ind w:firstLine="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种鸭繁育、商品鸭养殖</w:t>
            </w:r>
          </w:p>
        </w:tc>
      </w:tr>
      <w:tr w14:paraId="076C43C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47" w:type="dxa"/>
            <w:bottom w:w="0" w:type="dxa"/>
            <w:right w:w="147" w:type="dxa"/>
          </w:tblCellMar>
        </w:tblPrEx>
        <w:trPr>
          <w:trHeight w:val="363" w:hRule="exact"/>
        </w:trPr>
        <w:tc>
          <w:tcPr>
            <w:tcW w:w="2799" w:type="dxa"/>
            <w:vAlign w:val="center"/>
          </w:tcPr>
          <w:p w14:paraId="00D5BB20">
            <w:pPr>
              <w:spacing w:before="0" w:after="0"/>
              <w:ind w:firstLine="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第二产业（加工）</w:t>
            </w:r>
          </w:p>
        </w:tc>
        <w:tc>
          <w:tcPr>
            <w:tcW w:w="2241" w:type="dxa"/>
            <w:vAlign w:val="center"/>
          </w:tcPr>
          <w:p w14:paraId="1F0511FF">
            <w:pPr>
              <w:spacing w:before="0" w:after="0"/>
              <w:ind w:firstLine="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45.3</w:t>
            </w:r>
          </w:p>
        </w:tc>
        <w:tc>
          <w:tcPr>
            <w:tcW w:w="3920" w:type="dxa"/>
            <w:vAlign w:val="center"/>
          </w:tcPr>
          <w:p w14:paraId="29B3D18F">
            <w:pPr>
              <w:spacing w:before="0" w:after="0"/>
              <w:ind w:firstLine="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屠宰分割、熟食加工、副产物利用</w:t>
            </w:r>
          </w:p>
        </w:tc>
      </w:tr>
      <w:tr w14:paraId="46CCC30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47" w:type="dxa"/>
            <w:bottom w:w="0" w:type="dxa"/>
            <w:right w:w="147" w:type="dxa"/>
          </w:tblCellMar>
        </w:tblPrEx>
        <w:trPr>
          <w:trHeight w:val="363" w:hRule="exact"/>
        </w:trPr>
        <w:tc>
          <w:tcPr>
            <w:tcW w:w="2799" w:type="dxa"/>
            <w:vAlign w:val="center"/>
          </w:tcPr>
          <w:p w14:paraId="68D55C15">
            <w:pPr>
              <w:spacing w:before="0" w:after="0"/>
              <w:ind w:firstLine="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第三产业（服务）</w:t>
            </w:r>
          </w:p>
        </w:tc>
        <w:tc>
          <w:tcPr>
            <w:tcW w:w="2241" w:type="dxa"/>
            <w:vAlign w:val="center"/>
          </w:tcPr>
          <w:p w14:paraId="187FC12B">
            <w:pPr>
              <w:spacing w:before="0" w:after="0"/>
              <w:ind w:firstLine="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29.0</w:t>
            </w:r>
          </w:p>
        </w:tc>
        <w:tc>
          <w:tcPr>
            <w:tcW w:w="3920" w:type="dxa"/>
            <w:vAlign w:val="center"/>
          </w:tcPr>
          <w:p w14:paraId="5BB129EA">
            <w:pPr>
              <w:spacing w:before="0" w:after="0"/>
              <w:ind w:firstLine="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批发零售、餐饮服务、文化旅游</w:t>
            </w:r>
          </w:p>
        </w:tc>
      </w:tr>
    </w:tbl>
    <w:p w14:paraId="4FAC991F">
      <w:pPr>
        <w:keepNext w:val="0"/>
        <w:keepLines w:val="0"/>
        <w:pageBreakBefore w:val="0"/>
        <w:widowControl w:val="0"/>
        <w:kinsoku/>
        <w:wordWrap/>
        <w:overflowPunct/>
        <w:topLinePunct w:val="0"/>
        <w:autoSpaceDE/>
        <w:autoSpaceDN/>
        <w:bidi w:val="0"/>
        <w:adjustRightInd w:val="0"/>
        <w:snapToGrid w:val="0"/>
        <w:spacing w:after="0" w:line="240" w:lineRule="auto"/>
        <w:ind w:firstLine="0" w:firstLineChars="0"/>
        <w:jc w:val="both"/>
        <w:textAlignment w:val="auto"/>
        <w:rPr>
          <w:rFonts w:hint="default" w:ascii="Times New Roman" w:hAnsi="Times New Roman" w:eastAsia="宋体" w:cs="Times New Roman"/>
          <w:color w:val="auto"/>
          <w:kern w:val="2"/>
          <w:sz w:val="21"/>
          <w:szCs w:val="21"/>
          <w:highlight w:val="none"/>
          <w:lang w:val="en-US" w:eastAsia="zh-CN" w:bidi="ar-SA"/>
        </w:rPr>
      </w:pPr>
      <w:bookmarkStart w:id="99" w:name="_Toc1534713269"/>
      <w:bookmarkStart w:id="100" w:name="_Toc1811993306"/>
      <w:r>
        <w:rPr>
          <w:rFonts w:hint="default" w:ascii="Times New Roman" w:hAnsi="Times New Roman" w:eastAsia="宋体" w:cs="Times New Roman"/>
          <w:color w:val="auto"/>
          <w:kern w:val="2"/>
          <w:sz w:val="21"/>
          <w:szCs w:val="21"/>
          <w:highlight w:val="none"/>
          <w:lang w:val="en-US" w:eastAsia="zh-CN" w:bidi="ar-SA"/>
        </w:rPr>
        <w:t>数据来源：前瞻网</w:t>
      </w:r>
    </w:p>
    <w:p w14:paraId="42C9EF19">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101" w:name="_Toc176371449"/>
      <w:bookmarkStart w:id="102" w:name="_Toc24266"/>
      <w:bookmarkStart w:id="103" w:name="_Toc112445667"/>
      <w:r>
        <w:rPr>
          <w:rFonts w:hint="default" w:ascii="Times New Roman" w:hAnsi="Times New Roman" w:cs="Times New Roman"/>
          <w:b w:val="0"/>
          <w:bCs w:val="0"/>
          <w:color w:val="auto"/>
          <w:kern w:val="2"/>
          <w:sz w:val="30"/>
          <w:szCs w:val="30"/>
          <w:lang w:val="en-US" w:eastAsia="zh-CN" w:bidi="ar-SA"/>
        </w:rPr>
        <w:t>3.2 电商渠道发展现状</w:t>
      </w:r>
      <w:bookmarkEnd w:id="99"/>
      <w:bookmarkEnd w:id="100"/>
      <w:bookmarkEnd w:id="101"/>
      <w:bookmarkEnd w:id="102"/>
      <w:bookmarkEnd w:id="103"/>
    </w:p>
    <w:p w14:paraId="738899F2">
      <w:pPr>
        <w:widowControl w:val="0"/>
        <w:adjustRightInd w:val="0"/>
        <w:snapToGrid w:val="0"/>
        <w:spacing w:after="0" w:line="400" w:lineRule="exact"/>
        <w:ind w:firstLine="480" w:firstLineChars="200"/>
        <w:rPr>
          <w:rFonts w:hint="eastAsia" w:ascii="宋体" w:hAnsi="宋体" w:eastAsia="宋体" w:cs="宋体"/>
          <w:sz w:val="24"/>
          <w:szCs w:val="24"/>
          <w:lang w:eastAsia="zh-CN"/>
        </w:rPr>
      </w:pPr>
      <w:r>
        <w:rPr>
          <w:rFonts w:ascii="宋体" w:hAnsi="宋体" w:eastAsia="宋体" w:cs="宋体"/>
          <w:sz w:val="24"/>
          <w:szCs w:val="24"/>
        </w:rPr>
        <w:t>随着数字经济的快速发展和居民消费习惯的线上化转移，南京盐水鸭的电商销售渠道实现了爆发式增长，成为推动产业转型升级的核心动力。</w:t>
      </w:r>
      <w:r>
        <w:rPr>
          <w:rFonts w:hint="default" w:ascii="Times New Roman" w:hAnsi="Times New Roman" w:eastAsia="宋体" w:cs="Times New Roman"/>
          <w:sz w:val="24"/>
          <w:szCs w:val="24"/>
        </w:rPr>
        <w:t>2019</w:t>
      </w:r>
      <w:r>
        <w:rPr>
          <w:rFonts w:ascii="宋体" w:hAnsi="宋体" w:eastAsia="宋体" w:cs="宋体"/>
          <w:sz w:val="24"/>
          <w:szCs w:val="24"/>
        </w:rPr>
        <w:t>年南京盐水鸭线上销售额仅为</w:t>
      </w:r>
      <w:r>
        <w:rPr>
          <w:rFonts w:hint="default" w:ascii="Times New Roman" w:hAnsi="Times New Roman" w:eastAsia="宋体" w:cs="Times New Roman"/>
          <w:sz w:val="24"/>
          <w:szCs w:val="24"/>
        </w:rPr>
        <w:t>3.2</w:t>
      </w:r>
      <w:r>
        <w:rPr>
          <w:rFonts w:ascii="宋体" w:hAnsi="宋体" w:eastAsia="宋体" w:cs="宋体"/>
          <w:sz w:val="24"/>
          <w:szCs w:val="24"/>
        </w:rPr>
        <w:t>亿元，此后连续六年保持高速增长，</w:t>
      </w:r>
      <w:r>
        <w:rPr>
          <w:rFonts w:hint="default" w:ascii="Times New Roman" w:hAnsi="Times New Roman" w:eastAsia="宋体" w:cs="Times New Roman"/>
          <w:sz w:val="24"/>
          <w:szCs w:val="24"/>
        </w:rPr>
        <w:t>2024</w:t>
      </w:r>
      <w:r>
        <w:rPr>
          <w:rFonts w:ascii="宋体" w:hAnsi="宋体" w:eastAsia="宋体" w:cs="宋体"/>
          <w:sz w:val="24"/>
          <w:szCs w:val="24"/>
        </w:rPr>
        <w:t>年线上销售额突破</w:t>
      </w:r>
      <w:r>
        <w:rPr>
          <w:rFonts w:hint="default" w:ascii="Times New Roman" w:hAnsi="Times New Roman" w:eastAsia="宋体" w:cs="Times New Roman"/>
          <w:sz w:val="24"/>
          <w:szCs w:val="24"/>
        </w:rPr>
        <w:t>21.3</w:t>
      </w:r>
      <w:r>
        <w:rPr>
          <w:rFonts w:ascii="宋体" w:hAnsi="宋体" w:eastAsia="宋体" w:cs="宋体"/>
          <w:sz w:val="24"/>
          <w:szCs w:val="24"/>
        </w:rPr>
        <w:t>亿元，较</w:t>
      </w:r>
      <w:r>
        <w:rPr>
          <w:rFonts w:hint="default" w:ascii="Times New Roman" w:hAnsi="Times New Roman" w:eastAsia="宋体" w:cs="Times New Roman"/>
          <w:sz w:val="24"/>
          <w:szCs w:val="24"/>
        </w:rPr>
        <w:t>2019</w:t>
      </w:r>
      <w:r>
        <w:rPr>
          <w:rFonts w:ascii="宋体" w:hAnsi="宋体" w:eastAsia="宋体" w:cs="宋体"/>
          <w:sz w:val="24"/>
          <w:szCs w:val="24"/>
        </w:rPr>
        <w:t>年增长了</w:t>
      </w:r>
      <w:r>
        <w:rPr>
          <w:rFonts w:hint="default" w:ascii="Times New Roman" w:hAnsi="Times New Roman" w:eastAsia="宋体" w:cs="Times New Roman"/>
          <w:sz w:val="24"/>
          <w:szCs w:val="24"/>
        </w:rPr>
        <w:t>5.66</w:t>
      </w:r>
      <w:r>
        <w:rPr>
          <w:rFonts w:ascii="宋体" w:hAnsi="宋体" w:eastAsia="宋体" w:cs="宋体"/>
          <w:sz w:val="24"/>
          <w:szCs w:val="24"/>
        </w:rPr>
        <w:t>倍，年均复合增长率超过</w:t>
      </w:r>
      <w:r>
        <w:rPr>
          <w:rFonts w:hint="default" w:ascii="Times New Roman" w:hAnsi="Times New Roman" w:eastAsia="宋体" w:cs="Times New Roman"/>
          <w:sz w:val="24"/>
          <w:szCs w:val="24"/>
        </w:rPr>
        <w:t>45%</w:t>
      </w:r>
      <w:r>
        <w:rPr>
          <w:rFonts w:ascii="宋体" w:hAnsi="宋体" w:eastAsia="宋体" w:cs="宋体"/>
          <w:sz w:val="24"/>
          <w:szCs w:val="24"/>
        </w:rPr>
        <w:t>，远高于同期食品电商行业</w:t>
      </w:r>
      <w:r>
        <w:rPr>
          <w:rFonts w:hint="default" w:ascii="Times New Roman" w:hAnsi="Times New Roman" w:eastAsia="宋体" w:cs="Times New Roman"/>
          <w:sz w:val="24"/>
          <w:szCs w:val="24"/>
        </w:rPr>
        <w:t>15%-20%</w:t>
      </w:r>
      <w:r>
        <w:rPr>
          <w:rFonts w:ascii="宋体" w:hAnsi="宋体" w:eastAsia="宋体" w:cs="宋体"/>
          <w:sz w:val="24"/>
          <w:szCs w:val="24"/>
        </w:rPr>
        <w:t>的平均增速。</w:t>
      </w:r>
      <w:r>
        <w:rPr>
          <w:rFonts w:hint="default" w:ascii="Times New Roman" w:hAnsi="Times New Roman" w:eastAsia="宋体" w:cs="Times New Roman"/>
          <w:sz w:val="24"/>
          <w:szCs w:val="24"/>
        </w:rPr>
        <w:t>2025</w:t>
      </w:r>
      <w:r>
        <w:rPr>
          <w:rFonts w:ascii="宋体" w:hAnsi="宋体" w:eastAsia="宋体" w:cs="宋体"/>
          <w:sz w:val="24"/>
          <w:szCs w:val="24"/>
        </w:rPr>
        <w:t>年南京盐水鸭线上销售额达到</w:t>
      </w:r>
      <w:r>
        <w:rPr>
          <w:rFonts w:hint="default" w:ascii="Times New Roman" w:hAnsi="Times New Roman" w:eastAsia="宋体" w:cs="Times New Roman"/>
          <w:sz w:val="24"/>
          <w:szCs w:val="24"/>
        </w:rPr>
        <w:t>28.5</w:t>
      </w:r>
      <w:r>
        <w:rPr>
          <w:rFonts w:ascii="宋体" w:hAnsi="宋体" w:eastAsia="宋体" w:cs="宋体"/>
          <w:sz w:val="24"/>
          <w:szCs w:val="24"/>
        </w:rPr>
        <w:t>亿元，同比增长</w:t>
      </w:r>
      <w:r>
        <w:rPr>
          <w:rFonts w:hint="default" w:ascii="Times New Roman" w:hAnsi="Times New Roman" w:eastAsia="宋体" w:cs="Times New Roman"/>
          <w:sz w:val="24"/>
          <w:szCs w:val="24"/>
        </w:rPr>
        <w:t>33.6%</w:t>
      </w:r>
      <w:r>
        <w:rPr>
          <w:rFonts w:hint="eastAsia" w:cs="Times New Roman"/>
          <w:sz w:val="24"/>
          <w:szCs w:val="24"/>
          <w:lang w:eastAsia="zh-CN"/>
        </w:rPr>
        <w:t>。</w:t>
      </w:r>
    </w:p>
    <w:p w14:paraId="6151D03A">
      <w:pPr>
        <w:widowControl w:val="0"/>
        <w:adjustRightInd w:val="0"/>
        <w:snapToGrid w:val="0"/>
        <w:spacing w:after="0" w:line="400" w:lineRule="exact"/>
        <w:ind w:firstLine="480" w:firstLineChars="200"/>
        <w:rPr>
          <w:rFonts w:hint="default" w:ascii="Times New Roman" w:hAnsi="Times New Roman" w:cs="Times New Roman"/>
          <w:color w:val="auto"/>
        </w:rPr>
      </w:pPr>
      <w:r>
        <w:rPr>
          <w:rFonts w:ascii="宋体" w:hAnsi="宋体" w:eastAsia="宋体" w:cs="宋体"/>
          <w:sz w:val="24"/>
          <w:szCs w:val="24"/>
        </w:rPr>
        <w:t>从历年增长趋势来看（见图</w:t>
      </w:r>
      <w:r>
        <w:rPr>
          <w:rFonts w:hint="default" w:ascii="Times New Roman" w:hAnsi="Times New Roman" w:eastAsia="宋体" w:cs="Times New Roman"/>
          <w:sz w:val="24"/>
          <w:szCs w:val="24"/>
        </w:rPr>
        <w:t>3-</w:t>
      </w:r>
      <w:r>
        <w:rPr>
          <w:rFonts w:hint="eastAsia" w:cs="Times New Roman"/>
          <w:sz w:val="24"/>
          <w:szCs w:val="24"/>
          <w:lang w:val="en-US" w:eastAsia="zh-CN"/>
        </w:rPr>
        <w:t>1</w:t>
      </w:r>
      <w:r>
        <w:rPr>
          <w:rFonts w:ascii="宋体" w:hAnsi="宋体" w:eastAsia="宋体" w:cs="宋体"/>
          <w:sz w:val="24"/>
          <w:szCs w:val="24"/>
        </w:rPr>
        <w:t>），南京盐水鸭电商销售呈现出明显的阶段性特征。</w:t>
      </w:r>
      <w:r>
        <w:rPr>
          <w:rFonts w:hint="default" w:ascii="Times New Roman" w:hAnsi="Times New Roman" w:eastAsia="宋体" w:cs="Times New Roman"/>
          <w:sz w:val="24"/>
          <w:szCs w:val="24"/>
        </w:rPr>
        <w:t>2019-2020</w:t>
      </w:r>
      <w:r>
        <w:rPr>
          <w:rFonts w:ascii="宋体" w:hAnsi="宋体" w:eastAsia="宋体" w:cs="宋体"/>
          <w:sz w:val="24"/>
          <w:szCs w:val="24"/>
        </w:rPr>
        <w:t>年为爆发起步期，受新冠疫情影响，线下消费场景受限，线上消费需求集中释放，</w:t>
      </w:r>
      <w:r>
        <w:rPr>
          <w:rFonts w:hint="default" w:ascii="Times New Roman" w:hAnsi="Times New Roman" w:eastAsia="宋体" w:cs="Times New Roman"/>
          <w:sz w:val="24"/>
          <w:szCs w:val="24"/>
        </w:rPr>
        <w:t>2020</w:t>
      </w:r>
      <w:r>
        <w:rPr>
          <w:rFonts w:ascii="宋体" w:hAnsi="宋体" w:eastAsia="宋体" w:cs="宋体"/>
          <w:sz w:val="24"/>
          <w:szCs w:val="24"/>
        </w:rPr>
        <w:t>年线上销售额同比增长</w:t>
      </w:r>
      <w:r>
        <w:rPr>
          <w:rFonts w:hint="default" w:ascii="Times New Roman" w:hAnsi="Times New Roman" w:eastAsia="宋体" w:cs="Times New Roman"/>
          <w:sz w:val="24"/>
          <w:szCs w:val="24"/>
        </w:rPr>
        <w:t>81.3%</w:t>
      </w:r>
      <w:r>
        <w:rPr>
          <w:rFonts w:ascii="宋体" w:hAnsi="宋体" w:eastAsia="宋体" w:cs="宋体"/>
          <w:sz w:val="24"/>
          <w:szCs w:val="24"/>
        </w:rPr>
        <w:t>，是历年增速最高的年份。</w:t>
      </w:r>
      <w:r>
        <w:rPr>
          <w:rFonts w:hint="default" w:ascii="Times New Roman" w:hAnsi="Times New Roman" w:eastAsia="宋体" w:cs="Times New Roman"/>
          <w:sz w:val="24"/>
          <w:szCs w:val="24"/>
        </w:rPr>
        <w:t>202</w:t>
      </w:r>
      <w:r>
        <w:rPr>
          <w:rFonts w:hint="eastAsia" w:cs="Times New Roman"/>
          <w:sz w:val="24"/>
          <w:szCs w:val="24"/>
          <w:lang w:val="en-US" w:eastAsia="zh-CN"/>
        </w:rPr>
        <w:t>1</w:t>
      </w:r>
      <w:r>
        <w:rPr>
          <w:rFonts w:hint="default" w:ascii="Times New Roman" w:hAnsi="Times New Roman" w:eastAsia="宋体" w:cs="Times New Roman"/>
          <w:sz w:val="24"/>
          <w:szCs w:val="24"/>
        </w:rPr>
        <w:t>-2023</w:t>
      </w:r>
      <w:r>
        <w:rPr>
          <w:rFonts w:ascii="宋体" w:hAnsi="宋体" w:eastAsia="宋体" w:cs="宋体"/>
          <w:sz w:val="24"/>
          <w:szCs w:val="24"/>
        </w:rPr>
        <w:t>年为稳步增长期，</w:t>
      </w:r>
      <w:r>
        <w:rPr>
          <w:rFonts w:hint="default" w:ascii="Times New Roman" w:hAnsi="Times New Roman" w:eastAsia="宋体" w:cs="Times New Roman"/>
          <w:sz w:val="24"/>
          <w:szCs w:val="24"/>
        </w:rPr>
        <w:t>2021</w:t>
      </w:r>
      <w:r>
        <w:rPr>
          <w:rFonts w:ascii="宋体" w:hAnsi="宋体" w:eastAsia="宋体" w:cs="宋体"/>
          <w:sz w:val="24"/>
          <w:szCs w:val="24"/>
        </w:rPr>
        <w:t>年销售额</w:t>
      </w:r>
      <w:r>
        <w:rPr>
          <w:rFonts w:hint="default" w:ascii="Times New Roman" w:hAnsi="Times New Roman" w:eastAsia="宋体" w:cs="Times New Roman"/>
          <w:sz w:val="24"/>
          <w:szCs w:val="24"/>
        </w:rPr>
        <w:t>8.5</w:t>
      </w:r>
      <w:r>
        <w:rPr>
          <w:rFonts w:ascii="宋体" w:hAnsi="宋体" w:eastAsia="宋体" w:cs="宋体"/>
          <w:sz w:val="24"/>
          <w:szCs w:val="24"/>
        </w:rPr>
        <w:t>亿元（同比</w:t>
      </w:r>
      <w:r>
        <w:rPr>
          <w:rFonts w:hint="eastAsia" w:ascii="宋体" w:hAnsi="宋体" w:eastAsia="宋体" w:cs="宋体"/>
          <w:sz w:val="24"/>
          <w:szCs w:val="24"/>
          <w:lang w:val="en-US" w:eastAsia="zh-CN"/>
        </w:rPr>
        <w:t>增长</w:t>
      </w:r>
      <w:r>
        <w:rPr>
          <w:rFonts w:hint="eastAsia" w:ascii="Times New Roman" w:hAnsi="Times New Roman" w:eastAsia="宋体" w:cs="Times New Roman"/>
          <w:sz w:val="24"/>
          <w:szCs w:val="24"/>
          <w:lang w:val="en-US" w:eastAsia="zh-CN"/>
        </w:rPr>
        <w:t>46</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w:t>
      </w:r>
      <w:r>
        <w:rPr>
          <w:rFonts w:ascii="宋体" w:hAnsi="宋体" w:eastAsia="宋体" w:cs="宋体"/>
          <w:sz w:val="24"/>
          <w:szCs w:val="24"/>
        </w:rPr>
        <w:t>）、</w:t>
      </w:r>
      <w:r>
        <w:rPr>
          <w:rFonts w:hint="default" w:ascii="Times New Roman" w:hAnsi="Times New Roman" w:eastAsia="宋体" w:cs="Times New Roman"/>
          <w:sz w:val="24"/>
          <w:szCs w:val="24"/>
        </w:rPr>
        <w:t>2022</w:t>
      </w:r>
      <w:r>
        <w:rPr>
          <w:rFonts w:ascii="宋体" w:hAnsi="宋体" w:eastAsia="宋体" w:cs="宋体"/>
          <w:sz w:val="24"/>
          <w:szCs w:val="24"/>
        </w:rPr>
        <w:t>年</w:t>
      </w:r>
      <w:r>
        <w:rPr>
          <w:rFonts w:hint="default" w:ascii="Times New Roman" w:hAnsi="Times New Roman" w:eastAsia="宋体" w:cs="Times New Roman"/>
          <w:sz w:val="24"/>
          <w:szCs w:val="24"/>
        </w:rPr>
        <w:t>11.2</w:t>
      </w:r>
      <w:r>
        <w:rPr>
          <w:rFonts w:ascii="宋体" w:hAnsi="宋体" w:eastAsia="宋体" w:cs="宋体"/>
          <w:sz w:val="24"/>
          <w:szCs w:val="24"/>
        </w:rPr>
        <w:t>亿元（同比</w:t>
      </w:r>
      <w:r>
        <w:rPr>
          <w:rFonts w:hint="eastAsia" w:ascii="宋体" w:hAnsi="宋体" w:eastAsia="宋体" w:cs="宋体"/>
          <w:sz w:val="24"/>
          <w:szCs w:val="24"/>
          <w:lang w:val="en-US" w:eastAsia="zh-CN"/>
        </w:rPr>
        <w:t>增长</w:t>
      </w:r>
      <w:r>
        <w:rPr>
          <w:rFonts w:hint="default" w:ascii="Times New Roman" w:hAnsi="Times New Roman" w:eastAsia="宋体" w:cs="Times New Roman"/>
          <w:sz w:val="24"/>
          <w:szCs w:val="24"/>
          <w:lang w:val="en-US" w:eastAsia="zh-CN"/>
        </w:rPr>
        <w:t>31</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8</w:t>
      </w:r>
      <w:r>
        <w:rPr>
          <w:rFonts w:hint="default" w:ascii="Times New Roman" w:hAnsi="Times New Roman" w:eastAsia="宋体" w:cs="Times New Roman"/>
          <w:sz w:val="24"/>
          <w:szCs w:val="24"/>
        </w:rPr>
        <w:t>%</w:t>
      </w:r>
      <w:r>
        <w:rPr>
          <w:rFonts w:ascii="宋体" w:hAnsi="宋体" w:eastAsia="宋体" w:cs="宋体"/>
          <w:sz w:val="24"/>
          <w:szCs w:val="24"/>
        </w:rPr>
        <w:t>）、</w:t>
      </w:r>
      <w:r>
        <w:rPr>
          <w:rFonts w:hint="default" w:ascii="Times New Roman" w:hAnsi="Times New Roman" w:eastAsia="宋体" w:cs="Times New Roman"/>
          <w:sz w:val="24"/>
          <w:szCs w:val="24"/>
        </w:rPr>
        <w:t>2023</w:t>
      </w:r>
      <w:r>
        <w:rPr>
          <w:rFonts w:ascii="宋体" w:hAnsi="宋体" w:eastAsia="宋体" w:cs="宋体"/>
          <w:sz w:val="24"/>
          <w:szCs w:val="24"/>
        </w:rPr>
        <w:t>年</w:t>
      </w:r>
      <w:r>
        <w:rPr>
          <w:rFonts w:hint="default" w:ascii="Times New Roman" w:hAnsi="Times New Roman" w:eastAsia="宋体" w:cs="Times New Roman"/>
          <w:sz w:val="24"/>
          <w:szCs w:val="24"/>
        </w:rPr>
        <w:t>15.6</w:t>
      </w:r>
      <w:r>
        <w:rPr>
          <w:rFonts w:ascii="宋体" w:hAnsi="宋体" w:eastAsia="宋体" w:cs="宋体"/>
          <w:sz w:val="24"/>
          <w:szCs w:val="24"/>
        </w:rPr>
        <w:t>亿元（同比</w:t>
      </w:r>
      <w:r>
        <w:rPr>
          <w:rFonts w:hint="eastAsia" w:ascii="宋体" w:hAnsi="宋体" w:eastAsia="宋体" w:cs="宋体"/>
          <w:sz w:val="24"/>
          <w:szCs w:val="24"/>
          <w:lang w:val="en-US" w:eastAsia="zh-CN"/>
        </w:rPr>
        <w:t>增长</w:t>
      </w:r>
      <w:r>
        <w:rPr>
          <w:rFonts w:hint="eastAsia" w:cs="Times New Roman"/>
          <w:sz w:val="24"/>
          <w:szCs w:val="24"/>
          <w:lang w:val="en-US" w:eastAsia="zh-CN"/>
        </w:rPr>
        <w:t>39.3</w:t>
      </w:r>
      <w:r>
        <w:rPr>
          <w:rFonts w:hint="default" w:ascii="Times New Roman" w:hAnsi="Times New Roman" w:eastAsia="宋体" w:cs="Times New Roman"/>
          <w:sz w:val="24"/>
          <w:szCs w:val="24"/>
        </w:rPr>
        <w:t>%</w:t>
      </w:r>
      <w:r>
        <w:rPr>
          <w:rFonts w:ascii="宋体" w:hAnsi="宋体" w:eastAsia="宋体" w:cs="宋体"/>
          <w:sz w:val="24"/>
          <w:szCs w:val="24"/>
        </w:rPr>
        <w:t>）。</w:t>
      </w:r>
      <w:r>
        <w:rPr>
          <w:rFonts w:hint="eastAsia" w:ascii="Times New Roman" w:hAnsi="Times New Roman" w:eastAsia="宋体" w:cs="Times New Roman"/>
          <w:sz w:val="24"/>
          <w:szCs w:val="24"/>
          <w:lang w:val="en-US" w:eastAsia="zh-CN"/>
        </w:rPr>
        <w:t>2024</w:t>
      </w:r>
      <w:r>
        <w:rPr>
          <w:rFonts w:ascii="宋体" w:hAnsi="宋体" w:eastAsia="宋体" w:cs="宋体"/>
          <w:sz w:val="24"/>
          <w:szCs w:val="24"/>
        </w:rPr>
        <w:t>年至今为提质升级期，直播电商、内容电商等新型模式的兴起带动线上销售进入新一轮增长，同时消费者对产品品质、品牌和服务的要求不断提高，推动行业从“流量驱动”向“品牌驱动”转型。</w:t>
      </w:r>
    </w:p>
    <w:p w14:paraId="1CE86743">
      <w:pPr>
        <w:spacing w:before="200" w:after="100"/>
        <w:ind w:firstLine="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642485" cy="3020060"/>
            <wp:effectExtent l="0" t="0" r="5715" b="12700"/>
            <wp:docPr id="1" name="图1" descr="C:/Users/夏兴阳/Desktop/QQ图片20260523075040 论文 1.jpgQQ图片20260523075040 论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1" descr="C:/Users/夏兴阳/Desktop/QQ图片20260523075040 论文 1.jpgQQ图片20260523075040 论文 1"/>
                    <pic:cNvPicPr>
                      <a:picLocks noChangeAspect="1"/>
                    </pic:cNvPicPr>
                  </pic:nvPicPr>
                  <pic:blipFill>
                    <a:blip r:embed="rId14"/>
                    <a:srcRect t="1019" b="1019"/>
                    <a:stretch>
                      <a:fillRect/>
                    </a:stretch>
                  </pic:blipFill>
                  <pic:spPr>
                    <a:xfrm>
                      <a:off x="0" y="0"/>
                      <a:ext cx="4642485" cy="3020060"/>
                    </a:xfrm>
                    <a:prstGeom prst="rect">
                      <a:avLst/>
                    </a:prstGeom>
                  </pic:spPr>
                </pic:pic>
              </a:graphicData>
            </a:graphic>
          </wp:inline>
        </w:drawing>
      </w:r>
    </w:p>
    <w:p w14:paraId="1810194E">
      <w:pPr>
        <w:widowControl w:val="0"/>
        <w:adjustRightInd w:val="0"/>
        <w:snapToGrid w:val="0"/>
        <w:spacing w:after="0" w:line="240" w:lineRule="auto"/>
        <w:ind w:firstLine="0" w:firstLineChars="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图3-</w:t>
      </w:r>
      <w:r>
        <w:rPr>
          <w:rFonts w:hint="eastAsia" w:cs="Times New Roman"/>
          <w:color w:val="auto"/>
          <w:kern w:val="2"/>
          <w:sz w:val="21"/>
          <w:szCs w:val="21"/>
          <w:lang w:val="en-US" w:eastAsia="zh-CN" w:bidi="ar-SA"/>
        </w:rPr>
        <w:t>1</w:t>
      </w:r>
      <w:r>
        <w:rPr>
          <w:rFonts w:hint="default" w:ascii="Times New Roman" w:hAnsi="Times New Roman" w:eastAsia="宋体" w:cs="Times New Roman"/>
          <w:color w:val="auto"/>
          <w:kern w:val="2"/>
          <w:sz w:val="21"/>
          <w:szCs w:val="21"/>
          <w:lang w:val="en-US" w:eastAsia="zh-CN" w:bidi="ar-SA"/>
        </w:rPr>
        <w:t xml:space="preserve">  南京盐水鸭线上销售额增长趋势（2019-2025）</w:t>
      </w:r>
    </w:p>
    <w:p w14:paraId="634694C9">
      <w:pPr>
        <w:widowControl w:val="0"/>
        <w:adjustRightInd w:val="0"/>
        <w:snapToGrid w:val="0"/>
        <w:spacing w:after="0" w:line="240" w:lineRule="auto"/>
        <w:ind w:firstLine="0" w:firstLineChars="0"/>
        <w:jc w:val="both"/>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数据来源：前瞻网</w:t>
      </w:r>
    </w:p>
    <w:p w14:paraId="7F627410">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ascii="宋体" w:hAnsi="宋体" w:eastAsia="宋体" w:cs="宋体"/>
          <w:sz w:val="24"/>
          <w:szCs w:val="24"/>
        </w:rPr>
      </w:pPr>
      <w:r>
        <w:rPr>
          <w:rFonts w:ascii="宋体" w:hAnsi="宋体" w:eastAsia="宋体" w:cs="宋体"/>
          <w:sz w:val="24"/>
          <w:szCs w:val="24"/>
        </w:rPr>
        <w:t>从电商渠道分布结构来看（见图</w:t>
      </w:r>
      <w:r>
        <w:rPr>
          <w:rFonts w:hint="default" w:ascii="Times New Roman" w:hAnsi="Times New Roman" w:eastAsia="宋体" w:cs="Times New Roman"/>
          <w:sz w:val="24"/>
          <w:szCs w:val="24"/>
        </w:rPr>
        <w:t>3-</w:t>
      </w:r>
      <w:r>
        <w:rPr>
          <w:rFonts w:hint="eastAsia" w:cs="Times New Roman"/>
          <w:sz w:val="24"/>
          <w:szCs w:val="24"/>
          <w:lang w:val="en-US" w:eastAsia="zh-CN"/>
        </w:rPr>
        <w:t>2</w:t>
      </w:r>
      <w:r>
        <w:rPr>
          <w:rFonts w:ascii="宋体" w:hAnsi="宋体" w:eastAsia="宋体" w:cs="宋体"/>
          <w:sz w:val="24"/>
          <w:szCs w:val="24"/>
        </w:rPr>
        <w:t>），南京盐水鸭已形成“传统平台电商为主、内容电商快速崛起、私域电商补充”的多元化渠道格局。</w:t>
      </w:r>
      <w:r>
        <w:rPr>
          <w:rFonts w:hint="default" w:ascii="Times New Roman" w:hAnsi="Times New Roman" w:eastAsia="宋体" w:cs="Times New Roman"/>
          <w:sz w:val="24"/>
          <w:szCs w:val="24"/>
        </w:rPr>
        <w:t>2025</w:t>
      </w:r>
      <w:r>
        <w:rPr>
          <w:rFonts w:ascii="宋体" w:hAnsi="宋体" w:eastAsia="宋体" w:cs="宋体"/>
          <w:sz w:val="24"/>
          <w:szCs w:val="24"/>
        </w:rPr>
        <w:t>年，淘宝</w:t>
      </w:r>
      <w:r>
        <w:rPr>
          <w:rFonts w:hint="default" w:ascii="Times New Roman" w:hAnsi="Times New Roman" w:eastAsia="宋体" w:cs="Times New Roman"/>
          <w:sz w:val="24"/>
          <w:szCs w:val="24"/>
        </w:rPr>
        <w:t>/</w:t>
      </w:r>
      <w:r>
        <w:rPr>
          <w:rFonts w:ascii="宋体" w:hAnsi="宋体" w:eastAsia="宋体" w:cs="宋体"/>
          <w:sz w:val="24"/>
          <w:szCs w:val="24"/>
        </w:rPr>
        <w:t>天猫仍是南京盐水鸭线上销售的第一大渠道，占比达</w:t>
      </w:r>
      <w:r>
        <w:rPr>
          <w:rFonts w:hint="default" w:ascii="Times New Roman" w:hAnsi="Times New Roman" w:eastAsia="宋体" w:cs="Times New Roman"/>
          <w:sz w:val="24"/>
          <w:szCs w:val="24"/>
        </w:rPr>
        <w:t>32%</w:t>
      </w:r>
      <w:r>
        <w:rPr>
          <w:rFonts w:ascii="宋体" w:hAnsi="宋体" w:eastAsia="宋体" w:cs="宋体"/>
          <w:sz w:val="24"/>
          <w:szCs w:val="24"/>
        </w:rPr>
        <w:t>，作为品牌电商的主阵地，汇聚了桂花鸭、樱桃鸭等绝大多数头部品牌，主要承担品牌展示、产品销售和用户沉淀的功能。京东渠道占比</w:t>
      </w:r>
      <w:r>
        <w:rPr>
          <w:rFonts w:hint="default" w:ascii="Times New Roman" w:hAnsi="Times New Roman" w:eastAsia="宋体" w:cs="Times New Roman"/>
          <w:sz w:val="24"/>
          <w:szCs w:val="24"/>
        </w:rPr>
        <w:t>24%</w:t>
      </w:r>
      <w:r>
        <w:rPr>
          <w:rFonts w:ascii="宋体" w:hAnsi="宋体" w:eastAsia="宋体" w:cs="宋体"/>
          <w:sz w:val="24"/>
          <w:szCs w:val="24"/>
        </w:rPr>
        <w:t>，凭借其完善的冷链物流体系和品质口碑，成为中高端产品和礼品装的主要销售渠道，尤其在华东、华北等地区的市场渗透率较高。拼多多渠道占比</w:t>
      </w:r>
      <w:r>
        <w:rPr>
          <w:rFonts w:hint="eastAsia" w:cs="Times New Roman"/>
          <w:sz w:val="24"/>
          <w:szCs w:val="24"/>
          <w:lang w:val="en-US" w:eastAsia="zh-CN"/>
        </w:rPr>
        <w:t>12</w:t>
      </w:r>
      <w:r>
        <w:rPr>
          <w:rFonts w:hint="default" w:ascii="Times New Roman" w:hAnsi="Times New Roman" w:eastAsia="宋体" w:cs="Times New Roman"/>
          <w:sz w:val="24"/>
          <w:szCs w:val="24"/>
        </w:rPr>
        <w:t>%</w:t>
      </w:r>
      <w:r>
        <w:rPr>
          <w:rFonts w:ascii="宋体" w:hAnsi="宋体" w:eastAsia="宋体" w:cs="宋体"/>
          <w:sz w:val="24"/>
          <w:szCs w:val="24"/>
        </w:rPr>
        <w:t>，主打高性价比产品，覆盖下沉市场，满足大众日常消费需求。</w:t>
      </w:r>
    </w:p>
    <w:p w14:paraId="5ED35DAD">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ascii="宋体" w:hAnsi="宋体" w:eastAsia="宋体" w:cs="宋体"/>
          <w:sz w:val="24"/>
          <w:szCs w:val="24"/>
        </w:rPr>
      </w:pPr>
      <w:r>
        <w:rPr>
          <w:rFonts w:ascii="宋体" w:hAnsi="宋体" w:eastAsia="宋体" w:cs="宋体"/>
          <w:sz w:val="24"/>
          <w:szCs w:val="24"/>
        </w:rPr>
        <w:t>以抖音为代表的内容电商平台成为增长最快的渠道，</w:t>
      </w:r>
      <w:r>
        <w:rPr>
          <w:rFonts w:hint="default" w:ascii="Times New Roman" w:hAnsi="Times New Roman" w:eastAsia="宋体" w:cs="Times New Roman"/>
          <w:sz w:val="24"/>
          <w:szCs w:val="24"/>
        </w:rPr>
        <w:t>2025</w:t>
      </w:r>
      <w:r>
        <w:rPr>
          <w:rFonts w:ascii="宋体" w:hAnsi="宋体" w:eastAsia="宋体" w:cs="宋体"/>
          <w:sz w:val="24"/>
          <w:szCs w:val="24"/>
        </w:rPr>
        <w:t>年占比达</w:t>
      </w:r>
      <w:r>
        <w:rPr>
          <w:rFonts w:hint="eastAsia" w:cs="Times New Roman"/>
          <w:sz w:val="24"/>
          <w:szCs w:val="24"/>
          <w:lang w:val="en-US" w:eastAsia="zh-CN"/>
        </w:rPr>
        <w:t>18</w:t>
      </w:r>
      <w:r>
        <w:rPr>
          <w:rFonts w:hint="default" w:ascii="Times New Roman" w:hAnsi="Times New Roman" w:eastAsia="宋体" w:cs="Times New Roman"/>
          <w:sz w:val="24"/>
          <w:szCs w:val="24"/>
        </w:rPr>
        <w:t>%</w:t>
      </w:r>
      <w:r>
        <w:rPr>
          <w:rFonts w:ascii="宋体" w:hAnsi="宋体" w:eastAsia="宋体" w:cs="宋体"/>
          <w:sz w:val="24"/>
          <w:szCs w:val="24"/>
        </w:rPr>
        <w:t>，同比增幅超过</w:t>
      </w:r>
      <w:r>
        <w:rPr>
          <w:rFonts w:hint="default" w:ascii="Times New Roman" w:hAnsi="Times New Roman" w:eastAsia="宋体" w:cs="Times New Roman"/>
          <w:sz w:val="24"/>
          <w:szCs w:val="24"/>
        </w:rPr>
        <w:t>80%</w:t>
      </w:r>
      <w:r>
        <w:rPr>
          <w:rFonts w:ascii="宋体" w:hAnsi="宋体" w:eastAsia="宋体" w:cs="宋体"/>
          <w:sz w:val="24"/>
          <w:szCs w:val="24"/>
        </w:rPr>
        <w:t>，通过短视频种草、直播带货等形式，实现了“内容即流量、流量即销量”的转化，成为品牌触达年轻消费者的重要途径。微信生态渠道占比</w:t>
      </w:r>
      <w:r>
        <w:rPr>
          <w:rFonts w:hint="default" w:ascii="Times New Roman" w:hAnsi="Times New Roman" w:eastAsia="宋体" w:cs="Times New Roman"/>
          <w:sz w:val="24"/>
          <w:szCs w:val="24"/>
        </w:rPr>
        <w:t>9%</w:t>
      </w:r>
      <w:r>
        <w:rPr>
          <w:rFonts w:ascii="宋体" w:hAnsi="宋体" w:eastAsia="宋体" w:cs="宋体"/>
          <w:sz w:val="24"/>
          <w:szCs w:val="24"/>
        </w:rPr>
        <w:t>，包括微信小程序、视频号、企业微信社群等，主要用于私域用户运营和复购转化，用户忠诚度和客单价相对较高。其他渠道占比</w:t>
      </w:r>
      <w:r>
        <w:rPr>
          <w:rFonts w:hint="default" w:ascii="Times New Roman" w:hAnsi="Times New Roman" w:eastAsia="宋体" w:cs="Times New Roman"/>
          <w:sz w:val="24"/>
          <w:szCs w:val="24"/>
        </w:rPr>
        <w:t>5%</w:t>
      </w:r>
      <w:r>
        <w:rPr>
          <w:rFonts w:ascii="宋体" w:hAnsi="宋体" w:eastAsia="宋体" w:cs="宋体"/>
          <w:sz w:val="24"/>
          <w:szCs w:val="24"/>
        </w:rPr>
        <w:t>，包括美团、饿了么等即时零售平台和社区团购平台，满足消费者“即时性”消费需求，近年来也呈现出快速增长的态势。</w:t>
      </w:r>
    </w:p>
    <w:p w14:paraId="69A51DD3">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hint="eastAsia" w:ascii="宋体" w:hAnsi="宋体" w:eastAsia="宋体" w:cs="宋体"/>
          <w:sz w:val="24"/>
          <w:szCs w:val="24"/>
          <w:lang w:val="en-US" w:eastAsia="zh-CN"/>
        </w:rPr>
      </w:pPr>
    </w:p>
    <w:p w14:paraId="497367C8">
      <w:pPr>
        <w:spacing w:before="200" w:after="100"/>
        <w:ind w:firstLine="0"/>
        <w:jc w:val="center"/>
        <w:rPr>
          <w:rFonts w:hint="default" w:ascii="Times New Roman" w:hAnsi="Times New Roman" w:cs="Times New Roman"/>
          <w:color w:val="auto"/>
        </w:rPr>
      </w:pPr>
      <w:r>
        <w:rPr>
          <w:rFonts w:hint="eastAsia" w:ascii="宋体" w:hAnsi="宋体" w:eastAsia="宋体" w:cs="宋体"/>
          <w:sz w:val="24"/>
          <w:szCs w:val="24"/>
          <w:lang w:val="en-US" w:eastAsia="zh-CN"/>
        </w:rPr>
        <w:drawing>
          <wp:inline distT="0" distB="0" distL="114300" distR="114300">
            <wp:extent cx="5256530" cy="2988310"/>
            <wp:effectExtent l="6350" t="6350" r="20320" b="2794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08FFBCF">
      <w:pPr>
        <w:widowControl w:val="0"/>
        <w:adjustRightInd w:val="0"/>
        <w:snapToGrid w:val="0"/>
        <w:spacing w:after="0" w:line="240" w:lineRule="auto"/>
        <w:ind w:firstLine="0" w:firstLineChars="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图3-</w:t>
      </w:r>
      <w:r>
        <w:rPr>
          <w:rFonts w:hint="eastAsia" w:cs="Times New Roman"/>
          <w:color w:val="auto"/>
          <w:kern w:val="2"/>
          <w:sz w:val="21"/>
          <w:szCs w:val="21"/>
          <w:lang w:val="en-US" w:eastAsia="zh-CN" w:bidi="ar-SA"/>
        </w:rPr>
        <w:t>2</w:t>
      </w:r>
      <w:r>
        <w:rPr>
          <w:rFonts w:hint="default" w:ascii="Times New Roman" w:hAnsi="Times New Roman" w:cs="Times New Roman"/>
          <w:color w:val="auto"/>
          <w:kern w:val="2"/>
          <w:sz w:val="21"/>
          <w:szCs w:val="21"/>
          <w:lang w:val="en-US" w:eastAsia="zh-CN" w:bidi="ar-SA"/>
        </w:rPr>
        <w:t xml:space="preserve">  </w:t>
      </w:r>
      <w:r>
        <w:rPr>
          <w:rFonts w:hint="default" w:ascii="Times New Roman" w:hAnsi="Times New Roman" w:eastAsia="宋体" w:cs="Times New Roman"/>
          <w:color w:val="auto"/>
          <w:kern w:val="2"/>
          <w:sz w:val="21"/>
          <w:szCs w:val="21"/>
          <w:lang w:val="en-US" w:eastAsia="zh-CN" w:bidi="ar-SA"/>
        </w:rPr>
        <w:t>南京盐水鸭电商渠道销售占比（2025）</w:t>
      </w:r>
    </w:p>
    <w:p w14:paraId="5F7A0DAD">
      <w:pPr>
        <w:widowControl w:val="0"/>
        <w:adjustRightInd w:val="0"/>
        <w:snapToGrid w:val="0"/>
        <w:spacing w:after="0" w:line="240" w:lineRule="auto"/>
        <w:ind w:firstLine="0" w:firstLineChars="0"/>
        <w:jc w:val="both"/>
        <w:rPr>
          <w:rFonts w:hint="default" w:ascii="Times New Roman" w:hAnsi="Times New Roman"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数据来源：前瞻网</w:t>
      </w:r>
    </w:p>
    <w:p w14:paraId="647F868B">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104" w:name="_Toc88715909"/>
      <w:bookmarkStart w:id="105" w:name="_Toc705895835"/>
      <w:bookmarkStart w:id="106" w:name="_Toc499827966"/>
      <w:bookmarkStart w:id="107" w:name="_Toc24472"/>
      <w:bookmarkStart w:id="108" w:name="_Toc747510483"/>
      <w:r>
        <w:rPr>
          <w:rFonts w:hint="default" w:ascii="Times New Roman" w:hAnsi="Times New Roman" w:cs="Times New Roman"/>
          <w:b w:val="0"/>
          <w:bCs w:val="0"/>
          <w:color w:val="auto"/>
          <w:kern w:val="2"/>
          <w:sz w:val="30"/>
          <w:szCs w:val="30"/>
          <w:lang w:val="en-US" w:eastAsia="zh-CN" w:bidi="ar-SA"/>
        </w:rPr>
        <w:t>3.3 品牌建设现状</w:t>
      </w:r>
      <w:bookmarkEnd w:id="104"/>
      <w:bookmarkEnd w:id="105"/>
      <w:bookmarkEnd w:id="106"/>
      <w:bookmarkEnd w:id="107"/>
      <w:bookmarkEnd w:id="108"/>
    </w:p>
    <w:p w14:paraId="55A4B295">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109" w:name="_Toc1291632817"/>
      <w:bookmarkStart w:id="110" w:name="_Toc694631545"/>
      <w:bookmarkStart w:id="111" w:name="_Toc847"/>
      <w:bookmarkStart w:id="112" w:name="_Toc1800081145"/>
      <w:bookmarkStart w:id="113" w:name="_Toc629352831"/>
      <w:r>
        <w:rPr>
          <w:rFonts w:hint="default" w:ascii="Times New Roman" w:hAnsi="Times New Roman" w:eastAsia="黑体" w:cs="Times New Roman"/>
          <w:b w:val="0"/>
          <w:bCs/>
          <w:color w:val="auto"/>
          <w:kern w:val="2"/>
          <w:sz w:val="28"/>
          <w:szCs w:val="32"/>
          <w:lang w:val="en-US" w:eastAsia="zh-CN" w:bidi="ar-SA"/>
        </w:rPr>
        <w:t>3.3.1 主要品牌概况</w:t>
      </w:r>
      <w:bookmarkEnd w:id="109"/>
      <w:bookmarkEnd w:id="110"/>
      <w:bookmarkEnd w:id="111"/>
      <w:bookmarkEnd w:id="112"/>
      <w:bookmarkEnd w:id="113"/>
    </w:p>
    <w:p w14:paraId="34D94A27">
      <w:pPr>
        <w:keepNext w:val="0"/>
        <w:keepLines w:val="0"/>
        <w:pageBreakBefore w:val="0"/>
        <w:widowControl/>
        <w:kinsoku/>
        <w:wordWrap/>
        <w:overflowPunct/>
        <w:topLinePunct w:val="0"/>
        <w:autoSpaceDE/>
        <w:autoSpaceDN/>
        <w:bidi w:val="0"/>
        <w:adjustRightInd/>
        <w:snapToGrid/>
        <w:spacing w:after="0" w:line="400" w:lineRule="exact"/>
        <w:ind w:firstLine="480" w:firstLineChars="200"/>
        <w:textAlignment w:val="auto"/>
        <w:rPr>
          <w:rFonts w:ascii="宋体" w:hAnsi="宋体" w:eastAsia="宋体" w:cs="宋体"/>
          <w:sz w:val="24"/>
          <w:szCs w:val="24"/>
        </w:rPr>
      </w:pPr>
      <w:r>
        <w:rPr>
          <w:rFonts w:ascii="宋体" w:hAnsi="宋体" w:eastAsia="宋体" w:cs="宋体"/>
          <w:sz w:val="24"/>
          <w:szCs w:val="24"/>
        </w:rPr>
        <w:t>经过多年的市场竞争和发展，南京盐水鸭行业已形成较为清晰的品牌梯队，头部品牌集中度较高，市场格局相对稳定。截至</w:t>
      </w:r>
      <w:r>
        <w:rPr>
          <w:rFonts w:hint="default" w:ascii="Times New Roman" w:hAnsi="Times New Roman" w:eastAsia="宋体" w:cs="Times New Roman"/>
          <w:sz w:val="24"/>
          <w:szCs w:val="24"/>
        </w:rPr>
        <w:t>2025</w:t>
      </w:r>
      <w:r>
        <w:rPr>
          <w:rFonts w:ascii="宋体" w:hAnsi="宋体" w:eastAsia="宋体" w:cs="宋体"/>
          <w:sz w:val="24"/>
          <w:szCs w:val="24"/>
        </w:rPr>
        <w:t>年，桂花鸭、樱桃鸭两大品牌</w:t>
      </w:r>
      <w:r>
        <w:rPr>
          <w:rFonts w:hint="eastAsia" w:ascii="宋体" w:hAnsi="宋体" w:cs="宋体"/>
          <w:sz w:val="24"/>
          <w:szCs w:val="24"/>
          <w:lang w:val="en-US" w:eastAsia="zh-CN"/>
        </w:rPr>
        <w:t>的市场份额</w:t>
      </w:r>
      <w:r>
        <w:rPr>
          <w:rFonts w:ascii="宋体" w:hAnsi="宋体" w:eastAsia="宋体" w:cs="宋体"/>
          <w:sz w:val="24"/>
          <w:szCs w:val="24"/>
        </w:rPr>
        <w:t>占据半壁江山，成为行业领军企业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w:t>
      </w:r>
      <w:r>
        <w:rPr>
          <w:rFonts w:ascii="宋体" w:hAnsi="宋体" w:eastAsia="宋体" w:cs="宋体"/>
          <w:sz w:val="24"/>
          <w:szCs w:val="24"/>
        </w:rPr>
        <w:t>图</w:t>
      </w:r>
      <w:r>
        <w:rPr>
          <w:rFonts w:hint="default" w:ascii="Times New Roman" w:hAnsi="Times New Roman" w:eastAsia="宋体" w:cs="Times New Roman"/>
          <w:sz w:val="24"/>
          <w:szCs w:val="24"/>
        </w:rPr>
        <w:t>3-</w:t>
      </w:r>
      <w:r>
        <w:rPr>
          <w:rFonts w:hint="eastAsia" w:cs="Times New Roman"/>
          <w:sz w:val="24"/>
          <w:szCs w:val="24"/>
          <w:lang w:val="en-US" w:eastAsia="zh-CN"/>
        </w:rPr>
        <w:t>3</w:t>
      </w:r>
      <w:r>
        <w:rPr>
          <w:rFonts w:hint="eastAsia" w:ascii="Times New Roman" w:hAnsi="Times New Roman" w:eastAsia="宋体" w:cs="Times New Roman"/>
          <w:sz w:val="24"/>
          <w:szCs w:val="24"/>
          <w:lang w:val="en-US" w:eastAsia="zh-CN"/>
        </w:rPr>
        <w:t>所示</w:t>
      </w:r>
      <w:r>
        <w:rPr>
          <w:rFonts w:ascii="宋体" w:hAnsi="宋体" w:eastAsia="宋体" w:cs="宋体"/>
          <w:sz w:val="24"/>
          <w:szCs w:val="24"/>
        </w:rPr>
        <w:t>。</w:t>
      </w:r>
    </w:p>
    <w:p w14:paraId="609353D6">
      <w:pPr>
        <w:keepNext w:val="0"/>
        <w:keepLines w:val="0"/>
        <w:pageBreakBefore w:val="0"/>
        <w:widowControl/>
        <w:kinsoku/>
        <w:wordWrap/>
        <w:overflowPunct/>
        <w:topLinePunct w:val="0"/>
        <w:autoSpaceDE/>
        <w:autoSpaceDN/>
        <w:bidi w:val="0"/>
        <w:adjustRightInd/>
        <w:snapToGrid/>
        <w:spacing w:after="0" w:line="400" w:lineRule="exact"/>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桂花鸭作为中华老字号品牌，创立于</w:t>
      </w:r>
      <w:r>
        <w:rPr>
          <w:rFonts w:hint="default" w:ascii="Times New Roman" w:hAnsi="Times New Roman" w:eastAsia="宋体" w:cs="Times New Roman"/>
          <w:sz w:val="24"/>
          <w:szCs w:val="24"/>
        </w:rPr>
        <w:t>1956</w:t>
      </w:r>
      <w:r>
        <w:rPr>
          <w:rFonts w:ascii="宋体" w:hAnsi="宋体" w:eastAsia="宋体" w:cs="宋体"/>
          <w:sz w:val="24"/>
          <w:szCs w:val="24"/>
        </w:rPr>
        <w:t>年，是南京盐水鸭行业的标杆企业，</w:t>
      </w:r>
      <w:r>
        <w:rPr>
          <w:rFonts w:hint="default" w:ascii="Times New Roman" w:hAnsi="Times New Roman" w:eastAsia="宋体" w:cs="Times New Roman"/>
          <w:sz w:val="24"/>
          <w:szCs w:val="24"/>
        </w:rPr>
        <w:t>2025</w:t>
      </w:r>
      <w:r>
        <w:rPr>
          <w:rFonts w:ascii="宋体" w:hAnsi="宋体" w:eastAsia="宋体" w:cs="宋体"/>
          <w:sz w:val="24"/>
          <w:szCs w:val="24"/>
        </w:rPr>
        <w:t>年市场份额达</w:t>
      </w:r>
      <w:r>
        <w:rPr>
          <w:rFonts w:hint="eastAsia" w:cs="Times New Roman"/>
          <w:sz w:val="24"/>
          <w:szCs w:val="24"/>
          <w:lang w:val="en-US" w:eastAsia="zh-CN"/>
        </w:rPr>
        <w:t>25</w:t>
      </w:r>
      <w:r>
        <w:rPr>
          <w:rFonts w:hint="default" w:ascii="Times New Roman" w:hAnsi="Times New Roman" w:eastAsia="宋体" w:cs="Times New Roman"/>
          <w:sz w:val="24"/>
          <w:szCs w:val="24"/>
        </w:rPr>
        <w:t>%</w:t>
      </w:r>
      <w:r>
        <w:rPr>
          <w:rFonts w:ascii="宋体" w:hAnsi="宋体" w:eastAsia="宋体" w:cs="宋体"/>
          <w:sz w:val="24"/>
          <w:szCs w:val="24"/>
        </w:rPr>
        <w:t>，位居行业第一。该品牌拥有深厚的历史文化底蕴和非遗技艺传承，主打“正宗南京盐水鸭”的品牌定位，产品覆盖高中低端全价位段，线下门店遍布南京及长三角地区，线上渠道布局完善，在淘宝、京东等平台的销量长期位居榜首。樱桃鸭是国家农业产业化重点龙头企业，</w:t>
      </w:r>
      <w:r>
        <w:rPr>
          <w:rFonts w:hint="default" w:ascii="Times New Roman" w:hAnsi="Times New Roman" w:eastAsia="宋体" w:cs="Times New Roman"/>
          <w:sz w:val="24"/>
          <w:szCs w:val="24"/>
        </w:rPr>
        <w:t>2025</w:t>
      </w:r>
      <w:r>
        <w:rPr>
          <w:rFonts w:ascii="宋体" w:hAnsi="宋体" w:eastAsia="宋体" w:cs="宋体"/>
          <w:sz w:val="24"/>
          <w:szCs w:val="24"/>
        </w:rPr>
        <w:t>年市场份额为</w:t>
      </w:r>
      <w:r>
        <w:rPr>
          <w:rFonts w:hint="eastAsia" w:cs="Times New Roman"/>
          <w:sz w:val="24"/>
          <w:szCs w:val="24"/>
          <w:lang w:val="en-US" w:eastAsia="zh-CN"/>
        </w:rPr>
        <w:t>18</w:t>
      </w:r>
      <w:r>
        <w:rPr>
          <w:rFonts w:hint="default" w:ascii="Times New Roman" w:hAnsi="Times New Roman" w:eastAsia="宋体" w:cs="Times New Roman"/>
          <w:sz w:val="24"/>
          <w:szCs w:val="24"/>
        </w:rPr>
        <w:t>%</w:t>
      </w:r>
      <w:r>
        <w:rPr>
          <w:rFonts w:ascii="宋体" w:hAnsi="宋体" w:eastAsia="宋体" w:cs="宋体"/>
          <w:sz w:val="24"/>
          <w:szCs w:val="24"/>
        </w:rPr>
        <w:t>，位列第二。该品牌专注于盐水鸭的标准化生产和工业化加工，拥有现代化的生产基地和完善的质量管控体系，在电商运营方面表现突出，是最早布局直播电商的盐水鸭企业之一。</w:t>
      </w:r>
    </w:p>
    <w:p w14:paraId="0FE082A4">
      <w:pPr>
        <w:spacing w:before="200" w:after="100"/>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drawing>
          <wp:inline distT="0" distB="0" distL="0" distR="0">
            <wp:extent cx="5377180" cy="3536950"/>
            <wp:effectExtent l="0" t="0" r="0" b="0"/>
            <wp:docPr id="12" nam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4"/>
                    <pic:cNvPicPr>
                      <a:picLocks noChangeAspect="1"/>
                    </pic:cNvPicPr>
                  </pic:nvPicPr>
                  <pic:blipFill>
                    <a:blip r:embed="rId16"/>
                    <a:srcRect t="6418" r="412"/>
                    <a:stretch>
                      <a:fillRect/>
                    </a:stretch>
                  </pic:blipFill>
                  <pic:spPr>
                    <a:xfrm>
                      <a:off x="0" y="0"/>
                      <a:ext cx="5377180" cy="3536950"/>
                    </a:xfrm>
                    <a:prstGeom prst="rect">
                      <a:avLst/>
                    </a:prstGeom>
                  </pic:spPr>
                </pic:pic>
              </a:graphicData>
            </a:graphic>
          </wp:inline>
        </w:drawing>
      </w:r>
    </w:p>
    <w:p w14:paraId="6D162786">
      <w:pPr>
        <w:widowControl w:val="0"/>
        <w:adjustRightInd w:val="0"/>
        <w:snapToGrid w:val="0"/>
        <w:spacing w:after="0" w:line="240" w:lineRule="auto"/>
        <w:ind w:firstLine="0" w:firstLineChars="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图3-</w:t>
      </w:r>
      <w:r>
        <w:rPr>
          <w:rFonts w:hint="eastAsia" w:cs="Times New Roman"/>
          <w:color w:val="auto"/>
          <w:kern w:val="2"/>
          <w:sz w:val="21"/>
          <w:szCs w:val="21"/>
          <w:lang w:val="en-US" w:eastAsia="zh-CN" w:bidi="ar-SA"/>
        </w:rPr>
        <w:t>3</w:t>
      </w:r>
      <w:r>
        <w:rPr>
          <w:rFonts w:hint="default" w:ascii="Times New Roman" w:hAnsi="Times New Roman" w:cs="Times New Roman"/>
          <w:color w:val="auto"/>
          <w:kern w:val="2"/>
          <w:sz w:val="21"/>
          <w:szCs w:val="21"/>
          <w:lang w:val="en-US" w:eastAsia="zh-CN" w:bidi="ar-SA"/>
        </w:rPr>
        <w:t xml:space="preserve">  </w:t>
      </w:r>
      <w:r>
        <w:rPr>
          <w:rFonts w:hint="default" w:ascii="Times New Roman" w:hAnsi="Times New Roman" w:eastAsia="宋体" w:cs="Times New Roman"/>
          <w:color w:val="auto"/>
          <w:kern w:val="2"/>
          <w:sz w:val="21"/>
          <w:szCs w:val="21"/>
          <w:lang w:val="en-US" w:eastAsia="zh-CN" w:bidi="ar-SA"/>
        </w:rPr>
        <w:t>南京盐水鸭主要品牌市场份额（2025）</w:t>
      </w:r>
    </w:p>
    <w:p w14:paraId="3FC9AF60">
      <w:pPr>
        <w:widowControl w:val="0"/>
        <w:adjustRightInd w:val="0"/>
        <w:snapToGrid w:val="0"/>
        <w:spacing w:after="0" w:line="240" w:lineRule="auto"/>
        <w:ind w:firstLine="0" w:firstLineChars="0"/>
        <w:jc w:val="both"/>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数据来源：前瞻网</w:t>
      </w:r>
    </w:p>
    <w:p w14:paraId="2320CDFE">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114" w:name="_Toc214185079"/>
      <w:bookmarkStart w:id="115" w:name="_Toc951271723"/>
      <w:bookmarkStart w:id="116" w:name="_Toc1176069142"/>
      <w:bookmarkStart w:id="117" w:name="_Toc1708051443"/>
      <w:bookmarkStart w:id="118" w:name="_Toc29751"/>
      <w:r>
        <w:rPr>
          <w:rFonts w:hint="default" w:ascii="Times New Roman" w:hAnsi="Times New Roman" w:eastAsia="黑体" w:cs="Times New Roman"/>
          <w:b w:val="0"/>
          <w:bCs/>
          <w:color w:val="auto"/>
          <w:kern w:val="2"/>
          <w:sz w:val="28"/>
          <w:szCs w:val="32"/>
          <w:lang w:val="en-US" w:eastAsia="zh-CN" w:bidi="ar-SA"/>
        </w:rPr>
        <w:t>3.3.2 消费者特征分析</w:t>
      </w:r>
      <w:bookmarkEnd w:id="114"/>
      <w:bookmarkEnd w:id="115"/>
      <w:bookmarkEnd w:id="116"/>
      <w:bookmarkEnd w:id="117"/>
      <w:bookmarkEnd w:id="118"/>
    </w:p>
    <w:p w14:paraId="7FA43DFA">
      <w:pPr>
        <w:keepNext w:val="0"/>
        <w:keepLines w:val="0"/>
        <w:pageBreakBefore w:val="0"/>
        <w:widowControl/>
        <w:kinsoku/>
        <w:wordWrap/>
        <w:overflowPunct/>
        <w:topLinePunct w:val="0"/>
        <w:autoSpaceDE/>
        <w:autoSpaceDN/>
        <w:bidi w:val="0"/>
        <w:adjustRightInd/>
        <w:snapToGrid/>
        <w:spacing w:after="0" w:line="400" w:lineRule="exact"/>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1"/>
          <w:szCs w:val="21"/>
          <w:lang w:val="en-US" w:eastAsia="zh-CN"/>
        </w:rPr>
        <w:t>表</w:t>
      </w:r>
      <w:r>
        <w:rPr>
          <w:rStyle w:val="19"/>
          <w:rFonts w:hint="default" w:ascii="Times New Roman" w:hAnsi="Times New Roman" w:eastAsia="宋体" w:cs="Times New Roman"/>
          <w:sz w:val="21"/>
          <w:szCs w:val="21"/>
          <w:lang w:val="en-US" w:eastAsia="zh-CN"/>
        </w:rPr>
        <w:t>3-2</w:t>
      </w:r>
      <w:r>
        <w:rPr>
          <w:rFonts w:hint="default" w:ascii="Times New Roman" w:hAnsi="Times New Roman" w:eastAsia="宋体" w:cs="Times New Roman"/>
          <w:sz w:val="21"/>
          <w:szCs w:val="21"/>
          <w:lang w:val="en-US" w:eastAsia="zh-CN"/>
        </w:rPr>
        <w:t>调查问卷发放的基本情况</w:t>
      </w:r>
    </w:p>
    <w:tbl>
      <w:tblPr>
        <w:tblStyle w:val="13"/>
        <w:tblW w:w="852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17"/>
        <w:gridCol w:w="6106"/>
      </w:tblGrid>
      <w:tr w14:paraId="1461E1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417" w:type="dxa"/>
            <w:tcBorders>
              <w:bottom w:val="single" w:color="000000" w:sz="12" w:space="0"/>
            </w:tcBorders>
            <w:shd w:val="clear" w:color="auto" w:fill="auto"/>
            <w:noWrap/>
            <w:vAlign w:val="center"/>
          </w:tcPr>
          <w:p w14:paraId="5866B14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项目</w:t>
            </w:r>
          </w:p>
        </w:tc>
        <w:tc>
          <w:tcPr>
            <w:tcW w:w="6106" w:type="dxa"/>
            <w:tcBorders>
              <w:bottom w:val="single" w:color="000000" w:sz="12" w:space="0"/>
            </w:tcBorders>
            <w:shd w:val="clear" w:color="auto" w:fill="auto"/>
            <w:noWrap/>
            <w:vAlign w:val="center"/>
          </w:tcPr>
          <w:p w14:paraId="1C27A11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数据/说明</w:t>
            </w:r>
          </w:p>
        </w:tc>
      </w:tr>
      <w:tr w14:paraId="18CCEF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0" w:type="auto"/>
            <w:tcBorders>
              <w:top w:val="single" w:color="000000" w:sz="12" w:space="0"/>
              <w:tl2br w:val="nil"/>
              <w:tr2bl w:val="nil"/>
            </w:tcBorders>
            <w:shd w:val="clear" w:color="auto" w:fill="auto"/>
            <w:noWrap/>
            <w:vAlign w:val="center"/>
          </w:tcPr>
          <w:p w14:paraId="78DD037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问卷发放数量</w:t>
            </w:r>
          </w:p>
        </w:tc>
        <w:tc>
          <w:tcPr>
            <w:tcW w:w="6106" w:type="dxa"/>
            <w:tcBorders>
              <w:top w:val="single" w:color="000000" w:sz="12" w:space="0"/>
              <w:tl2br w:val="nil"/>
              <w:tr2bl w:val="nil"/>
            </w:tcBorders>
            <w:shd w:val="clear" w:color="auto" w:fill="auto"/>
            <w:noWrap/>
            <w:vAlign w:val="center"/>
          </w:tcPr>
          <w:p w14:paraId="4D62B3A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350份</w:t>
            </w:r>
          </w:p>
        </w:tc>
      </w:tr>
      <w:tr w14:paraId="06E2B5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0" w:type="auto"/>
            <w:tcBorders>
              <w:tl2br w:val="nil"/>
              <w:tr2bl w:val="nil"/>
            </w:tcBorders>
            <w:shd w:val="clear" w:color="auto" w:fill="auto"/>
            <w:noWrap/>
            <w:vAlign w:val="center"/>
          </w:tcPr>
          <w:p w14:paraId="3330BDB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问卷回收数量</w:t>
            </w:r>
          </w:p>
        </w:tc>
        <w:tc>
          <w:tcPr>
            <w:tcW w:w="6106" w:type="dxa"/>
            <w:tcBorders>
              <w:tl2br w:val="nil"/>
              <w:tr2bl w:val="nil"/>
            </w:tcBorders>
            <w:shd w:val="clear" w:color="auto" w:fill="auto"/>
            <w:noWrap/>
            <w:vAlign w:val="center"/>
          </w:tcPr>
          <w:p w14:paraId="144D5CA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328份</w:t>
            </w:r>
          </w:p>
        </w:tc>
      </w:tr>
      <w:tr w14:paraId="4381DE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0" w:type="auto"/>
            <w:tcBorders>
              <w:tl2br w:val="nil"/>
              <w:tr2bl w:val="nil"/>
            </w:tcBorders>
            <w:shd w:val="clear" w:color="auto" w:fill="auto"/>
            <w:noWrap/>
            <w:vAlign w:val="center"/>
          </w:tcPr>
          <w:p w14:paraId="05B96D8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有效问卷数量</w:t>
            </w:r>
          </w:p>
        </w:tc>
        <w:tc>
          <w:tcPr>
            <w:tcW w:w="6106" w:type="dxa"/>
            <w:tcBorders>
              <w:tl2br w:val="nil"/>
              <w:tr2bl w:val="nil"/>
            </w:tcBorders>
            <w:shd w:val="clear" w:color="auto" w:fill="auto"/>
            <w:noWrap/>
            <w:vAlign w:val="center"/>
          </w:tcPr>
          <w:p w14:paraId="322BF02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300份</w:t>
            </w:r>
          </w:p>
        </w:tc>
      </w:tr>
      <w:tr w14:paraId="3A92D0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0" w:type="auto"/>
            <w:tcBorders>
              <w:tl2br w:val="nil"/>
              <w:tr2bl w:val="nil"/>
            </w:tcBorders>
            <w:shd w:val="clear" w:color="auto" w:fill="auto"/>
            <w:noWrap/>
            <w:vAlign w:val="center"/>
          </w:tcPr>
          <w:p w14:paraId="6721C94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问卷回收率</w:t>
            </w:r>
          </w:p>
        </w:tc>
        <w:tc>
          <w:tcPr>
            <w:tcW w:w="6106" w:type="dxa"/>
            <w:tcBorders>
              <w:tl2br w:val="nil"/>
              <w:tr2bl w:val="nil"/>
            </w:tcBorders>
            <w:shd w:val="clear" w:color="auto" w:fill="auto"/>
            <w:noWrap/>
            <w:vAlign w:val="center"/>
          </w:tcPr>
          <w:p w14:paraId="323BADF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93.7%（328÷350）</w:t>
            </w:r>
          </w:p>
        </w:tc>
      </w:tr>
      <w:tr w14:paraId="7E1037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0" w:type="auto"/>
            <w:tcBorders>
              <w:tl2br w:val="nil"/>
              <w:tr2bl w:val="nil"/>
            </w:tcBorders>
            <w:shd w:val="clear" w:color="auto" w:fill="auto"/>
            <w:noWrap/>
            <w:vAlign w:val="center"/>
          </w:tcPr>
          <w:p w14:paraId="13F3289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问卷有效率</w:t>
            </w:r>
          </w:p>
        </w:tc>
        <w:tc>
          <w:tcPr>
            <w:tcW w:w="6106" w:type="dxa"/>
            <w:tcBorders>
              <w:tl2br w:val="nil"/>
              <w:tr2bl w:val="nil"/>
            </w:tcBorders>
            <w:shd w:val="clear" w:color="auto" w:fill="auto"/>
            <w:noWrap/>
            <w:vAlign w:val="center"/>
          </w:tcPr>
          <w:p w14:paraId="5B11EFA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91.5%（300÷328）</w:t>
            </w:r>
          </w:p>
        </w:tc>
      </w:tr>
    </w:tbl>
    <w:p w14:paraId="6A59A644">
      <w:pPr>
        <w:keepNext w:val="0"/>
        <w:keepLines w:val="0"/>
        <w:pageBreakBefore w:val="0"/>
        <w:widowControl/>
        <w:kinsoku/>
        <w:wordWrap/>
        <w:overflowPunct/>
        <w:topLinePunct w:val="0"/>
        <w:autoSpaceDE/>
        <w:autoSpaceDN/>
        <w:bidi w:val="0"/>
        <w:adjustRightInd/>
        <w:snapToGrid/>
        <w:spacing w:after="0" w:line="400" w:lineRule="exact"/>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表</w:t>
      </w:r>
      <w:r>
        <w:rPr>
          <w:rStyle w:val="19"/>
          <w:rFonts w:hint="default" w:ascii="Times New Roman" w:hAnsi="Times New Roman" w:eastAsia="宋体" w:cs="Times New Roman"/>
          <w:sz w:val="21"/>
          <w:szCs w:val="21"/>
          <w:lang w:val="en-US" w:eastAsia="zh-CN"/>
        </w:rPr>
        <w:t>3-3</w:t>
      </w:r>
      <w:r>
        <w:rPr>
          <w:rFonts w:hint="default" w:ascii="Times New Roman" w:hAnsi="Times New Roman" w:eastAsia="宋体" w:cs="Times New Roman"/>
          <w:sz w:val="21"/>
          <w:szCs w:val="21"/>
          <w:lang w:val="en-US" w:eastAsia="zh-CN"/>
        </w:rPr>
        <w:t>调查问卷发放的基本情况</w:t>
      </w:r>
    </w:p>
    <w:tbl>
      <w:tblPr>
        <w:tblStyle w:val="13"/>
        <w:tblW w:w="8619"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10"/>
        <w:gridCol w:w="3874"/>
        <w:gridCol w:w="2535"/>
      </w:tblGrid>
      <w:tr w14:paraId="109764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6B7B527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统计维度</w:t>
            </w:r>
          </w:p>
        </w:tc>
        <w:tc>
          <w:tcPr>
            <w:tcW w:w="3874" w:type="dxa"/>
            <w:tcBorders>
              <w:tl2br w:val="nil"/>
              <w:tr2bl w:val="nil"/>
            </w:tcBorders>
            <w:shd w:val="clear" w:color="auto" w:fill="auto"/>
            <w:noWrap/>
            <w:vAlign w:val="center"/>
          </w:tcPr>
          <w:p w14:paraId="27ECD9B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类别/区间</w:t>
            </w:r>
          </w:p>
        </w:tc>
        <w:tc>
          <w:tcPr>
            <w:tcW w:w="2535" w:type="dxa"/>
            <w:tcBorders>
              <w:tl2br w:val="nil"/>
              <w:tr2bl w:val="nil"/>
            </w:tcBorders>
            <w:shd w:val="clear" w:color="auto" w:fill="auto"/>
            <w:noWrap/>
            <w:vAlign w:val="center"/>
          </w:tcPr>
          <w:p w14:paraId="7299179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频次占比</w:t>
            </w:r>
          </w:p>
        </w:tc>
      </w:tr>
      <w:tr w14:paraId="0C73FC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23E3907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年龄分布</w:t>
            </w:r>
          </w:p>
        </w:tc>
        <w:tc>
          <w:tcPr>
            <w:tcW w:w="3874" w:type="dxa"/>
            <w:tcBorders>
              <w:tl2br w:val="nil"/>
              <w:tr2bl w:val="nil"/>
            </w:tcBorders>
            <w:shd w:val="clear" w:color="auto" w:fill="auto"/>
            <w:noWrap/>
            <w:vAlign w:val="center"/>
          </w:tcPr>
          <w:p w14:paraId="35A2A3E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18-24岁</w:t>
            </w:r>
          </w:p>
        </w:tc>
        <w:tc>
          <w:tcPr>
            <w:tcW w:w="2535" w:type="dxa"/>
            <w:tcBorders>
              <w:tl2br w:val="nil"/>
              <w:tr2bl w:val="nil"/>
            </w:tcBorders>
            <w:shd w:val="clear" w:color="auto" w:fill="auto"/>
            <w:noWrap/>
            <w:vAlign w:val="center"/>
          </w:tcPr>
          <w:p w14:paraId="09C6ACE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12%</w:t>
            </w:r>
          </w:p>
        </w:tc>
      </w:tr>
      <w:tr w14:paraId="791A1E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bottom w:val="nil"/>
            </w:tcBorders>
            <w:shd w:val="clear" w:color="auto" w:fill="auto"/>
            <w:noWrap/>
            <w:vAlign w:val="center"/>
          </w:tcPr>
          <w:p w14:paraId="6A2CE8BA">
            <w:pPr>
              <w:jc w:val="center"/>
              <w:rPr>
                <w:rFonts w:hint="default" w:ascii="Times New Roman" w:hAnsi="Times New Roman" w:eastAsia="宋体" w:cs="Times New Roman"/>
                <w:i w:val="0"/>
                <w:iCs w:val="0"/>
                <w:color w:val="000000"/>
                <w:sz w:val="21"/>
                <w:szCs w:val="21"/>
                <w:u w:val="none"/>
              </w:rPr>
            </w:pPr>
          </w:p>
        </w:tc>
        <w:tc>
          <w:tcPr>
            <w:tcW w:w="3874" w:type="dxa"/>
            <w:tcBorders>
              <w:bottom w:val="nil"/>
            </w:tcBorders>
            <w:shd w:val="clear" w:color="auto" w:fill="auto"/>
            <w:noWrap/>
            <w:vAlign w:val="center"/>
          </w:tcPr>
          <w:p w14:paraId="5D9BD34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25-30岁</w:t>
            </w:r>
          </w:p>
        </w:tc>
        <w:tc>
          <w:tcPr>
            <w:tcW w:w="2535" w:type="dxa"/>
            <w:tcBorders>
              <w:bottom w:val="nil"/>
            </w:tcBorders>
            <w:shd w:val="clear" w:color="auto" w:fill="auto"/>
            <w:noWrap/>
            <w:vAlign w:val="center"/>
          </w:tcPr>
          <w:p w14:paraId="7DE246F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28%</w:t>
            </w:r>
          </w:p>
        </w:tc>
      </w:tr>
      <w:tr w14:paraId="1D264D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7D8C1737">
            <w:pPr>
              <w:jc w:val="center"/>
              <w:rPr>
                <w:rFonts w:hint="default" w:ascii="Times New Roman" w:hAnsi="Times New Roman" w:eastAsia="宋体" w:cs="Times New Roman"/>
                <w:i w:val="0"/>
                <w:iCs w:val="0"/>
                <w:color w:val="000000"/>
                <w:sz w:val="21"/>
                <w:szCs w:val="21"/>
                <w:u w:val="none"/>
              </w:rPr>
            </w:pPr>
          </w:p>
        </w:tc>
        <w:tc>
          <w:tcPr>
            <w:tcW w:w="3874" w:type="dxa"/>
            <w:tcBorders>
              <w:tl2br w:val="nil"/>
              <w:tr2bl w:val="nil"/>
            </w:tcBorders>
            <w:shd w:val="clear" w:color="auto" w:fill="auto"/>
            <w:noWrap/>
            <w:vAlign w:val="center"/>
          </w:tcPr>
          <w:p w14:paraId="6B410E3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31-35岁</w:t>
            </w:r>
          </w:p>
        </w:tc>
        <w:tc>
          <w:tcPr>
            <w:tcW w:w="2535" w:type="dxa"/>
            <w:tcBorders>
              <w:tl2br w:val="nil"/>
              <w:tr2bl w:val="nil"/>
            </w:tcBorders>
            <w:shd w:val="clear" w:color="auto" w:fill="auto"/>
            <w:noWrap/>
            <w:vAlign w:val="center"/>
          </w:tcPr>
          <w:p w14:paraId="2060195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26%</w:t>
            </w:r>
          </w:p>
        </w:tc>
      </w:tr>
      <w:tr w14:paraId="77C181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399B4C0C">
            <w:pPr>
              <w:jc w:val="center"/>
              <w:rPr>
                <w:rFonts w:hint="default" w:ascii="Times New Roman" w:hAnsi="Times New Roman" w:eastAsia="宋体" w:cs="Times New Roman"/>
                <w:i w:val="0"/>
                <w:iCs w:val="0"/>
                <w:color w:val="000000"/>
                <w:sz w:val="21"/>
                <w:szCs w:val="21"/>
                <w:u w:val="none"/>
              </w:rPr>
            </w:pPr>
          </w:p>
        </w:tc>
        <w:tc>
          <w:tcPr>
            <w:tcW w:w="3874" w:type="dxa"/>
            <w:tcBorders>
              <w:tl2br w:val="nil"/>
              <w:tr2bl w:val="nil"/>
            </w:tcBorders>
            <w:shd w:val="clear" w:color="auto" w:fill="auto"/>
            <w:noWrap/>
            <w:vAlign w:val="center"/>
          </w:tcPr>
          <w:p w14:paraId="60D4BC3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25-35岁小计</w:t>
            </w:r>
          </w:p>
        </w:tc>
        <w:tc>
          <w:tcPr>
            <w:tcW w:w="2535" w:type="dxa"/>
            <w:tcBorders>
              <w:tl2br w:val="nil"/>
              <w:tr2bl w:val="nil"/>
            </w:tcBorders>
            <w:shd w:val="clear" w:color="auto" w:fill="auto"/>
            <w:noWrap/>
            <w:vAlign w:val="center"/>
          </w:tcPr>
          <w:p w14:paraId="371D550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54%</w:t>
            </w:r>
          </w:p>
        </w:tc>
      </w:tr>
      <w:tr w14:paraId="57B441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2715D862">
            <w:pPr>
              <w:jc w:val="center"/>
              <w:rPr>
                <w:rFonts w:hint="default" w:ascii="Times New Roman" w:hAnsi="Times New Roman" w:eastAsia="宋体" w:cs="Times New Roman"/>
                <w:i w:val="0"/>
                <w:iCs w:val="0"/>
                <w:color w:val="000000"/>
                <w:sz w:val="21"/>
                <w:szCs w:val="21"/>
                <w:u w:val="none"/>
              </w:rPr>
            </w:pPr>
          </w:p>
        </w:tc>
        <w:tc>
          <w:tcPr>
            <w:tcW w:w="3874" w:type="dxa"/>
            <w:tcBorders>
              <w:tl2br w:val="nil"/>
              <w:tr2bl w:val="nil"/>
            </w:tcBorders>
            <w:shd w:val="clear" w:color="auto" w:fill="auto"/>
            <w:noWrap/>
            <w:vAlign w:val="center"/>
          </w:tcPr>
          <w:p w14:paraId="19EC27E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36-40岁</w:t>
            </w:r>
          </w:p>
        </w:tc>
        <w:tc>
          <w:tcPr>
            <w:tcW w:w="2535" w:type="dxa"/>
            <w:tcBorders>
              <w:tl2br w:val="nil"/>
              <w:tr2bl w:val="nil"/>
            </w:tcBorders>
            <w:shd w:val="clear" w:color="auto" w:fill="auto"/>
            <w:noWrap/>
            <w:vAlign w:val="center"/>
          </w:tcPr>
          <w:p w14:paraId="5595FA9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18%</w:t>
            </w:r>
          </w:p>
        </w:tc>
      </w:tr>
      <w:tr w14:paraId="0F8D97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722D2FA9">
            <w:pPr>
              <w:jc w:val="center"/>
              <w:rPr>
                <w:rFonts w:hint="default" w:ascii="Times New Roman" w:hAnsi="Times New Roman" w:eastAsia="宋体" w:cs="Times New Roman"/>
                <w:i w:val="0"/>
                <w:iCs w:val="0"/>
                <w:color w:val="000000"/>
                <w:sz w:val="21"/>
                <w:szCs w:val="21"/>
                <w:u w:val="none"/>
              </w:rPr>
            </w:pPr>
          </w:p>
        </w:tc>
        <w:tc>
          <w:tcPr>
            <w:tcW w:w="3874" w:type="dxa"/>
            <w:tcBorders>
              <w:tl2br w:val="nil"/>
              <w:tr2bl w:val="nil"/>
            </w:tcBorders>
            <w:shd w:val="clear" w:color="auto" w:fill="auto"/>
            <w:noWrap/>
            <w:vAlign w:val="center"/>
          </w:tcPr>
          <w:p w14:paraId="497A0F8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41-45岁</w:t>
            </w:r>
          </w:p>
        </w:tc>
        <w:tc>
          <w:tcPr>
            <w:tcW w:w="2535" w:type="dxa"/>
            <w:tcBorders>
              <w:tl2br w:val="nil"/>
              <w:tr2bl w:val="nil"/>
            </w:tcBorders>
            <w:shd w:val="clear" w:color="auto" w:fill="auto"/>
            <w:noWrap/>
            <w:vAlign w:val="center"/>
          </w:tcPr>
          <w:p w14:paraId="1B25AF2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10%</w:t>
            </w:r>
          </w:p>
        </w:tc>
      </w:tr>
      <w:tr w14:paraId="46FA08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3BA34E5A">
            <w:pPr>
              <w:jc w:val="center"/>
              <w:rPr>
                <w:rFonts w:hint="default" w:ascii="Times New Roman" w:hAnsi="Times New Roman" w:eastAsia="宋体" w:cs="Times New Roman"/>
                <w:i w:val="0"/>
                <w:iCs w:val="0"/>
                <w:color w:val="000000"/>
                <w:sz w:val="21"/>
                <w:szCs w:val="21"/>
                <w:u w:val="none"/>
              </w:rPr>
            </w:pPr>
          </w:p>
        </w:tc>
        <w:tc>
          <w:tcPr>
            <w:tcW w:w="3874" w:type="dxa"/>
            <w:tcBorders>
              <w:tl2br w:val="nil"/>
              <w:tr2bl w:val="nil"/>
            </w:tcBorders>
            <w:shd w:val="clear" w:color="auto" w:fill="auto"/>
            <w:noWrap/>
            <w:vAlign w:val="center"/>
          </w:tcPr>
          <w:p w14:paraId="6CC9D32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46岁以上</w:t>
            </w:r>
          </w:p>
        </w:tc>
        <w:tc>
          <w:tcPr>
            <w:tcW w:w="2535" w:type="dxa"/>
            <w:tcBorders>
              <w:tl2br w:val="nil"/>
              <w:tr2bl w:val="nil"/>
            </w:tcBorders>
            <w:shd w:val="clear" w:color="auto" w:fill="auto"/>
            <w:noWrap/>
            <w:vAlign w:val="center"/>
          </w:tcPr>
          <w:p w14:paraId="6382EE7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6%</w:t>
            </w:r>
          </w:p>
        </w:tc>
      </w:tr>
      <w:tr w14:paraId="03885F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51DB053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地域分布</w:t>
            </w:r>
          </w:p>
        </w:tc>
        <w:tc>
          <w:tcPr>
            <w:tcW w:w="3874" w:type="dxa"/>
            <w:tcBorders>
              <w:tl2br w:val="nil"/>
              <w:tr2bl w:val="nil"/>
            </w:tcBorders>
            <w:shd w:val="clear" w:color="auto" w:fill="auto"/>
            <w:noWrap/>
            <w:vAlign w:val="center"/>
          </w:tcPr>
          <w:p w14:paraId="5D913E5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江苏省内</w:t>
            </w:r>
          </w:p>
        </w:tc>
        <w:tc>
          <w:tcPr>
            <w:tcW w:w="2535" w:type="dxa"/>
            <w:tcBorders>
              <w:tl2br w:val="nil"/>
              <w:tr2bl w:val="nil"/>
            </w:tcBorders>
            <w:shd w:val="clear" w:color="auto" w:fill="auto"/>
            <w:noWrap/>
            <w:vAlign w:val="center"/>
          </w:tcPr>
          <w:p w14:paraId="4FDA749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38%</w:t>
            </w:r>
          </w:p>
        </w:tc>
      </w:tr>
      <w:tr w14:paraId="227277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025B6898">
            <w:pPr>
              <w:jc w:val="center"/>
              <w:rPr>
                <w:rFonts w:hint="default" w:ascii="Times New Roman" w:hAnsi="Times New Roman" w:eastAsia="宋体" w:cs="Times New Roman"/>
                <w:i w:val="0"/>
                <w:iCs w:val="0"/>
                <w:color w:val="000000"/>
                <w:sz w:val="21"/>
                <w:szCs w:val="21"/>
                <w:u w:val="none"/>
              </w:rPr>
            </w:pPr>
          </w:p>
        </w:tc>
        <w:tc>
          <w:tcPr>
            <w:tcW w:w="3874" w:type="dxa"/>
            <w:tcBorders>
              <w:tl2br w:val="nil"/>
              <w:tr2bl w:val="nil"/>
            </w:tcBorders>
            <w:shd w:val="clear" w:color="auto" w:fill="auto"/>
            <w:noWrap/>
            <w:vAlign w:val="center"/>
          </w:tcPr>
          <w:p w14:paraId="458E2C1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上海、浙江等长三角周边</w:t>
            </w:r>
          </w:p>
        </w:tc>
        <w:tc>
          <w:tcPr>
            <w:tcW w:w="2535" w:type="dxa"/>
            <w:tcBorders>
              <w:tl2br w:val="nil"/>
              <w:tr2bl w:val="nil"/>
            </w:tcBorders>
            <w:shd w:val="clear" w:color="auto" w:fill="auto"/>
            <w:noWrap/>
            <w:vAlign w:val="center"/>
          </w:tcPr>
          <w:p w14:paraId="1174713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32%</w:t>
            </w:r>
          </w:p>
        </w:tc>
      </w:tr>
      <w:tr w14:paraId="279191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bottom w:val="nil"/>
            </w:tcBorders>
            <w:shd w:val="clear" w:color="auto" w:fill="auto"/>
            <w:noWrap/>
            <w:vAlign w:val="center"/>
          </w:tcPr>
          <w:p w14:paraId="2DD26AF9">
            <w:pPr>
              <w:jc w:val="center"/>
              <w:rPr>
                <w:rFonts w:hint="default" w:ascii="Times New Roman" w:hAnsi="Times New Roman" w:eastAsia="宋体" w:cs="Times New Roman"/>
                <w:i w:val="0"/>
                <w:iCs w:val="0"/>
                <w:color w:val="000000"/>
                <w:sz w:val="21"/>
                <w:szCs w:val="21"/>
                <w:u w:val="none"/>
              </w:rPr>
            </w:pPr>
          </w:p>
        </w:tc>
        <w:tc>
          <w:tcPr>
            <w:tcW w:w="3874" w:type="dxa"/>
            <w:tcBorders>
              <w:bottom w:val="nil"/>
            </w:tcBorders>
            <w:shd w:val="clear" w:color="auto" w:fill="auto"/>
            <w:noWrap/>
            <w:vAlign w:val="center"/>
          </w:tcPr>
          <w:p w14:paraId="56F1027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其他省份</w:t>
            </w:r>
          </w:p>
        </w:tc>
        <w:tc>
          <w:tcPr>
            <w:tcW w:w="2535" w:type="dxa"/>
            <w:tcBorders>
              <w:bottom w:val="nil"/>
            </w:tcBorders>
            <w:shd w:val="clear" w:color="auto" w:fill="auto"/>
            <w:noWrap/>
            <w:vAlign w:val="center"/>
          </w:tcPr>
          <w:p w14:paraId="272DA67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30%</w:t>
            </w:r>
          </w:p>
        </w:tc>
      </w:tr>
      <w:tr w14:paraId="18757C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op w:val="nil"/>
              <w:bottom w:val="single" w:color="auto" w:sz="12" w:space="0"/>
            </w:tcBorders>
            <w:shd w:val="clear" w:color="auto" w:fill="auto"/>
            <w:noWrap/>
            <w:vAlign w:val="center"/>
          </w:tcPr>
          <w:p w14:paraId="197081DF">
            <w:pPr>
              <w:keepNext w:val="0"/>
              <w:keepLines w:val="0"/>
              <w:widowControl/>
              <w:suppressLineNumbers w:val="0"/>
              <w:jc w:val="center"/>
              <w:textAlignment w:val="center"/>
              <w:rPr>
                <w:rFonts w:hint="default" w:ascii="Times New Roman" w:hAnsi="Times New Roman" w:eastAsia="宋体" w:cs="Times New Roman"/>
                <w:i w:val="0"/>
                <w:iCs w:val="0"/>
                <w:color w:val="1A202C"/>
                <w:kern w:val="0"/>
                <w:sz w:val="21"/>
                <w:szCs w:val="21"/>
                <w:u w:val="none"/>
                <w:lang w:val="en-US" w:eastAsia="zh-CN" w:bidi="ar"/>
              </w:rPr>
            </w:pPr>
          </w:p>
        </w:tc>
        <w:tc>
          <w:tcPr>
            <w:tcW w:w="3874" w:type="dxa"/>
            <w:tcBorders>
              <w:top w:val="nil"/>
              <w:bottom w:val="single" w:color="auto" w:sz="12" w:space="0"/>
            </w:tcBorders>
            <w:shd w:val="clear" w:color="auto" w:fill="auto"/>
            <w:noWrap/>
            <w:vAlign w:val="center"/>
          </w:tcPr>
          <w:p w14:paraId="73754762">
            <w:pPr>
              <w:keepNext w:val="0"/>
              <w:keepLines w:val="0"/>
              <w:widowControl/>
              <w:suppressLineNumbers w:val="0"/>
              <w:jc w:val="center"/>
              <w:textAlignment w:val="center"/>
              <w:rPr>
                <w:rFonts w:hint="default" w:ascii="Times New Roman" w:hAnsi="Times New Roman" w:eastAsia="宋体" w:cs="Times New Roman"/>
                <w:i w:val="0"/>
                <w:iCs w:val="0"/>
                <w:color w:val="1A202C"/>
                <w:kern w:val="0"/>
                <w:sz w:val="21"/>
                <w:szCs w:val="21"/>
                <w:u w:val="none"/>
                <w:lang w:val="en-US" w:eastAsia="zh-CN" w:bidi="ar"/>
              </w:rPr>
            </w:pPr>
          </w:p>
        </w:tc>
        <w:tc>
          <w:tcPr>
            <w:tcW w:w="2535" w:type="dxa"/>
            <w:tcBorders>
              <w:top w:val="nil"/>
              <w:bottom w:val="single" w:color="auto" w:sz="12" w:space="0"/>
            </w:tcBorders>
            <w:shd w:val="clear" w:color="auto" w:fill="auto"/>
            <w:noWrap/>
            <w:vAlign w:val="center"/>
          </w:tcPr>
          <w:p w14:paraId="710849C0">
            <w:pPr>
              <w:keepNext w:val="0"/>
              <w:keepLines w:val="0"/>
              <w:widowControl/>
              <w:suppressLineNumbers w:val="0"/>
              <w:jc w:val="right"/>
              <w:textAlignment w:val="center"/>
              <w:rPr>
                <w:rFonts w:hint="default" w:ascii="Times New Roman" w:hAnsi="Times New Roman" w:eastAsia="宋体" w:cs="Times New Roman"/>
                <w:i w:val="0"/>
                <w:iCs w:val="0"/>
                <w:color w:val="1A202C"/>
                <w:kern w:val="0"/>
                <w:sz w:val="21"/>
                <w:szCs w:val="21"/>
                <w:u w:val="none"/>
                <w:lang w:val="en-US" w:eastAsia="zh-CN" w:bidi="ar"/>
              </w:rPr>
            </w:pPr>
            <w:r>
              <w:rPr>
                <w:rFonts w:hint="eastAsia" w:ascii="Times New Roman" w:hAnsi="Times New Roman" w:cs="Times New Roman"/>
                <w:i w:val="0"/>
                <w:iCs w:val="0"/>
                <w:color w:val="1A202C"/>
                <w:kern w:val="0"/>
                <w:sz w:val="21"/>
                <w:szCs w:val="21"/>
                <w:u w:val="none"/>
                <w:lang w:val="en-US" w:eastAsia="zh-CN" w:bidi="ar"/>
              </w:rPr>
              <w:t>续表</w:t>
            </w:r>
            <w:r>
              <w:rPr>
                <w:rStyle w:val="19"/>
                <w:rFonts w:hint="default" w:ascii="Times New Roman" w:hAnsi="Times New Roman" w:eastAsia="宋体" w:cs="Times New Roman"/>
                <w:sz w:val="21"/>
                <w:szCs w:val="21"/>
                <w:lang w:val="en-US" w:eastAsia="zh-CN"/>
              </w:rPr>
              <w:t>3-3</w:t>
            </w:r>
          </w:p>
        </w:tc>
      </w:tr>
      <w:tr w14:paraId="6F5DBE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op w:val="single" w:color="auto" w:sz="12" w:space="0"/>
              <w:tl2br w:val="nil"/>
              <w:tr2bl w:val="nil"/>
            </w:tcBorders>
            <w:shd w:val="clear" w:color="auto" w:fill="auto"/>
            <w:noWrap/>
            <w:vAlign w:val="center"/>
          </w:tcPr>
          <w:p w14:paraId="0B015EA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购买目的</w:t>
            </w:r>
          </w:p>
        </w:tc>
        <w:tc>
          <w:tcPr>
            <w:tcW w:w="3874" w:type="dxa"/>
            <w:tcBorders>
              <w:top w:val="single" w:color="auto" w:sz="12" w:space="0"/>
              <w:tl2br w:val="nil"/>
              <w:tr2bl w:val="nil"/>
            </w:tcBorders>
            <w:shd w:val="clear" w:color="auto" w:fill="auto"/>
            <w:noWrap/>
            <w:vAlign w:val="center"/>
          </w:tcPr>
          <w:p w14:paraId="01FCC14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日常自用</w:t>
            </w:r>
          </w:p>
        </w:tc>
        <w:tc>
          <w:tcPr>
            <w:tcW w:w="2535" w:type="dxa"/>
            <w:tcBorders>
              <w:top w:val="single" w:color="auto" w:sz="12" w:space="0"/>
              <w:tl2br w:val="nil"/>
              <w:tr2bl w:val="nil"/>
            </w:tcBorders>
            <w:shd w:val="clear" w:color="auto" w:fill="auto"/>
            <w:noWrap/>
            <w:vAlign w:val="center"/>
          </w:tcPr>
          <w:p w14:paraId="5ED1C9F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65%</w:t>
            </w:r>
          </w:p>
        </w:tc>
      </w:tr>
      <w:tr w14:paraId="589F66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exact"/>
          <w:jc w:val="center"/>
        </w:trPr>
        <w:tc>
          <w:tcPr>
            <w:tcW w:w="2210" w:type="dxa"/>
            <w:tcBorders>
              <w:tl2br w:val="nil"/>
              <w:tr2bl w:val="nil"/>
            </w:tcBorders>
            <w:shd w:val="clear" w:color="auto" w:fill="auto"/>
            <w:noWrap/>
            <w:vAlign w:val="center"/>
          </w:tcPr>
          <w:p w14:paraId="1278A5B4">
            <w:pPr>
              <w:jc w:val="center"/>
              <w:rPr>
                <w:rFonts w:hint="default" w:ascii="Times New Roman" w:hAnsi="Times New Roman" w:eastAsia="宋体" w:cs="Times New Roman"/>
                <w:i w:val="0"/>
                <w:iCs w:val="0"/>
                <w:color w:val="000000"/>
                <w:sz w:val="21"/>
                <w:szCs w:val="21"/>
                <w:u w:val="none"/>
              </w:rPr>
            </w:pPr>
          </w:p>
        </w:tc>
        <w:tc>
          <w:tcPr>
            <w:tcW w:w="3874" w:type="dxa"/>
            <w:tcBorders>
              <w:tl2br w:val="nil"/>
              <w:tr2bl w:val="nil"/>
            </w:tcBorders>
            <w:shd w:val="clear" w:color="auto" w:fill="auto"/>
            <w:noWrap/>
            <w:vAlign w:val="center"/>
          </w:tcPr>
          <w:p w14:paraId="6706619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礼品消费</w:t>
            </w:r>
          </w:p>
        </w:tc>
        <w:tc>
          <w:tcPr>
            <w:tcW w:w="2535" w:type="dxa"/>
            <w:tcBorders>
              <w:tl2br w:val="nil"/>
              <w:tr2bl w:val="nil"/>
            </w:tcBorders>
            <w:shd w:val="clear" w:color="auto" w:fill="auto"/>
            <w:noWrap/>
            <w:vAlign w:val="center"/>
          </w:tcPr>
          <w:p w14:paraId="5CF5C94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1A202C"/>
                <w:kern w:val="0"/>
                <w:sz w:val="21"/>
                <w:szCs w:val="21"/>
                <w:u w:val="none"/>
                <w:lang w:val="en-US" w:eastAsia="zh-CN" w:bidi="ar"/>
              </w:rPr>
              <w:t>35%</w:t>
            </w:r>
          </w:p>
        </w:tc>
      </w:tr>
    </w:tbl>
    <w:p w14:paraId="0B6412C3">
      <w:pPr>
        <w:keepNext w:val="0"/>
        <w:keepLines w:val="0"/>
        <w:pageBreakBefore w:val="0"/>
        <w:widowControl/>
        <w:kinsoku/>
        <w:wordWrap/>
        <w:overflowPunct/>
        <w:topLinePunct w:val="0"/>
        <w:autoSpaceDE/>
        <w:autoSpaceDN/>
        <w:bidi w:val="0"/>
        <w:adjustRightInd/>
        <w:snapToGrid/>
        <w:spacing w:after="0" w:line="400" w:lineRule="exact"/>
        <w:ind w:left="0" w:leftChars="0" w:firstLine="480" w:firstLineChars="20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根据问卷调查结果，南京盐水鸭电商消费者具有如下特点：</w:t>
      </w:r>
      <w:r>
        <w:rPr>
          <w:rFonts w:ascii="宋体" w:hAnsi="宋体" w:eastAsia="宋体" w:cs="宋体"/>
          <w:sz w:val="24"/>
          <w:szCs w:val="24"/>
        </w:rPr>
        <w:t>从年龄分布来看（见图</w:t>
      </w:r>
      <w:r>
        <w:rPr>
          <w:rFonts w:hint="default" w:ascii="Times New Roman" w:hAnsi="Times New Roman" w:eastAsia="宋体" w:cs="Times New Roman"/>
          <w:sz w:val="24"/>
          <w:szCs w:val="24"/>
        </w:rPr>
        <w:t>3-</w:t>
      </w:r>
      <w:r>
        <w:rPr>
          <w:rFonts w:hint="eastAsia" w:cs="Times New Roman"/>
          <w:sz w:val="24"/>
          <w:szCs w:val="24"/>
          <w:lang w:val="en-US" w:eastAsia="zh-CN"/>
        </w:rPr>
        <w:t>4</w:t>
      </w:r>
      <w:r>
        <w:rPr>
          <w:rFonts w:ascii="宋体" w:hAnsi="宋体" w:eastAsia="宋体" w:cs="宋体"/>
          <w:sz w:val="24"/>
          <w:szCs w:val="24"/>
        </w:rPr>
        <w:t>），</w:t>
      </w:r>
      <w:r>
        <w:rPr>
          <w:rFonts w:hint="default" w:ascii="Times New Roman" w:hAnsi="Times New Roman" w:eastAsia="宋体" w:cs="Times New Roman"/>
          <w:sz w:val="24"/>
          <w:szCs w:val="24"/>
        </w:rPr>
        <w:t>25-35</w:t>
      </w:r>
      <w:r>
        <w:rPr>
          <w:rFonts w:ascii="宋体" w:hAnsi="宋体" w:eastAsia="宋体" w:cs="宋体"/>
          <w:sz w:val="24"/>
          <w:szCs w:val="24"/>
        </w:rPr>
        <w:t>岁的中青年群体是南京盐水鸭电商消费的绝对主力，占比达</w:t>
      </w:r>
      <w:r>
        <w:rPr>
          <w:rFonts w:hint="default" w:ascii="Times New Roman" w:hAnsi="Times New Roman" w:eastAsia="宋体" w:cs="Times New Roman"/>
          <w:sz w:val="24"/>
          <w:szCs w:val="24"/>
        </w:rPr>
        <w:t>54%</w:t>
      </w:r>
      <w:r>
        <w:rPr>
          <w:rFonts w:ascii="宋体" w:hAnsi="宋体" w:eastAsia="宋体" w:cs="宋体"/>
          <w:sz w:val="24"/>
          <w:szCs w:val="24"/>
        </w:rPr>
        <w:t>，其中</w:t>
      </w:r>
      <w:r>
        <w:rPr>
          <w:rFonts w:hint="default" w:ascii="Times New Roman" w:hAnsi="Times New Roman" w:eastAsia="宋体" w:cs="Times New Roman"/>
          <w:sz w:val="24"/>
          <w:szCs w:val="24"/>
        </w:rPr>
        <w:t>25-30</w:t>
      </w:r>
      <w:r>
        <w:rPr>
          <w:rFonts w:ascii="宋体" w:hAnsi="宋体" w:eastAsia="宋体" w:cs="宋体"/>
          <w:sz w:val="24"/>
          <w:szCs w:val="24"/>
        </w:rPr>
        <w:t>岁消费者占</w:t>
      </w:r>
      <w:r>
        <w:rPr>
          <w:rFonts w:hint="default" w:ascii="Times New Roman" w:hAnsi="Times New Roman" w:eastAsia="宋体" w:cs="Times New Roman"/>
          <w:sz w:val="24"/>
          <w:szCs w:val="24"/>
        </w:rPr>
        <w:t>28%</w:t>
      </w:r>
      <w:r>
        <w:rPr>
          <w:rFonts w:ascii="宋体" w:hAnsi="宋体" w:eastAsia="宋体" w:cs="宋体"/>
          <w:sz w:val="24"/>
          <w:szCs w:val="24"/>
        </w:rPr>
        <w:t>，</w:t>
      </w:r>
      <w:r>
        <w:rPr>
          <w:rFonts w:hint="default" w:ascii="Times New Roman" w:hAnsi="Times New Roman" w:eastAsia="宋体" w:cs="Times New Roman"/>
          <w:sz w:val="24"/>
          <w:szCs w:val="24"/>
        </w:rPr>
        <w:t>31-35</w:t>
      </w:r>
      <w:r>
        <w:rPr>
          <w:rFonts w:ascii="宋体" w:hAnsi="宋体" w:eastAsia="宋体" w:cs="宋体"/>
          <w:sz w:val="24"/>
          <w:szCs w:val="24"/>
        </w:rPr>
        <w:t>岁消费者占</w:t>
      </w:r>
      <w:r>
        <w:rPr>
          <w:rFonts w:hint="default" w:ascii="Times New Roman" w:hAnsi="Times New Roman" w:eastAsia="宋体" w:cs="Times New Roman"/>
          <w:sz w:val="24"/>
          <w:szCs w:val="24"/>
        </w:rPr>
        <w:t>26%</w:t>
      </w:r>
      <w:r>
        <w:rPr>
          <w:rFonts w:ascii="宋体" w:hAnsi="宋体" w:eastAsia="宋体" w:cs="宋体"/>
          <w:sz w:val="24"/>
          <w:szCs w:val="24"/>
        </w:rPr>
        <w:t>。这一群体大多为职场人士，消费能力较强，习惯通过电商平台购买食品，注重产品的便捷性、品质和品牌，同时对新鲜事物接受度高，是直播电商、内容电商的主要受众。</w:t>
      </w:r>
      <w:r>
        <w:rPr>
          <w:rFonts w:hint="default" w:ascii="Times New Roman" w:hAnsi="Times New Roman" w:eastAsia="宋体" w:cs="Times New Roman"/>
          <w:sz w:val="24"/>
          <w:szCs w:val="24"/>
        </w:rPr>
        <w:t>18-24</w:t>
      </w:r>
      <w:r>
        <w:rPr>
          <w:rFonts w:ascii="宋体" w:hAnsi="宋体" w:eastAsia="宋体" w:cs="宋体"/>
          <w:sz w:val="24"/>
          <w:szCs w:val="24"/>
        </w:rPr>
        <w:t>岁的</w:t>
      </w:r>
      <w:r>
        <w:rPr>
          <w:rFonts w:hint="default" w:ascii="Times New Roman" w:hAnsi="Times New Roman" w:eastAsia="宋体" w:cs="Times New Roman"/>
          <w:sz w:val="24"/>
          <w:szCs w:val="24"/>
        </w:rPr>
        <w:t>Z</w:t>
      </w:r>
      <w:r>
        <w:rPr>
          <w:rFonts w:ascii="宋体" w:hAnsi="宋体" w:eastAsia="宋体" w:cs="宋体"/>
          <w:sz w:val="24"/>
          <w:szCs w:val="24"/>
        </w:rPr>
        <w:t>世代消费者占比</w:t>
      </w:r>
      <w:r>
        <w:rPr>
          <w:rFonts w:hint="default" w:ascii="Times New Roman" w:hAnsi="Times New Roman" w:eastAsia="宋体" w:cs="Times New Roman"/>
          <w:sz w:val="24"/>
          <w:szCs w:val="24"/>
        </w:rPr>
        <w:t>12%</w:t>
      </w:r>
      <w:r>
        <w:rPr>
          <w:rFonts w:ascii="宋体" w:hAnsi="宋体" w:eastAsia="宋体" w:cs="宋体"/>
          <w:sz w:val="24"/>
          <w:szCs w:val="24"/>
        </w:rPr>
        <w:t>，他们更注重产品的颜值、社交属性和个性化体验，对文创包装、联名款产品的兴趣较高。</w:t>
      </w:r>
      <w:r>
        <w:rPr>
          <w:rFonts w:hint="default" w:ascii="Times New Roman" w:hAnsi="Times New Roman" w:eastAsia="宋体" w:cs="Times New Roman"/>
          <w:sz w:val="24"/>
          <w:szCs w:val="24"/>
        </w:rPr>
        <w:t>36-40</w:t>
      </w:r>
      <w:r>
        <w:rPr>
          <w:rFonts w:ascii="宋体" w:hAnsi="宋体" w:eastAsia="宋体" w:cs="宋体"/>
          <w:sz w:val="24"/>
          <w:szCs w:val="24"/>
        </w:rPr>
        <w:t>岁消费者占比</w:t>
      </w:r>
      <w:r>
        <w:rPr>
          <w:rFonts w:hint="default" w:ascii="Times New Roman" w:hAnsi="Times New Roman" w:eastAsia="宋体" w:cs="Times New Roman"/>
          <w:sz w:val="24"/>
          <w:szCs w:val="24"/>
        </w:rPr>
        <w:t>18%</w:t>
      </w:r>
      <w:r>
        <w:rPr>
          <w:rFonts w:ascii="宋体" w:hAnsi="宋体" w:eastAsia="宋体" w:cs="宋体"/>
          <w:sz w:val="24"/>
          <w:szCs w:val="24"/>
        </w:rPr>
        <w:t>，</w:t>
      </w:r>
      <w:r>
        <w:rPr>
          <w:rFonts w:hint="default" w:ascii="Times New Roman" w:hAnsi="Times New Roman" w:eastAsia="宋体" w:cs="Times New Roman"/>
          <w:sz w:val="24"/>
          <w:szCs w:val="24"/>
        </w:rPr>
        <w:t>41-45</w:t>
      </w:r>
      <w:r>
        <w:rPr>
          <w:rFonts w:ascii="宋体" w:hAnsi="宋体" w:eastAsia="宋体" w:cs="宋体"/>
          <w:sz w:val="24"/>
          <w:szCs w:val="24"/>
        </w:rPr>
        <w:t>岁占比</w:t>
      </w:r>
      <w:r>
        <w:rPr>
          <w:rFonts w:hint="default" w:ascii="Times New Roman" w:hAnsi="Times New Roman" w:eastAsia="宋体" w:cs="Times New Roman"/>
          <w:sz w:val="24"/>
          <w:szCs w:val="24"/>
        </w:rPr>
        <w:t>10%</w:t>
      </w:r>
      <w:r>
        <w:rPr>
          <w:rFonts w:ascii="宋体" w:hAnsi="宋体" w:eastAsia="宋体" w:cs="宋体"/>
          <w:sz w:val="24"/>
          <w:szCs w:val="24"/>
        </w:rPr>
        <w:t>，</w:t>
      </w:r>
      <w:r>
        <w:rPr>
          <w:rFonts w:hint="default" w:ascii="Times New Roman" w:hAnsi="Times New Roman" w:eastAsia="宋体" w:cs="Times New Roman"/>
          <w:sz w:val="24"/>
          <w:szCs w:val="24"/>
        </w:rPr>
        <w:t>46</w:t>
      </w:r>
      <w:r>
        <w:rPr>
          <w:rFonts w:ascii="宋体" w:hAnsi="宋体" w:eastAsia="宋体" w:cs="宋体"/>
          <w:sz w:val="24"/>
          <w:szCs w:val="24"/>
        </w:rPr>
        <w:t>岁以上占比</w:t>
      </w:r>
      <w:r>
        <w:rPr>
          <w:rFonts w:hint="default" w:ascii="Times New Roman" w:hAnsi="Times New Roman" w:eastAsia="宋体" w:cs="Times New Roman"/>
          <w:sz w:val="24"/>
          <w:szCs w:val="24"/>
        </w:rPr>
        <w:t>6%</w:t>
      </w:r>
      <w:r>
        <w:rPr>
          <w:rFonts w:ascii="宋体" w:hAnsi="宋体" w:eastAsia="宋体" w:cs="宋体"/>
          <w:sz w:val="24"/>
          <w:szCs w:val="24"/>
        </w:rPr>
        <w:t>，这部分群体更看重传统口味和老字号品牌，消费决策相对理性，复购率较高</w:t>
      </w:r>
    </w:p>
    <w:p w14:paraId="2C80896D">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ascii="宋体" w:hAnsi="宋体" w:eastAsia="宋体" w:cs="宋体"/>
          <w:sz w:val="24"/>
          <w:szCs w:val="24"/>
        </w:rPr>
      </w:pPr>
      <w:r>
        <w:rPr>
          <w:rFonts w:ascii="宋体" w:hAnsi="宋体" w:eastAsia="宋体" w:cs="宋体"/>
          <w:sz w:val="24"/>
          <w:szCs w:val="24"/>
        </w:rPr>
        <w:t>从地域分布来看，南京盐水鸭电商消费者具有明显的区域集中性。江苏省本地消费者占比</w:t>
      </w:r>
      <w:r>
        <w:rPr>
          <w:rFonts w:hint="default" w:ascii="Times New Roman" w:hAnsi="Times New Roman" w:eastAsia="宋体" w:cs="Times New Roman"/>
          <w:sz w:val="24"/>
          <w:szCs w:val="24"/>
        </w:rPr>
        <w:t>38%</w:t>
      </w:r>
      <w:r>
        <w:rPr>
          <w:rFonts w:ascii="宋体" w:hAnsi="宋体" w:eastAsia="宋体" w:cs="宋体"/>
          <w:sz w:val="24"/>
          <w:szCs w:val="24"/>
        </w:rPr>
        <w:t>，其中南京市消费者占江苏省内消费的</w:t>
      </w:r>
      <w:r>
        <w:rPr>
          <w:rFonts w:hint="default" w:ascii="Times New Roman" w:hAnsi="Times New Roman" w:eastAsia="宋体" w:cs="Times New Roman"/>
          <w:sz w:val="24"/>
          <w:szCs w:val="24"/>
        </w:rPr>
        <w:t>60%</w:t>
      </w:r>
      <w:r>
        <w:rPr>
          <w:rFonts w:ascii="宋体" w:hAnsi="宋体" w:eastAsia="宋体" w:cs="宋体"/>
          <w:sz w:val="24"/>
          <w:szCs w:val="24"/>
        </w:rPr>
        <w:t>以上，是核心消费市场。上海、浙江等长三角周边地区消费者占比</w:t>
      </w:r>
      <w:r>
        <w:rPr>
          <w:rFonts w:hint="default" w:ascii="Times New Roman" w:hAnsi="Times New Roman" w:eastAsia="宋体" w:cs="Times New Roman"/>
          <w:sz w:val="24"/>
          <w:szCs w:val="24"/>
        </w:rPr>
        <w:t>32%</w:t>
      </w:r>
      <w:r>
        <w:rPr>
          <w:rFonts w:ascii="宋体" w:hAnsi="宋体" w:eastAsia="宋体" w:cs="宋体"/>
          <w:sz w:val="24"/>
          <w:szCs w:val="24"/>
        </w:rPr>
        <w:t>，得益于便捷的交通和物流条件，以及相近的饮食文化，成为南京盐水鸭向外辐射的第一梯队。其他省份消费者占比</w:t>
      </w:r>
      <w:r>
        <w:rPr>
          <w:rFonts w:hint="default" w:ascii="Times New Roman" w:hAnsi="Times New Roman" w:eastAsia="宋体" w:cs="Times New Roman"/>
          <w:sz w:val="24"/>
          <w:szCs w:val="24"/>
        </w:rPr>
        <w:t>30%</w:t>
      </w:r>
      <w:r>
        <w:rPr>
          <w:rFonts w:ascii="宋体" w:hAnsi="宋体" w:eastAsia="宋体" w:cs="宋体"/>
          <w:sz w:val="24"/>
          <w:szCs w:val="24"/>
        </w:rPr>
        <w:t>，主要集中在经济发达地区，说明南京盐水鸭的全国影响力正在逐步提升，但仍有较大的拓展空间。</w:t>
      </w:r>
    </w:p>
    <w:p w14:paraId="7245A474">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从购买目的来看，日常自用消费占比</w:t>
      </w:r>
      <w:r>
        <w:rPr>
          <w:rFonts w:hint="default" w:ascii="Times New Roman" w:hAnsi="Times New Roman" w:eastAsia="宋体" w:cs="Times New Roman"/>
          <w:sz w:val="24"/>
          <w:szCs w:val="24"/>
        </w:rPr>
        <w:t>65%</w:t>
      </w:r>
      <w:r>
        <w:rPr>
          <w:rFonts w:ascii="宋体" w:hAnsi="宋体" w:eastAsia="宋体" w:cs="宋体"/>
          <w:sz w:val="24"/>
          <w:szCs w:val="24"/>
        </w:rPr>
        <w:t>，是最主要的消费场景，消费者通常购买小包装、即食型产品，用于家庭用餐、办公室加餐等。礼品消费占比</w:t>
      </w:r>
      <w:r>
        <w:rPr>
          <w:rFonts w:hint="default" w:ascii="Times New Roman" w:hAnsi="Times New Roman" w:eastAsia="宋体" w:cs="Times New Roman"/>
          <w:sz w:val="24"/>
          <w:szCs w:val="24"/>
        </w:rPr>
        <w:t>35%</w:t>
      </w:r>
      <w:r>
        <w:rPr>
          <w:rFonts w:ascii="宋体" w:hAnsi="宋体" w:eastAsia="宋体" w:cs="宋体"/>
          <w:sz w:val="24"/>
          <w:szCs w:val="24"/>
        </w:rPr>
        <w:t>，主要集中在春节、中秋、国庆等传统节日，消费者倾向于购买礼盒装产品，用于赠送亲友或商务往来，这部分消费对产品的包装设计、品牌知名度和文化内涵要求较高。</w:t>
      </w:r>
    </w:p>
    <w:p w14:paraId="73F239DA">
      <w:pPr>
        <w:spacing w:before="200" w:after="100"/>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4741545" cy="3075305"/>
            <wp:effectExtent l="0" t="0" r="0" b="0"/>
            <wp:docPr id="13"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3"/>
                    <pic:cNvPicPr>
                      <a:picLocks noChangeAspect="1"/>
                    </pic:cNvPicPr>
                  </pic:nvPicPr>
                  <pic:blipFill>
                    <a:blip r:embed="rId17"/>
                    <a:srcRect t="6614" r="-796"/>
                    <a:stretch>
                      <a:fillRect/>
                    </a:stretch>
                  </pic:blipFill>
                  <pic:spPr>
                    <a:xfrm>
                      <a:off x="0" y="0"/>
                      <a:ext cx="4741545" cy="3075305"/>
                    </a:xfrm>
                    <a:prstGeom prst="rect">
                      <a:avLst/>
                    </a:prstGeom>
                  </pic:spPr>
                </pic:pic>
              </a:graphicData>
            </a:graphic>
          </wp:inline>
        </w:drawing>
      </w:r>
    </w:p>
    <w:p w14:paraId="01C63B78">
      <w:pPr>
        <w:widowControl w:val="0"/>
        <w:adjustRightInd w:val="0"/>
        <w:snapToGrid w:val="0"/>
        <w:spacing w:after="0" w:line="240" w:lineRule="auto"/>
        <w:ind w:firstLine="0" w:firstLineChars="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图3-</w:t>
      </w:r>
      <w:r>
        <w:rPr>
          <w:rFonts w:hint="eastAsia" w:cs="Times New Roman"/>
          <w:color w:val="auto"/>
          <w:kern w:val="2"/>
          <w:sz w:val="21"/>
          <w:szCs w:val="21"/>
          <w:lang w:val="en-US" w:eastAsia="zh-CN" w:bidi="ar-SA"/>
        </w:rPr>
        <w:t>4</w:t>
      </w:r>
      <w:r>
        <w:rPr>
          <w:rFonts w:hint="default" w:ascii="Times New Roman" w:hAnsi="Times New Roman" w:cs="Times New Roman"/>
          <w:color w:val="auto"/>
          <w:kern w:val="2"/>
          <w:sz w:val="21"/>
          <w:szCs w:val="21"/>
          <w:lang w:val="en-US" w:eastAsia="zh-CN" w:bidi="ar-SA"/>
        </w:rPr>
        <w:t xml:space="preserve">  </w:t>
      </w:r>
      <w:r>
        <w:rPr>
          <w:rFonts w:hint="default" w:ascii="Times New Roman" w:hAnsi="Times New Roman" w:eastAsia="宋体" w:cs="Times New Roman"/>
          <w:color w:val="auto"/>
          <w:kern w:val="2"/>
          <w:sz w:val="21"/>
          <w:szCs w:val="21"/>
          <w:lang w:val="en-US" w:eastAsia="zh-CN" w:bidi="ar-SA"/>
        </w:rPr>
        <w:t>南京盐水鸭电商消费者年龄分布</w:t>
      </w:r>
    </w:p>
    <w:p w14:paraId="3D4F6764">
      <w:pPr>
        <w:widowControl w:val="0"/>
        <w:adjustRightInd w:val="0"/>
        <w:snapToGrid w:val="0"/>
        <w:spacing w:after="0" w:line="240" w:lineRule="auto"/>
        <w:ind w:firstLine="0" w:firstLineChars="0"/>
        <w:jc w:val="both"/>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数据来源：</w:t>
      </w:r>
      <w:r>
        <w:rPr>
          <w:rFonts w:hint="eastAsia" w:cs="Times New Roman"/>
          <w:color w:val="auto"/>
          <w:kern w:val="2"/>
          <w:sz w:val="21"/>
          <w:szCs w:val="21"/>
          <w:lang w:val="en-US" w:eastAsia="zh-CN" w:bidi="ar-SA"/>
        </w:rPr>
        <w:t>调查问卷</w:t>
      </w:r>
    </w:p>
    <w:p w14:paraId="082B780D">
      <w:pPr>
        <w:pStyle w:val="4"/>
        <w:widowControl w:val="0"/>
        <w:adjustRightInd w:val="0"/>
        <w:snapToGrid w:val="0"/>
        <w:spacing w:before="163" w:beforeLines="50" w:after="163" w:afterLines="50" w:line="240" w:lineRule="auto"/>
        <w:ind w:firstLineChars="0"/>
        <w:rPr>
          <w:rFonts w:hint="default" w:ascii="Times New Roman" w:hAnsi="Times New Roman" w:eastAsia="黑体" w:cs="Times New Roman"/>
          <w:b w:val="0"/>
          <w:bCs/>
          <w:color w:val="auto"/>
          <w:kern w:val="2"/>
          <w:sz w:val="28"/>
          <w:szCs w:val="32"/>
          <w:lang w:val="en-US" w:eastAsia="zh-CN" w:bidi="ar-SA"/>
        </w:rPr>
      </w:pPr>
      <w:bookmarkStart w:id="119" w:name="_Toc626030381"/>
      <w:bookmarkStart w:id="120" w:name="_Toc8096546"/>
      <w:bookmarkStart w:id="121" w:name="_Toc754582606"/>
      <w:bookmarkStart w:id="122" w:name="_Toc25093"/>
      <w:bookmarkStart w:id="123" w:name="_Toc1806693052"/>
      <w:r>
        <w:rPr>
          <w:rFonts w:hint="default" w:ascii="Times New Roman" w:hAnsi="Times New Roman" w:eastAsia="黑体" w:cs="Times New Roman"/>
          <w:b w:val="0"/>
          <w:bCs/>
          <w:color w:val="auto"/>
          <w:kern w:val="2"/>
          <w:sz w:val="28"/>
          <w:szCs w:val="32"/>
          <w:lang w:val="en-US" w:eastAsia="zh-CN" w:bidi="ar-SA"/>
        </w:rPr>
        <w:t>3.3.3 消费者关注因素</w:t>
      </w:r>
      <w:bookmarkEnd w:id="119"/>
      <w:bookmarkEnd w:id="120"/>
      <w:bookmarkEnd w:id="121"/>
      <w:bookmarkEnd w:id="122"/>
      <w:bookmarkEnd w:id="123"/>
    </w:p>
    <w:p w14:paraId="70E14F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80" w:firstLineChars="200"/>
        <w:jc w:val="left"/>
        <w:textAlignment w:val="auto"/>
        <w:rPr>
          <w:color w:val="000000"/>
          <w:sz w:val="24"/>
          <w:szCs w:val="24"/>
        </w:rPr>
      </w:pPr>
      <w:r>
        <w:rPr>
          <w:rFonts w:ascii="宋体" w:hAnsi="宋体" w:eastAsia="宋体" w:cs="宋体"/>
          <w:color w:val="1A202C"/>
          <w:kern w:val="0"/>
          <w:sz w:val="24"/>
          <w:szCs w:val="24"/>
          <w:lang w:val="en-US" w:eastAsia="zh-CN" w:bidi="ar"/>
        </w:rPr>
        <w:t>调查结果显示，消费者在选购南京盐水鸭时，关注因素呈现出明显的层次性，口味品质、品牌安全仍是核心诉求，同时包装、文化、溯源等因素的重要性逐步提升，反映出消费升级背景下消费者需求的多元化趋势（</w:t>
      </w:r>
      <w:r>
        <w:rPr>
          <w:rFonts w:hint="eastAsia" w:ascii="宋体" w:hAnsi="宋体" w:eastAsia="宋体" w:cs="宋体"/>
          <w:color w:val="1A202C"/>
          <w:kern w:val="0"/>
          <w:sz w:val="24"/>
          <w:szCs w:val="24"/>
          <w:lang w:val="en-US" w:eastAsia="zh-CN" w:bidi="ar"/>
        </w:rPr>
        <w:t>如</w:t>
      </w:r>
      <w:r>
        <w:rPr>
          <w:rFonts w:ascii="宋体" w:hAnsi="宋体" w:eastAsia="宋体" w:cs="宋体"/>
          <w:color w:val="1A202C"/>
          <w:kern w:val="0"/>
          <w:sz w:val="24"/>
          <w:szCs w:val="24"/>
          <w:lang w:val="en-US" w:eastAsia="zh-CN" w:bidi="ar"/>
        </w:rPr>
        <w:t>图</w:t>
      </w:r>
      <w:r>
        <w:rPr>
          <w:rFonts w:hint="default" w:ascii="Times New Roman" w:hAnsi="Times New Roman" w:eastAsia="宋体" w:cs="Times New Roman"/>
          <w:color w:val="1A202C"/>
          <w:kern w:val="0"/>
          <w:sz w:val="24"/>
          <w:szCs w:val="24"/>
          <w:lang w:val="en-US" w:eastAsia="zh-CN" w:bidi="ar"/>
        </w:rPr>
        <w:t>3-6</w:t>
      </w:r>
      <w:r>
        <w:rPr>
          <w:rFonts w:hint="eastAsia" w:ascii="Times New Roman" w:hAnsi="Times New Roman" w:eastAsia="宋体" w:cs="Times New Roman"/>
          <w:color w:val="1A202C"/>
          <w:kern w:val="0"/>
          <w:sz w:val="24"/>
          <w:szCs w:val="24"/>
          <w:lang w:val="en-US" w:eastAsia="zh-CN" w:bidi="ar"/>
        </w:rPr>
        <w:t>所示</w:t>
      </w:r>
      <w:r>
        <w:rPr>
          <w:rFonts w:ascii="宋体" w:hAnsi="宋体" w:eastAsia="宋体" w:cs="宋体"/>
          <w:color w:val="1A202C"/>
          <w:kern w:val="0"/>
          <w:sz w:val="24"/>
          <w:szCs w:val="24"/>
          <w:lang w:val="en-US" w:eastAsia="zh-CN" w:bidi="ar"/>
        </w:rPr>
        <w:t>）。</w:t>
      </w:r>
    </w:p>
    <w:p w14:paraId="4F4AB51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80" w:firstLineChars="200"/>
        <w:jc w:val="left"/>
        <w:textAlignment w:val="auto"/>
        <w:rPr>
          <w:color w:val="000000"/>
          <w:sz w:val="24"/>
          <w:szCs w:val="24"/>
        </w:rPr>
      </w:pPr>
      <w:r>
        <w:rPr>
          <w:rFonts w:ascii="宋体" w:hAnsi="宋体" w:eastAsia="宋体" w:cs="宋体"/>
          <w:color w:val="1A202C"/>
          <w:kern w:val="0"/>
          <w:sz w:val="24"/>
          <w:szCs w:val="24"/>
          <w:lang w:val="en-US" w:eastAsia="zh-CN" w:bidi="ar"/>
        </w:rPr>
        <w:t>口味</w:t>
      </w:r>
      <w:r>
        <w:rPr>
          <w:rFonts w:hint="default" w:ascii="Times New Roman" w:hAnsi="Times New Roman" w:eastAsia="宋体" w:cs="Times New Roman"/>
          <w:color w:val="1A202C"/>
          <w:kern w:val="0"/>
          <w:sz w:val="24"/>
          <w:szCs w:val="24"/>
          <w:lang w:val="en-US" w:eastAsia="zh-CN" w:bidi="ar"/>
        </w:rPr>
        <w:t>/</w:t>
      </w:r>
      <w:r>
        <w:rPr>
          <w:rFonts w:ascii="宋体" w:hAnsi="宋体" w:eastAsia="宋体" w:cs="宋体"/>
          <w:color w:val="1A202C"/>
          <w:kern w:val="0"/>
          <w:sz w:val="24"/>
          <w:szCs w:val="24"/>
          <w:lang w:val="en-US" w:eastAsia="zh-CN" w:bidi="ar"/>
        </w:rPr>
        <w:t>风味以</w:t>
      </w:r>
      <w:r>
        <w:rPr>
          <w:rFonts w:hint="default" w:ascii="Times New Roman" w:hAnsi="Times New Roman" w:eastAsia="宋体" w:cs="Times New Roman"/>
          <w:color w:val="1A202C"/>
          <w:kern w:val="0"/>
          <w:sz w:val="24"/>
          <w:szCs w:val="24"/>
          <w:lang w:val="en-US" w:eastAsia="zh-CN" w:bidi="ar"/>
        </w:rPr>
        <w:t>92%</w:t>
      </w:r>
      <w:r>
        <w:rPr>
          <w:rFonts w:ascii="宋体" w:hAnsi="宋体" w:eastAsia="宋体" w:cs="宋体"/>
          <w:color w:val="1A202C"/>
          <w:kern w:val="0"/>
          <w:sz w:val="24"/>
          <w:szCs w:val="24"/>
          <w:lang w:val="en-US" w:eastAsia="zh-CN" w:bidi="ar"/>
        </w:rPr>
        <w:t>的关注度位居首位，是消费者选择盐水鸭的决定性因素。南京盐水鸭以“皮白肉嫩、肥而不腻、咸香适口”的独特风味著称，消费者对口味的正宗性要求极高，这也是老字号品牌能够长期占据市场优势的核心原因。品牌信誉以</w:t>
      </w:r>
      <w:r>
        <w:rPr>
          <w:rFonts w:hint="default" w:ascii="Times New Roman" w:hAnsi="Times New Roman" w:eastAsia="宋体" w:cs="Times New Roman"/>
          <w:color w:val="1A202C"/>
          <w:kern w:val="0"/>
          <w:sz w:val="24"/>
          <w:szCs w:val="24"/>
          <w:lang w:val="en-US" w:eastAsia="zh-CN" w:bidi="ar"/>
        </w:rPr>
        <w:t>78%</w:t>
      </w:r>
      <w:r>
        <w:rPr>
          <w:rFonts w:ascii="宋体" w:hAnsi="宋体" w:eastAsia="宋体" w:cs="宋体"/>
          <w:color w:val="1A202C"/>
          <w:kern w:val="0"/>
          <w:sz w:val="24"/>
          <w:szCs w:val="24"/>
          <w:lang w:val="en-US" w:eastAsia="zh-CN" w:bidi="ar"/>
        </w:rPr>
        <w:t>的关注度位列第二，消费者更倾向于选择知</w:t>
      </w:r>
      <w:bookmarkStart w:id="201" w:name="_GoBack"/>
      <w:bookmarkEnd w:id="201"/>
      <w:r>
        <w:rPr>
          <w:rFonts w:ascii="宋体" w:hAnsi="宋体" w:eastAsia="宋体" w:cs="宋体"/>
          <w:color w:val="1A202C"/>
          <w:kern w:val="0"/>
          <w:sz w:val="24"/>
          <w:szCs w:val="24"/>
          <w:lang w:val="en-US" w:eastAsia="zh-CN" w:bidi="ar"/>
        </w:rPr>
        <w:t>名度高、口碑好的品牌，认为品牌是产品质量的重要保障，尤其是在电商环境下，品牌能够有效降低消费者的决策风险。食品安全认证以</w:t>
      </w:r>
      <w:r>
        <w:rPr>
          <w:rFonts w:hint="default" w:ascii="Times New Roman" w:hAnsi="Times New Roman" w:eastAsia="宋体" w:cs="Times New Roman"/>
          <w:color w:val="1A202C"/>
          <w:kern w:val="0"/>
          <w:sz w:val="24"/>
          <w:szCs w:val="24"/>
          <w:lang w:val="en-US" w:eastAsia="zh-CN" w:bidi="ar"/>
        </w:rPr>
        <w:t>75%</w:t>
      </w:r>
      <w:r>
        <w:rPr>
          <w:rFonts w:ascii="宋体" w:hAnsi="宋体" w:eastAsia="宋体" w:cs="宋体"/>
          <w:color w:val="1A202C"/>
          <w:kern w:val="0"/>
          <w:sz w:val="24"/>
          <w:szCs w:val="24"/>
          <w:lang w:val="en-US" w:eastAsia="zh-CN" w:bidi="ar"/>
        </w:rPr>
        <w:t>的关注度排名第三，包括</w:t>
      </w:r>
      <w:r>
        <w:rPr>
          <w:rFonts w:hint="default" w:ascii="Times New Roman" w:hAnsi="Times New Roman" w:eastAsia="宋体" w:cs="Times New Roman"/>
          <w:color w:val="1A202C"/>
          <w:kern w:val="0"/>
          <w:sz w:val="24"/>
          <w:szCs w:val="24"/>
          <w:lang w:val="en-US" w:eastAsia="zh-CN" w:bidi="ar"/>
        </w:rPr>
        <w:t>SC</w:t>
      </w:r>
      <w:r>
        <w:rPr>
          <w:rFonts w:ascii="宋体" w:hAnsi="宋体" w:eastAsia="宋体" w:cs="宋体"/>
          <w:color w:val="1A202C"/>
          <w:kern w:val="0"/>
          <w:sz w:val="24"/>
          <w:szCs w:val="24"/>
          <w:lang w:val="en-US" w:eastAsia="zh-CN" w:bidi="ar"/>
        </w:rPr>
        <w:t>食品生产许可、绿色食品认证等，反映出消费者对食品安全问题的高度重视。</w:t>
      </w:r>
    </w:p>
    <w:p w14:paraId="1A517C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80" w:firstLineChars="200"/>
        <w:jc w:val="left"/>
        <w:textAlignment w:val="auto"/>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ascii="宋体" w:hAnsi="宋体" w:eastAsia="宋体" w:cs="宋体"/>
          <w:color w:val="1A202C"/>
          <w:kern w:val="0"/>
          <w:sz w:val="24"/>
          <w:szCs w:val="24"/>
          <w:lang w:val="en-US" w:eastAsia="zh-CN" w:bidi="ar"/>
        </w:rPr>
        <w:t>价格因素的关注度为</w:t>
      </w:r>
      <w:r>
        <w:rPr>
          <w:rFonts w:hint="default" w:ascii="Times New Roman" w:hAnsi="Times New Roman" w:eastAsia="宋体" w:cs="Times New Roman"/>
          <w:color w:val="1A202C"/>
          <w:kern w:val="0"/>
          <w:sz w:val="24"/>
          <w:szCs w:val="24"/>
          <w:lang w:val="en-US" w:eastAsia="zh-CN" w:bidi="ar"/>
        </w:rPr>
        <w:t>68%</w:t>
      </w:r>
      <w:r>
        <w:rPr>
          <w:rFonts w:ascii="宋体" w:hAnsi="宋体" w:eastAsia="宋体" w:cs="宋体"/>
          <w:color w:val="1A202C"/>
          <w:kern w:val="0"/>
          <w:sz w:val="24"/>
          <w:szCs w:val="24"/>
          <w:lang w:val="en-US" w:eastAsia="zh-CN" w:bidi="ar"/>
        </w:rPr>
        <w:t>，说明消费者对盐水鸭的价格较为敏感，但并非越低越好，而是更注重性价比，愿意为高品质、好品牌的产品支付合理的溢价。包装设计的关注度为</w:t>
      </w:r>
      <w:r>
        <w:rPr>
          <w:rFonts w:hint="default" w:ascii="Times New Roman" w:hAnsi="Times New Roman" w:eastAsia="宋体" w:cs="Times New Roman"/>
          <w:color w:val="1A202C"/>
          <w:kern w:val="0"/>
          <w:sz w:val="24"/>
          <w:szCs w:val="24"/>
          <w:lang w:val="en-US" w:eastAsia="zh-CN" w:bidi="ar"/>
        </w:rPr>
        <w:t>45%</w:t>
      </w:r>
      <w:r>
        <w:rPr>
          <w:rFonts w:ascii="宋体" w:hAnsi="宋体" w:eastAsia="宋体" w:cs="宋体"/>
          <w:color w:val="1A202C"/>
          <w:kern w:val="0"/>
          <w:sz w:val="24"/>
          <w:szCs w:val="24"/>
          <w:lang w:val="en-US" w:eastAsia="zh-CN" w:bidi="ar"/>
        </w:rPr>
        <w:t>，主要体现在礼品消费场景中，精美的文创包装能够显著提升产品的礼品价值和吸引力。产地溯源的关注度为</w:t>
      </w:r>
      <w:r>
        <w:rPr>
          <w:rFonts w:hint="default" w:ascii="Times New Roman" w:hAnsi="Times New Roman" w:eastAsia="宋体" w:cs="Times New Roman"/>
          <w:color w:val="1A202C"/>
          <w:kern w:val="0"/>
          <w:sz w:val="24"/>
          <w:szCs w:val="24"/>
          <w:lang w:val="en-US" w:eastAsia="zh-CN" w:bidi="ar"/>
        </w:rPr>
        <w:t>42%</w:t>
      </w:r>
      <w:r>
        <w:rPr>
          <w:rFonts w:ascii="宋体" w:hAnsi="宋体" w:eastAsia="宋体" w:cs="宋体"/>
          <w:color w:val="1A202C"/>
          <w:kern w:val="0"/>
          <w:sz w:val="24"/>
          <w:szCs w:val="24"/>
          <w:lang w:val="en-US" w:eastAsia="zh-CN" w:bidi="ar"/>
        </w:rPr>
        <w:t>，消费者希望了解产品的原料产地、加工流程等信息，确保购买到正宗的南京本地生产的盐水鸭。在线评价的关注度为</w:t>
      </w:r>
      <w:r>
        <w:rPr>
          <w:rFonts w:hint="default" w:ascii="Times New Roman" w:hAnsi="Times New Roman" w:eastAsia="宋体" w:cs="Times New Roman"/>
          <w:color w:val="1A202C"/>
          <w:kern w:val="0"/>
          <w:sz w:val="24"/>
          <w:szCs w:val="24"/>
          <w:lang w:val="en-US" w:eastAsia="zh-CN" w:bidi="ar"/>
        </w:rPr>
        <w:t>38%</w:t>
      </w:r>
      <w:r>
        <w:rPr>
          <w:rFonts w:ascii="宋体" w:hAnsi="宋体" w:eastAsia="宋体" w:cs="宋体"/>
          <w:color w:val="1A202C"/>
          <w:kern w:val="0"/>
          <w:sz w:val="24"/>
          <w:szCs w:val="24"/>
          <w:lang w:val="en-US" w:eastAsia="zh-CN" w:bidi="ar"/>
        </w:rPr>
        <w:t>，在电商平台上，其他消费者的真实评价、晒单和评分成为影响购买决策的重要参考，尤其是负面评价对品牌口碑的影响较大。</w:t>
      </w:r>
    </w:p>
    <w:p w14:paraId="7924F41F">
      <w:pPr>
        <w:spacing w:before="200" w:after="100"/>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5266690" cy="2611120"/>
            <wp:effectExtent l="0" t="0" r="0" b="0"/>
            <wp:docPr id="14" name="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5"/>
                    <pic:cNvPicPr>
                      <a:picLocks noChangeAspect="1"/>
                    </pic:cNvPicPr>
                  </pic:nvPicPr>
                  <pic:blipFill>
                    <a:blip r:embed="rId18"/>
                    <a:srcRect t="6736" r="-1072"/>
                    <a:stretch>
                      <a:fillRect/>
                    </a:stretch>
                  </pic:blipFill>
                  <pic:spPr>
                    <a:xfrm>
                      <a:off x="0" y="0"/>
                      <a:ext cx="5266690" cy="2611120"/>
                    </a:xfrm>
                    <a:prstGeom prst="rect">
                      <a:avLst/>
                    </a:prstGeom>
                  </pic:spPr>
                </pic:pic>
              </a:graphicData>
            </a:graphic>
          </wp:inline>
        </w:drawing>
      </w:r>
    </w:p>
    <w:p w14:paraId="2AFC07B0">
      <w:pPr>
        <w:widowControl w:val="0"/>
        <w:adjustRightInd w:val="0"/>
        <w:snapToGrid w:val="0"/>
        <w:spacing w:after="0" w:line="240" w:lineRule="auto"/>
        <w:ind w:firstLine="0" w:firstLineChars="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图3-</w:t>
      </w:r>
      <w:r>
        <w:rPr>
          <w:rFonts w:hint="eastAsia" w:cs="Times New Roman"/>
          <w:color w:val="auto"/>
          <w:kern w:val="2"/>
          <w:sz w:val="21"/>
          <w:szCs w:val="21"/>
          <w:lang w:val="en-US" w:eastAsia="zh-CN" w:bidi="ar-SA"/>
        </w:rPr>
        <w:t>5</w:t>
      </w:r>
      <w:r>
        <w:rPr>
          <w:rFonts w:hint="default" w:ascii="Times New Roman" w:hAnsi="Times New Roman" w:cs="Times New Roman"/>
          <w:color w:val="auto"/>
          <w:kern w:val="2"/>
          <w:sz w:val="21"/>
          <w:szCs w:val="21"/>
          <w:lang w:val="en-US" w:eastAsia="zh-CN" w:bidi="ar-SA"/>
        </w:rPr>
        <w:t xml:space="preserve">  </w:t>
      </w:r>
      <w:r>
        <w:rPr>
          <w:rFonts w:hint="default" w:ascii="Times New Roman" w:hAnsi="Times New Roman" w:eastAsia="宋体" w:cs="Times New Roman"/>
          <w:color w:val="auto"/>
          <w:kern w:val="2"/>
          <w:sz w:val="21"/>
          <w:szCs w:val="21"/>
          <w:lang w:val="en-US" w:eastAsia="zh-CN" w:bidi="ar-SA"/>
        </w:rPr>
        <w:t>消费者选购盐水鸭关注因素调查</w:t>
      </w:r>
    </w:p>
    <w:p w14:paraId="34B5C121">
      <w:pPr>
        <w:widowControl w:val="0"/>
        <w:adjustRightInd w:val="0"/>
        <w:snapToGrid w:val="0"/>
        <w:spacing w:after="0" w:line="240" w:lineRule="auto"/>
        <w:ind w:firstLine="0" w:firstLineChars="0"/>
        <w:jc w:val="both"/>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数据来源：</w:t>
      </w:r>
      <w:r>
        <w:rPr>
          <w:rFonts w:hint="eastAsia" w:cs="Times New Roman"/>
          <w:color w:val="auto"/>
          <w:kern w:val="2"/>
          <w:sz w:val="21"/>
          <w:szCs w:val="21"/>
          <w:lang w:val="en-US" w:eastAsia="zh-CN" w:bidi="ar-SA"/>
        </w:rPr>
        <w:t>调查问卷</w:t>
      </w:r>
    </w:p>
    <w:p w14:paraId="3D89B3B5">
      <w:pPr>
        <w:widowControl w:val="0"/>
        <w:adjustRightInd w:val="0"/>
        <w:snapToGrid w:val="0"/>
        <w:spacing w:after="0" w:line="240" w:lineRule="auto"/>
        <w:ind w:firstLine="0" w:firstLineChars="0"/>
        <w:jc w:val="center"/>
        <w:rPr>
          <w:rFonts w:hint="default" w:ascii="Times New Roman" w:hAnsi="Times New Roman" w:eastAsia="宋体" w:cs="Times New Roman"/>
          <w:color w:val="auto"/>
          <w:kern w:val="2"/>
          <w:sz w:val="21"/>
          <w:szCs w:val="21"/>
          <w:lang w:val="en-US" w:eastAsia="zh-CN" w:bidi="ar-SA"/>
        </w:rPr>
      </w:pPr>
    </w:p>
    <w:p w14:paraId="73AD6E15">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064BA3F">
      <w:pPr>
        <w:pStyle w:val="17"/>
        <w:rPr>
          <w:color w:val="000000" w:themeColor="text1"/>
          <w14:textFill>
            <w14:solidFill>
              <w14:schemeClr w14:val="tx1"/>
            </w14:solidFill>
          </w14:textFill>
        </w:rPr>
      </w:pPr>
      <w:bookmarkStart w:id="124" w:name="_Toc787178861"/>
      <w:bookmarkStart w:id="125" w:name="_Toc6389"/>
      <w:bookmarkStart w:id="126" w:name="_Toc1818840031"/>
      <w:bookmarkStart w:id="127" w:name="_Toc1170226814"/>
      <w:bookmarkStart w:id="128" w:name="_Toc1378923507"/>
      <w:r>
        <w:rPr>
          <w:rFonts w:hint="default" w:ascii="Times New Roman" w:hAnsi="Times New Roman" w:cs="Times New Roman"/>
          <w:lang w:val="en-US" w:eastAsia="zh-CN"/>
        </w:rPr>
        <w:t xml:space="preserve">4 </w:t>
      </w:r>
      <w:r>
        <w:rPr>
          <w:rFonts w:hint="default" w:ascii="Times New Roman" w:hAnsi="Times New Roman" w:cs="Times New Roman"/>
        </w:rPr>
        <w:t>南京盐水鸭电商品牌建设存在的问题</w:t>
      </w:r>
      <w:bookmarkEnd w:id="124"/>
      <w:bookmarkEnd w:id="125"/>
      <w:bookmarkEnd w:id="126"/>
      <w:bookmarkEnd w:id="127"/>
      <w:bookmarkEnd w:id="128"/>
      <w:bookmarkStart w:id="129" w:name="_Toc27980"/>
      <w:bookmarkStart w:id="130" w:name="_Toc2071347372"/>
      <w:bookmarkStart w:id="131" w:name="_Toc1962169619"/>
      <w:bookmarkStart w:id="132" w:name="_Toc1346823672"/>
      <w:bookmarkStart w:id="133" w:name="_Toc1615851307"/>
      <w:bookmarkStart w:id="134" w:name="_Toc1334570358"/>
      <w:bookmarkStart w:id="135" w:name="_Toc10386"/>
      <w:bookmarkStart w:id="136" w:name="_Toc854473750"/>
      <w:bookmarkStart w:id="137" w:name="_Toc356054058"/>
    </w:p>
    <w:bookmarkEnd w:id="129"/>
    <w:bookmarkEnd w:id="130"/>
    <w:bookmarkEnd w:id="131"/>
    <w:bookmarkEnd w:id="132"/>
    <w:bookmarkEnd w:id="133"/>
    <w:p w14:paraId="358D21AA">
      <w:pPr>
        <w:pStyle w:val="3"/>
        <w:keepNext/>
        <w:keepLines/>
        <w:pageBreakBefore w:val="0"/>
        <w:widowControl/>
        <w:kinsoku/>
        <w:wordWrap/>
        <w:overflowPunct/>
        <w:topLinePunct w:val="0"/>
        <w:autoSpaceDE/>
        <w:autoSpaceDN/>
        <w:bidi w:val="0"/>
        <w:adjustRightInd/>
        <w:snapToGrid/>
        <w:spacing w:before="0" w:beforeLines="50" w:after="0" w:afterLines="50" w:line="240" w:lineRule="auto"/>
        <w:textAlignment w:val="auto"/>
        <w:rPr>
          <w:rFonts w:hint="default"/>
          <w:b w:val="0"/>
          <w:bCs/>
          <w:sz w:val="30"/>
          <w:szCs w:val="30"/>
          <w:lang w:val="en-US" w:eastAsia="zh-CN"/>
        </w:rPr>
      </w:pPr>
      <w:bookmarkStart w:id="138" w:name="_Toc1425903201"/>
      <w:bookmarkStart w:id="139" w:name="_Toc22085"/>
      <w:bookmarkStart w:id="140" w:name="_Toc1587815924"/>
      <w:bookmarkStart w:id="141" w:name="_Toc277879687"/>
      <w:bookmarkStart w:id="142" w:name="_Toc534716787"/>
      <w:r>
        <w:rPr>
          <w:rFonts w:hint="default"/>
          <w:b w:val="0"/>
          <w:bCs/>
          <w:sz w:val="30"/>
          <w:szCs w:val="30"/>
          <w:lang w:val="en-US" w:eastAsia="zh-CN"/>
        </w:rPr>
        <w:t>4.1 品牌意识薄弱</w:t>
      </w:r>
    </w:p>
    <w:p w14:paraId="71504C6A">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hint="eastAsia" w:ascii="Times New Roman" w:hAnsi="Times New Roman" w:cs="Times New Roman"/>
          <w:color w:val="000000" w:themeColor="text1"/>
          <w:kern w:val="2"/>
          <w:szCs w:val="18"/>
          <w:lang w:val="en-US" w:eastAsia="zh-CN" w:bidi="ar-SA"/>
          <w14:textFill>
            <w14:solidFill>
              <w14:schemeClr w14:val="tx1"/>
            </w14:solidFill>
          </w14:textFill>
        </w:rPr>
      </w:pPr>
      <w:r>
        <w:rPr>
          <w:rFonts w:hint="eastAsia" w:ascii="Times New Roman" w:hAnsi="Times New Roman" w:cs="Times New Roman"/>
          <w:color w:val="000000" w:themeColor="text1"/>
          <w:kern w:val="2"/>
          <w:szCs w:val="18"/>
          <w:lang w:val="en-US" w:eastAsia="zh-CN" w:bidi="ar-SA"/>
          <w14:textFill>
            <w14:solidFill>
              <w14:schemeClr w14:val="tx1"/>
            </w14:solidFill>
          </w14:textFill>
        </w:rPr>
        <w:t>虽然南京盐水鸭产业规模较大，但是整体的品牌意识还比较淡薄。主要体现在以下几点：一是区域公共品牌建设滞后。“南京盐水鸭”虽然已经列入中国农产品品牌索引名录，但是缺乏统一的品牌标识、质量标准以及营销方式，使消费者很难辨别正宗产品和仿冒产品。二是企业品牌定位不明。大多数企业缺乏明确的品牌定位及差异化策略，产品雷同度高，在消费者心目中难以形成鲜明的品牌印象。三是品牌保护意识淡薄。一些企业存在“重生产、轻品牌”的思想，对于品牌注册、维权等重视不够，造成品牌资产流失。品牌意识薄弱的深层原因可以从三个层面进行分析。在认知层面，许多企业管理者仍然停留在"产品思维"阶段，认为只要产品质量好就不愁销路，忽视了在信息过载的电商环境中，品牌是消费者快速决策的重要依据。据对南京盐水鸭加工企业的调研显示，仅有32%的企业制定了专门的品牌战略规划，68%的企业没有设置品牌管理部门或专职品牌管理人员。在能力层面，传统企业普遍缺乏品牌策划、视觉设计、内容创作、数字营销等专业能力，不知道如何进行品牌定位和传播。特别是中小型企业，由于资金、人才、技术等方面的限制，在品牌建设上处于"想做但不会做"的困境。在激励层面，现有的产业扶持政策更多侧重于生产环节的补贴（如养殖补贴、设备购置补贴等），对品牌建设的激励不足，导致企业缺乏投入品牌建设的内在动力。</w:t>
      </w:r>
    </w:p>
    <w:p w14:paraId="5521E829">
      <w:pPr>
        <w:keepNext w:val="0"/>
        <w:keepLines w:val="0"/>
        <w:pageBreakBefore w:val="0"/>
        <w:widowControl w:val="0"/>
        <w:kinsoku/>
        <w:wordWrap/>
        <w:overflowPunct/>
        <w:topLinePunct w:val="0"/>
        <w:autoSpaceDE/>
        <w:autoSpaceDN/>
        <w:bidi w:val="0"/>
        <w:adjustRightInd w:val="0"/>
        <w:snapToGrid w:val="0"/>
        <w:spacing w:after="0" w:line="400" w:lineRule="exact"/>
        <w:ind w:firstLine="480" w:firstLineChars="200"/>
        <w:textAlignment w:val="auto"/>
        <w:rPr>
          <w:rFonts w:hint="eastAsia" w:ascii="Times New Roman" w:hAnsi="Times New Roman" w:cs="Times New Roman"/>
          <w:color w:val="000000" w:themeColor="text1"/>
          <w:kern w:val="2"/>
          <w:szCs w:val="18"/>
          <w:lang w:val="en-US" w:eastAsia="zh-CN" w:bidi="ar-SA"/>
          <w14:textFill>
            <w14:solidFill>
              <w14:schemeClr w14:val="tx1"/>
            </w14:solidFill>
          </w14:textFill>
        </w:rPr>
      </w:pPr>
      <w:r>
        <w:rPr>
          <w:rFonts w:hint="eastAsia" w:ascii="Times New Roman" w:hAnsi="Times New Roman" w:cs="Times New Roman"/>
          <w:color w:val="000000" w:themeColor="text1"/>
          <w:kern w:val="2"/>
          <w:szCs w:val="18"/>
          <w:lang w:val="en-US" w:eastAsia="zh-CN" w:bidi="ar-SA"/>
          <w14:textFill>
            <w14:solidFill>
              <w14:schemeClr w14:val="tx1"/>
            </w14:solidFill>
          </w14:textFill>
        </w:rPr>
        <w:t>此外，区域公用品牌与企业品牌之间的协同机制缺失也是品牌意识薄弱的重要表现。目前，</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南京盐水鸭</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区域公用品牌的使用缺乏明确的准入标准和退出机制，导致品牌使用</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泛化</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和</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虚化</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。一些不符合标准的企业也打着"南京盐水鸭"的旗号进行销售，损害了区域品牌的整体形象。同时，区域公用品牌的宣传推广力度不足，在主流电商平台和社交媒体上，</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南京盐水鸭</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作为区域品牌的声量远不及</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周黑鸭</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绝味</w:t>
      </w:r>
      <w:r>
        <w:rPr>
          <w:rFonts w:hint="eastAsia" w:cs="Times New Roman"/>
          <w:color w:val="000000" w:themeColor="text1"/>
          <w:kern w:val="2"/>
          <w:szCs w:val="18"/>
          <w:lang w:val="en-US" w:eastAsia="zh-CN" w:bidi="ar-SA"/>
          <w14:textFill>
            <w14:solidFill>
              <w14:schemeClr w14:val="tx1"/>
            </w14:solidFill>
          </w14:textFill>
        </w:rPr>
        <w:t>”</w:t>
      </w:r>
      <w:r>
        <w:rPr>
          <w:rFonts w:hint="eastAsia" w:ascii="Times New Roman" w:hAnsi="Times New Roman" w:cs="Times New Roman"/>
          <w:color w:val="000000" w:themeColor="text1"/>
          <w:kern w:val="2"/>
          <w:szCs w:val="18"/>
          <w:lang w:val="en-US" w:eastAsia="zh-CN" w:bidi="ar-SA"/>
          <w14:textFill>
            <w14:solidFill>
              <w14:schemeClr w14:val="tx1"/>
            </w14:solidFill>
          </w14:textFill>
        </w:rPr>
        <w:t>等企业品牌，未能有效发挥区域品牌的背书作用。</w:t>
      </w:r>
    </w:p>
    <w:p w14:paraId="3A43B269">
      <w:pPr>
        <w:pStyle w:val="3"/>
        <w:keepNext/>
        <w:keepLines/>
        <w:pageBreakBefore w:val="0"/>
        <w:widowControl/>
        <w:kinsoku/>
        <w:wordWrap/>
        <w:overflowPunct/>
        <w:topLinePunct w:val="0"/>
        <w:autoSpaceDE/>
        <w:autoSpaceDN/>
        <w:bidi w:val="0"/>
        <w:adjustRightInd/>
        <w:snapToGrid/>
        <w:spacing w:before="0" w:beforeLines="50" w:after="0" w:afterLines="50" w:line="240" w:lineRule="auto"/>
        <w:textAlignment w:val="auto"/>
        <w:rPr>
          <w:rFonts w:hint="default"/>
          <w:b w:val="0"/>
          <w:bCs/>
          <w:sz w:val="30"/>
          <w:szCs w:val="30"/>
          <w:lang w:val="en-US" w:eastAsia="zh-CN"/>
        </w:rPr>
      </w:pPr>
      <w:r>
        <w:rPr>
          <w:rFonts w:hint="default"/>
          <w:b w:val="0"/>
          <w:bCs/>
          <w:sz w:val="30"/>
          <w:szCs w:val="30"/>
          <w:lang w:val="en-US" w:eastAsia="zh-CN"/>
        </w:rPr>
        <w:t>4.2 产品同质化严重</w:t>
      </w:r>
      <w:bookmarkEnd w:id="138"/>
      <w:bookmarkEnd w:id="139"/>
      <w:bookmarkEnd w:id="140"/>
      <w:bookmarkEnd w:id="141"/>
      <w:bookmarkEnd w:id="142"/>
    </w:p>
    <w:p w14:paraId="4EBBAF29">
      <w:pPr>
        <w:widowControl w:val="0"/>
        <w:adjustRightInd w:val="0"/>
        <w:snapToGrid w:val="0"/>
        <w:spacing w:after="0" w:line="400" w:lineRule="exact"/>
        <w:ind w:firstLine="480" w:firstLineChars="200"/>
        <w:rPr>
          <w:rFonts w:hint="default" w:ascii="Times New Roman" w:hAnsi="Times New Roman" w:cs="Times New Roman"/>
          <w:color w:val="auto"/>
          <w:kern w:val="2"/>
          <w:szCs w:val="18"/>
          <w:lang w:val="en-US" w:eastAsia="zh-CN" w:bidi="ar-SA"/>
        </w:rPr>
      </w:pPr>
      <w:r>
        <w:rPr>
          <w:rFonts w:hint="default" w:ascii="Times New Roman" w:hAnsi="Times New Roman" w:cs="Times New Roman"/>
          <w:color w:val="auto"/>
          <w:kern w:val="2"/>
          <w:szCs w:val="18"/>
          <w:lang w:val="en-US" w:eastAsia="zh-CN" w:bidi="ar-SA"/>
        </w:rPr>
        <w:t>产品同质化已经成了南京盐水鸭品牌发展的最大障碍。现在市场上的盐水鸭，无论是包装、口味还是价格，都差不多，看不出什么特别。行业调查显示，大约65%的盐水鸭都用真空包装，净含量一般在500到800克之间，价格基本在30到50元。缺乏创新让企业只能靠拼价格，这不仅让品牌很难建立，也影响了整个行业的健康发展。</w:t>
      </w:r>
    </w:p>
    <w:p w14:paraId="799D1004">
      <w:pPr>
        <w:widowControl w:val="0"/>
        <w:adjustRightInd w:val="0"/>
        <w:snapToGrid w:val="0"/>
        <w:spacing w:after="0" w:line="400" w:lineRule="exact"/>
        <w:ind w:firstLine="480" w:firstLineChars="200"/>
        <w:rPr>
          <w:rFonts w:hint="default" w:ascii="Times New Roman" w:hAnsi="Times New Roman" w:cs="Times New Roman"/>
          <w:color w:val="auto"/>
          <w:kern w:val="2"/>
          <w:szCs w:val="18"/>
          <w:lang w:val="en-US" w:eastAsia="zh-CN" w:bidi="ar-SA"/>
        </w:rPr>
      </w:pPr>
      <w:r>
        <w:rPr>
          <w:rFonts w:hint="default" w:ascii="Times New Roman" w:hAnsi="Times New Roman" w:cs="Times New Roman"/>
          <w:color w:val="auto"/>
          <w:kern w:val="2"/>
          <w:szCs w:val="18"/>
          <w:lang w:val="en-US" w:eastAsia="zh-CN" w:bidi="ar-SA"/>
        </w:rPr>
        <w:t>此外在产品规范性上也存在不足虽然2022年出台了《地理标志产品南京卤鸭》（DB3201/T1124-20222）对卤鱼原辅料、加工方法、感官要求等进行了规定，即便如此由于部分小作坊企业生产条件有限，操作不规范，导致产品质量良莠不齐，</w:t>
      </w:r>
    </w:p>
    <w:p w14:paraId="6A2E7AE9">
      <w:pPr>
        <w:widowControl w:val="0"/>
        <w:adjustRightInd w:val="0"/>
        <w:snapToGrid w:val="0"/>
        <w:spacing w:after="0" w:line="400" w:lineRule="exact"/>
        <w:ind w:firstLine="480" w:firstLineChars="200"/>
        <w:rPr>
          <w:rFonts w:hint="default" w:ascii="Times New Roman" w:hAnsi="Times New Roman" w:cs="Times New Roman"/>
          <w:color w:val="auto"/>
          <w:kern w:val="2"/>
          <w:szCs w:val="18"/>
          <w:lang w:val="en-US" w:eastAsia="zh-CN" w:bidi="ar-SA"/>
        </w:rPr>
      </w:pPr>
      <w:r>
        <w:rPr>
          <w:rFonts w:hint="default" w:ascii="Times New Roman" w:hAnsi="Times New Roman" w:cs="Times New Roman"/>
          <w:color w:val="auto"/>
          <w:kern w:val="2"/>
          <w:szCs w:val="18"/>
          <w:lang w:val="en-US" w:eastAsia="zh-CN" w:bidi="ar-SA"/>
        </w:rPr>
        <w:t>产品同质化其实就是因为企业创新投入太少，创新机制也没有真正建立。拿南京盐水鸭加工企业来说，他们的研发费用只占销售收入不到1%，远远低于食品行业平均的2%到3%。大多数企业没有专门的研发团队或实验室，产品创新基本靠经验和模仿，几乎不做系统的市场调研或技术研发。现在的创新方向也挺单一，更多停在包装换换型、规格微调这些表面文章。核心工艺、口味创新、功能升级这些真正能带来突破的方面，很少有企业去尝试。比如，现代消费者追求低盐、低脂、高蛋白的健康食品，市场上相关创新产品几乎没有。再说</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一人食</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办公室零食</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这些新兴消费场景，小规格、即食型、便携装产品开发也跟不上节奏，明显滞后。</w:t>
      </w:r>
    </w:p>
    <w:p w14:paraId="7539597D">
      <w:pPr>
        <w:widowControl w:val="0"/>
        <w:adjustRightInd w:val="0"/>
        <w:snapToGrid w:val="0"/>
        <w:spacing w:after="0" w:line="400" w:lineRule="exact"/>
        <w:ind w:firstLine="480" w:firstLineChars="200"/>
        <w:rPr>
          <w:rFonts w:hint="default" w:ascii="Times New Roman" w:hAnsi="Times New Roman" w:cs="Times New Roman"/>
          <w:color w:val="auto"/>
          <w:kern w:val="2"/>
          <w:szCs w:val="18"/>
          <w:lang w:val="en-US" w:eastAsia="zh-CN" w:bidi="ar-SA"/>
        </w:rPr>
      </w:pPr>
      <w:r>
        <w:rPr>
          <w:rFonts w:hint="default" w:ascii="Times New Roman" w:hAnsi="Times New Roman" w:cs="Times New Roman"/>
          <w:color w:val="auto"/>
          <w:kern w:val="2"/>
          <w:szCs w:val="18"/>
          <w:lang w:val="en-US" w:eastAsia="zh-CN" w:bidi="ar-SA"/>
        </w:rPr>
        <w:t>产品标准化的问题，确实不能忽视。地方标准虽然已经出台，但执行和监督还不到位。南京市市场监管局的抽检数据显示，2024年南京盐水鸭产品的合格率是94.2%，比往年高一点，但还是有5.8%的产品出现了微生物超标、食品添加剂使用不规范、标签不合规等问题。尤其是那些小作坊和电商平台上的</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三无</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产品，质量安全隐患更大。标准的覆盖面也不够广。现在的标准主要针对传统盐水鸭，对衍生产品，比如盐水鸭肫、鸭翅、鸭脖，创新产品如低盐款、即食款，还有电商专用产品，比如适合长途运输的包装规格，都缺乏相应规范。这直接导致这些新品类质量不稳定，消费者的购买体验受到影响。</w:t>
      </w:r>
    </w:p>
    <w:p w14:paraId="6F25D3E2">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143" w:name="_Toc1385082334"/>
      <w:bookmarkStart w:id="144" w:name="_Toc1790437046"/>
      <w:bookmarkStart w:id="145" w:name="_Toc1913460061"/>
      <w:bookmarkStart w:id="146" w:name="_Toc13580"/>
      <w:bookmarkStart w:id="147" w:name="_Toc1694450831"/>
      <w:r>
        <w:rPr>
          <w:rFonts w:hint="default" w:ascii="Times New Roman" w:hAnsi="Times New Roman" w:cs="Times New Roman"/>
          <w:b w:val="0"/>
          <w:bCs w:val="0"/>
          <w:color w:val="auto"/>
          <w:kern w:val="2"/>
          <w:sz w:val="30"/>
          <w:szCs w:val="30"/>
          <w:lang w:val="en-US" w:eastAsia="zh-CN" w:bidi="ar-SA"/>
        </w:rPr>
        <w:t>4.3 营销推广不足</w:t>
      </w:r>
      <w:bookmarkEnd w:id="143"/>
      <w:bookmarkEnd w:id="144"/>
      <w:bookmarkEnd w:id="145"/>
      <w:bookmarkEnd w:id="146"/>
      <w:bookmarkEnd w:id="147"/>
    </w:p>
    <w:p w14:paraId="5320B063">
      <w:pPr>
        <w:widowControl w:val="0"/>
        <w:adjustRightInd w:val="0"/>
        <w:snapToGrid w:val="0"/>
        <w:spacing w:after="0" w:line="400" w:lineRule="exact"/>
        <w:ind w:firstLine="480" w:firstLineChars="200"/>
        <w:rPr>
          <w:rFonts w:hint="default" w:ascii="Times New Roman" w:hAnsi="Times New Roman" w:cs="Times New Roman"/>
          <w:color w:val="auto"/>
          <w:kern w:val="2"/>
          <w:szCs w:val="18"/>
          <w:lang w:val="en-US" w:eastAsia="zh-CN" w:bidi="ar-SA"/>
        </w:rPr>
      </w:pPr>
      <w:r>
        <w:rPr>
          <w:rFonts w:hint="default" w:ascii="Times New Roman" w:hAnsi="Times New Roman" w:cs="Times New Roman"/>
          <w:color w:val="auto"/>
          <w:kern w:val="2"/>
          <w:szCs w:val="18"/>
          <w:lang w:val="en-US" w:eastAsia="zh-CN" w:bidi="ar-SA"/>
        </w:rPr>
        <w:t>南京盐水鸭企业在营销推广上，普遍投入太少，手段也单调。数据挺明显</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大多数企业的营销费用连销售收入的3%都不到，这和快消品行业的5%-8%差距不小。大家还是主要靠传统电商平台来卖货，对内容营销、社交媒体推广、直播带货这些新玩法，参与得不多。虽然有些头部企业已经开始用抖音直播、小红书种草，试着突破，但整体上看，品牌的影响力和持续热度还不够，需要继续发力。</w:t>
      </w:r>
    </w:p>
    <w:p w14:paraId="430BDF89">
      <w:pPr>
        <w:widowControl w:val="0"/>
        <w:adjustRightInd w:val="0"/>
        <w:snapToGrid w:val="0"/>
        <w:spacing w:after="0" w:line="400" w:lineRule="exact"/>
        <w:ind w:firstLine="480" w:firstLineChars="200"/>
        <w:rPr>
          <w:rFonts w:hint="default" w:ascii="Times New Roman" w:hAnsi="Times New Roman" w:cs="Times New Roman"/>
          <w:color w:val="auto"/>
          <w:kern w:val="2"/>
          <w:szCs w:val="18"/>
          <w:lang w:val="en-US" w:eastAsia="zh-CN" w:bidi="ar-SA"/>
        </w:rPr>
      </w:pPr>
      <w:r>
        <w:rPr>
          <w:rFonts w:hint="default" w:ascii="Times New Roman" w:hAnsi="Times New Roman" w:cs="Times New Roman"/>
          <w:color w:val="auto"/>
          <w:kern w:val="2"/>
          <w:szCs w:val="18"/>
          <w:lang w:val="en-US" w:eastAsia="zh-CN" w:bidi="ar-SA"/>
        </w:rPr>
        <w:t>品牌故事讲述这块，很多企业确实没下功夫。南京盐水鸭历史悠久，文化底蕴深厚，但不少企业只顾着卖产品，没好好利用这些资源去塑造自己的品牌形象。结果，产品缺了情感，也没能传递文化内涵。消费者调研数据摆在那儿，只有23%的人能说出某个盐水鸭品牌背后的故事或文化元素。这说明企业在品牌建设上，明显还有很大提升空间。</w:t>
      </w:r>
    </w:p>
    <w:p w14:paraId="0DCF2C74">
      <w:pPr>
        <w:widowControl w:val="0"/>
        <w:adjustRightInd w:val="0"/>
        <w:snapToGrid w:val="0"/>
        <w:spacing w:after="0" w:line="400" w:lineRule="exact"/>
        <w:ind w:firstLine="480" w:firstLineChars="200"/>
        <w:rPr>
          <w:rFonts w:hint="default" w:ascii="Times New Roman" w:hAnsi="Times New Roman" w:cs="Times New Roman"/>
          <w:color w:val="auto"/>
          <w:kern w:val="2"/>
          <w:szCs w:val="18"/>
          <w:lang w:val="en-US" w:eastAsia="zh-CN" w:bidi="ar-SA"/>
        </w:rPr>
      </w:pPr>
      <w:r>
        <w:rPr>
          <w:rFonts w:hint="default" w:ascii="Times New Roman" w:hAnsi="Times New Roman" w:cs="Times New Roman"/>
          <w:color w:val="auto"/>
          <w:kern w:val="2"/>
          <w:szCs w:val="18"/>
          <w:lang w:val="en-US" w:eastAsia="zh-CN" w:bidi="ar-SA"/>
        </w:rPr>
        <w:t>营销推广不力还有个明显的问题——内容缺乏质量和创意。放眼抖音、小红书这些平台，南京盐水鸭的内容无论数量还是质量，都被竞品甩在了后面。比如抖音，到2025年底，</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南京盐水鸭</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相关视频播放量大约2.3亿，而</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周黑鸭</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已经超过18亿，</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绝味鸭脖</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也有15亿多。内容质量上，南京盐水鸭的企业大多只做简单的产品展示和促销，没什么创意策划，情感共鸣也很弱。结果就是点赞、评论、转发这些互动都很低。而对手们就会玩内容，像周黑鸭用</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追剧必备</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这种场景营销，绝味鸭脖搞</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麻辣挑战</w:t>
      </w:r>
      <w:r>
        <w:rPr>
          <w:rFonts w:hint="eastAsia" w:ascii="宋体" w:hAnsi="宋体" w:eastAsia="宋体" w:cs="宋体"/>
          <w:color w:val="auto"/>
          <w:kern w:val="2"/>
          <w:szCs w:val="18"/>
          <w:lang w:val="en-US" w:eastAsia="zh-CN" w:bidi="ar-SA"/>
        </w:rPr>
        <w:t>”</w:t>
      </w:r>
      <w:r>
        <w:rPr>
          <w:rFonts w:hint="default" w:ascii="Times New Roman" w:hAnsi="Times New Roman" w:cs="Times New Roman"/>
          <w:color w:val="auto"/>
          <w:kern w:val="2"/>
          <w:szCs w:val="18"/>
          <w:lang w:val="en-US" w:eastAsia="zh-CN" w:bidi="ar-SA"/>
        </w:rPr>
        <w:t>互动话题，剧情化、场景化、人格化都用上了，吸引了大量用户参与。</w:t>
      </w:r>
    </w:p>
    <w:p w14:paraId="7F63465F">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148" w:name="_Toc955631402"/>
      <w:r>
        <w:rPr>
          <w:rFonts w:hint="default" w:ascii="Times New Roman" w:hAnsi="Times New Roman" w:cs="Times New Roman"/>
          <w:b w:val="0"/>
          <w:bCs w:val="0"/>
          <w:color w:val="auto"/>
          <w:kern w:val="2"/>
          <w:sz w:val="30"/>
          <w:szCs w:val="30"/>
          <w:lang w:val="en-US" w:eastAsia="zh-CN" w:bidi="ar-SA"/>
        </w:rPr>
        <w:t>4.4 供应链体系不完善</w:t>
      </w:r>
      <w:bookmarkEnd w:id="134"/>
      <w:bookmarkEnd w:id="135"/>
      <w:bookmarkEnd w:id="136"/>
      <w:bookmarkEnd w:id="137"/>
      <w:bookmarkEnd w:id="148"/>
    </w:p>
    <w:p w14:paraId="6DF78FF3">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良好的供应链是电商品牌发展的基础，但是目前南京盐水鸭产业在供应链管理上还存在一些问题。一是冷链运输能力较弱。盐水鸭属于熟食类产品，对储存、运输条件要求较高，而有些企业冷链设备落后，影响产品质量以及消费者感受。二是产能与需求不匹配。电商销售具有明显的周期性，大促期间产能不足，平时产能过剩的现象经常出现。三是供应链合作不够紧密。上下游企业间沟通不畅，造成库存过多或者缺货的情况频繁出现。</w:t>
      </w:r>
    </w:p>
    <w:p w14:paraId="4C2901C3">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供应链体系不完善的问题还体现在信息化水平低和协同机制缺失两个方面。在信息化方面，多数企业的供应链管理系统（SCM）建设滞后，订单处理、库存管理、生产计划、物流配送等环节仍依赖人工操作和Excel表格，信息传递效率低、错误率高。据调研，仅有18%的南京盐水鸭加工企业使用了ERP系统，使用WMS（仓储管理系统）和TMS（运输管理系统）的比例更低，不足10%。信息化水平的滞后导致企业无法实时掌握库存状况、销售动态和物流信息，难以对市场需求变化做出快速响应。</w:t>
      </w:r>
    </w:p>
    <w:p w14:paraId="4692835A">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在供应链协同方面，南京盐水鸭产业呈现出</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小、散、弱</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的特征，上下游企业之间多为简单的买卖关系，缺乏深度的战略合作和信息共享。上游养殖户与加工企业之间缺乏稳定的订单契约，养殖户往往根据经验而非企业需求安排养殖计划，导致原料供应的季节性波动和质量不稳定。加工企业与物流服务商之间缺乏协同，在</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双十一</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年货节等大促期间，经常出现物流爆仓、配送延迟、冷链断链等问题，严重影响消费者体验。据消费者投诉数据显示，物流问题（包括配送延迟、包装破损、产品变质等）占南京盐水鸭电商投诉总量的35%，是影响品牌口碑的首要因素。</w:t>
      </w:r>
    </w:p>
    <w:p w14:paraId="0E074A68">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此外，供应链的柔性化程度不足也是制约电商发展的重要瓶颈。传统加工企业的生产线多为大批量、少品种的生产模式，切换成本高、响应速度慢，难以适应电商销售</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小批量、多品种、快周转</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的特点。例如，电商渠道经常需要推出限定口味、联名包装、节日礼盒等定制化产品，但传统生产线的换线时间长达数小时甚至数天，无法满足电商的快速上新需求。这种产能刚性导致企业错失市场机会，或被迫以高成本进行生产，压缩了利润空间。</w:t>
      </w:r>
    </w:p>
    <w:p w14:paraId="06CA6227">
      <w:pPr>
        <w:spacing w:before="200" w:after="100"/>
        <w:ind w:firstLine="0"/>
        <w:jc w:val="center"/>
        <w:rPr>
          <w:rFonts w:hint="default" w:ascii="Times New Roman" w:hAnsi="Times New Roman" w:cs="Times New Roman"/>
          <w:color w:val="000000" w:themeColor="text1"/>
          <w14:textFill>
            <w14:solidFill>
              <w14:schemeClr w14:val="tx1"/>
            </w14:solidFill>
          </w14:textFill>
        </w:rPr>
      </w:pPr>
    </w:p>
    <w:p w14:paraId="5759AB43">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7E3B3489">
      <w:pPr>
        <w:pStyle w:val="17"/>
        <w:rPr>
          <w:rFonts w:hint="default" w:ascii="Times New Roman" w:hAnsi="Times New Roman" w:cs="Times New Roman"/>
          <w:color w:val="auto"/>
        </w:rPr>
      </w:pPr>
      <w:bookmarkStart w:id="149" w:name="_Toc1804797638"/>
      <w:bookmarkStart w:id="150" w:name="_Toc1311112264"/>
      <w:bookmarkStart w:id="151" w:name="_Toc917168761"/>
      <w:bookmarkStart w:id="152" w:name="_Toc266777501"/>
      <w:bookmarkStart w:id="153" w:name="_Toc18342"/>
      <w:r>
        <w:rPr>
          <w:rFonts w:hint="default" w:ascii="Times New Roman" w:hAnsi="Times New Roman" w:cs="Times New Roman"/>
          <w:color w:val="auto"/>
          <w:lang w:val="en-US" w:eastAsia="zh-CN"/>
        </w:rPr>
        <w:t>5</w:t>
      </w:r>
      <w:bookmarkEnd w:id="149"/>
      <w:bookmarkEnd w:id="150"/>
      <w:bookmarkEnd w:id="151"/>
      <w:r>
        <w:rPr>
          <w:rFonts w:hint="default" w:ascii="Times New Roman" w:hAnsi="Times New Roman" w:cs="Times New Roman"/>
          <w:color w:val="auto"/>
          <w:lang w:val="en-US" w:eastAsia="zh-CN"/>
        </w:rPr>
        <w:t xml:space="preserve"> 南京盐水鸭</w:t>
      </w:r>
      <w:r>
        <w:rPr>
          <w:rFonts w:hint="default" w:ascii="Times New Roman" w:hAnsi="Times New Roman" w:cs="Times New Roman"/>
          <w:color w:val="auto"/>
        </w:rPr>
        <w:t>电商品牌建设</w:t>
      </w:r>
      <w:r>
        <w:rPr>
          <w:rFonts w:hint="default" w:ascii="Times New Roman" w:hAnsi="Times New Roman" w:cs="Times New Roman"/>
          <w:color w:val="auto"/>
          <w:lang w:val="en-US" w:eastAsia="zh-CN"/>
        </w:rPr>
        <w:t>优化</w:t>
      </w:r>
      <w:r>
        <w:rPr>
          <w:rFonts w:hint="default" w:ascii="Times New Roman" w:hAnsi="Times New Roman" w:cs="Times New Roman"/>
          <w:color w:val="auto"/>
        </w:rPr>
        <w:t>路径</w:t>
      </w:r>
      <w:bookmarkEnd w:id="152"/>
      <w:bookmarkEnd w:id="153"/>
    </w:p>
    <w:p w14:paraId="407620C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480" w:firstLineChars="200"/>
        <w:jc w:val="left"/>
        <w:textAlignment w:val="baseline"/>
        <w:rPr>
          <w:rFonts w:hint="default" w:ascii="Times New Roman" w:hAnsi="Times New Roman" w:cs="Times New Roman" w:eastAsiaTheme="minorEastAsia"/>
          <w:i w:val="0"/>
          <w:iCs w:val="0"/>
          <w:caps w:val="0"/>
          <w:color w:val="auto"/>
          <w:spacing w:val="0"/>
          <w:u w:val="none"/>
        </w:rPr>
      </w:pPr>
      <w:r>
        <w:rPr>
          <w:rFonts w:hint="default" w:ascii="Times New Roman" w:hAnsi="Times New Roman" w:cs="Times New Roman" w:eastAsiaTheme="minorEastAsia"/>
          <w:i w:val="0"/>
          <w:iCs w:val="0"/>
          <w:caps w:val="0"/>
          <w:color w:val="auto"/>
          <w:spacing w:val="0"/>
          <w:kern w:val="0"/>
          <w:sz w:val="24"/>
          <w:szCs w:val="24"/>
          <w:u w:val="none"/>
          <w:vertAlign w:val="baseline"/>
          <w:lang w:val="en-US" w:eastAsia="zh-CN" w:bidi="ar"/>
        </w:rPr>
        <w:t>针对第四章梳理出的四个核心问题，本章遵循</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eastAsiaTheme="minorEastAsia"/>
          <w:i w:val="0"/>
          <w:iCs w:val="0"/>
          <w:caps w:val="0"/>
          <w:color w:val="auto"/>
          <w:spacing w:val="0"/>
          <w:kern w:val="0"/>
          <w:sz w:val="24"/>
          <w:szCs w:val="24"/>
          <w:u w:val="none"/>
          <w:vertAlign w:val="baseline"/>
          <w:lang w:val="en-US" w:eastAsia="zh-CN" w:bidi="ar"/>
        </w:rPr>
        <w:t>问题导向、精准施策</w:t>
      </w:r>
      <w:r>
        <w:rPr>
          <w:rFonts w:hint="eastAsia" w:ascii="宋体" w:hAnsi="宋体" w:eastAsia="宋体" w:cs="宋体"/>
          <w:i w:val="0"/>
          <w:iCs w:val="0"/>
          <w:caps w:val="0"/>
          <w:color w:val="auto"/>
          <w:spacing w:val="0"/>
          <w:kern w:val="0"/>
          <w:sz w:val="24"/>
          <w:szCs w:val="24"/>
          <w:u w:val="none"/>
          <w:vertAlign w:val="baseline"/>
          <w:lang w:val="en-US" w:eastAsia="zh-CN" w:bidi="ar"/>
        </w:rPr>
        <w:t>”</w:t>
      </w:r>
      <w:r>
        <w:rPr>
          <w:rFonts w:hint="default" w:ascii="Times New Roman" w:hAnsi="Times New Roman" w:cs="Times New Roman" w:eastAsiaTheme="minorEastAsia"/>
          <w:i w:val="0"/>
          <w:iCs w:val="0"/>
          <w:caps w:val="0"/>
          <w:color w:val="auto"/>
          <w:spacing w:val="0"/>
          <w:kern w:val="0"/>
          <w:sz w:val="24"/>
          <w:szCs w:val="24"/>
          <w:u w:val="none"/>
          <w:vertAlign w:val="baseline"/>
          <w:lang w:val="en-US" w:eastAsia="zh-CN" w:bidi="ar"/>
        </w:rPr>
        <w:t>的原则，逐条提出相应解决措施，形成问题与对策的一一图文关系，确保品牌建设路径既有可操作性，又有针对性的专题。</w:t>
      </w:r>
    </w:p>
    <w:p w14:paraId="20EFC6CE">
      <w:pPr>
        <w:pStyle w:val="3"/>
        <w:widowControl w:val="0"/>
        <w:adjustRightInd w:val="0"/>
        <w:snapToGrid w:val="0"/>
        <w:spacing w:before="163" w:beforeLines="50" w:after="163" w:afterLines="50" w:line="240" w:lineRule="auto"/>
        <w:ind w:firstLineChars="0"/>
        <w:outlineLvl w:val="1"/>
        <w:rPr>
          <w:rFonts w:hint="default" w:ascii="Times New Roman" w:hAnsi="Times New Roman" w:cs="Times New Roman"/>
          <w:b w:val="0"/>
          <w:bCs w:val="0"/>
          <w:color w:val="auto"/>
          <w:kern w:val="2"/>
          <w:sz w:val="30"/>
          <w:szCs w:val="30"/>
          <w:lang w:val="en-US" w:eastAsia="zh-CN" w:bidi="ar-SA"/>
        </w:rPr>
      </w:pPr>
      <w:bookmarkStart w:id="154" w:name="_Toc217747961"/>
      <w:bookmarkStart w:id="155" w:name="_Toc16871"/>
      <w:bookmarkStart w:id="156" w:name="_Toc1931088018"/>
      <w:r>
        <w:rPr>
          <w:rFonts w:hint="default" w:ascii="Times New Roman" w:hAnsi="Times New Roman" w:cs="Times New Roman"/>
          <w:b w:val="0"/>
          <w:bCs w:val="0"/>
          <w:color w:val="auto"/>
          <w:kern w:val="2"/>
          <w:sz w:val="30"/>
          <w:szCs w:val="30"/>
          <w:lang w:val="en-US" w:eastAsia="zh-CN" w:bidi="ar-SA"/>
        </w:rPr>
        <w:t>5.1 强化品牌意识，构建双轮驱动品牌体系</w:t>
      </w:r>
      <w:bookmarkEnd w:id="154"/>
      <w:bookmarkEnd w:id="155"/>
      <w:bookmarkEnd w:id="156"/>
    </w:p>
    <w:p w14:paraId="6BFB649E">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南京盐水鸭产业现在面临几个棘手的问题：品牌意识不强，区域公用品牌建设进展慢，企业品牌定位也模糊。解决这些问题，光靠一方努力不行，必须让政府和企业一起动手，推动</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区域公用品牌+企业品牌</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双轮驱动的品牌体系。</w:t>
      </w:r>
    </w:p>
    <w:p w14:paraId="5B8D1F9D">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政府这边，南京市农业农村局、市场监管局要带头，成立</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南京盐水鸭</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区域公用品牌管理委员会。统一设计品牌标识、品牌口号和品牌故事，制定《南京盐水鸭区域公用品牌使用管理办法》。品牌准入机制必须严格，只有符合DB3201/T 1124-2022标准、通过质量认证的企业才有资格用区域公用品牌标识，这样才能从源头上杜绝</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搭便车</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的现象。品牌保护也不能掉以轻心——设立专项基金，严厉打击假冒侵权，维护品牌权威和公信力。</w:t>
      </w:r>
    </w:p>
    <w:p w14:paraId="7C56D7B0">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企业必须摆脱只重生产、轻品牌的老思路，把品牌建设纳入战略规划。不同消费群体有不同需求，品牌定位就得差异化。老字号品牌，比如桂花鸭、韩复兴，应该强调</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非遗传承</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和</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正宗味道</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，主打文化牌。新兴品牌，比如樱桃鸭，则突出</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标准化生产</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和</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年轻化表达</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，主打品质牌。中小企业可以专注细分市场，比如开发</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低盐健康款</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儿童营养款</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等，在特定领域建立品牌认知。企业还要建立品牌视觉识别系统（VI），统一包装设计、店铺装修和宣传物料，提升品牌辨识度。行业协会可以联合高校、咨询机构，定期发布</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南京盐水鸭品牌价值排行榜</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推动企业重视品牌资产积累。企业也要加强商标注册和知识产权保护，对核心品牌进行全类别注册，防止恶意抢注。别忘了品牌危机预警机制——针对网络舆情和质量问题提前制定应急预案，及时回应消费者关切，维护品牌声誉。</w:t>
      </w:r>
    </w:p>
    <w:p w14:paraId="67334CD0">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157" w:name="_Toc16221"/>
      <w:bookmarkStart w:id="158" w:name="_Toc377846039"/>
      <w:bookmarkStart w:id="159" w:name="_Toc875961415"/>
      <w:r>
        <w:rPr>
          <w:rFonts w:hint="default" w:ascii="Times New Roman" w:hAnsi="Times New Roman" w:cs="Times New Roman"/>
          <w:b w:val="0"/>
          <w:bCs w:val="0"/>
          <w:color w:val="auto"/>
          <w:kern w:val="2"/>
          <w:sz w:val="30"/>
          <w:szCs w:val="30"/>
          <w:lang w:val="en-US" w:eastAsia="zh-CN" w:bidi="ar-SA"/>
        </w:rPr>
        <w:t>5.2 破解产品同质化，提升产品差异化竞争力</w:t>
      </w:r>
      <w:bookmarkEnd w:id="157"/>
      <w:bookmarkEnd w:id="158"/>
      <w:bookmarkEnd w:id="159"/>
    </w:p>
    <w:p w14:paraId="4CC41348">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产品同质化严重、标准化不够、质量参差不齐，这些问题一直困扰行业。要真正解决这些痛点，企业得从产品创新、标准执行、质量追溯三方面下功夫，才能打造出自己的差异化优势。先说产品创新和差异化开发。企业要舍得在研发上投入，别再满足于传统盐水鸭那一套</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单一口味、单一规格</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年轻人喜欢新鲜感，辣味、五香、柠檬味这些可以尝试。现在大家越来越注重健康，低钠、无添加防腐剂的盐水鸭也有市场。规格上别只盯着大包装，小份装（200g以下）、即食装、礼盒装，这些都能满足不同的消费场景。包装也得下点功夫，不妨和南京博物院、六朝博物馆合作，做些联名包装，把盐水鸭包装做成</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可以带走的城市名片</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，文化气息一下就有了。标准化生产必须严格执行。以DB3201/T 1124-2022地方标准为基础，推动更高层次的《南京盐水鸭团体标准》或行业标准，把原料鸭的品种、饲养周期、卤料配方、加工工艺等关键指标都纳入标准体系。建立产品质量分级制度——</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特级</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一级</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二级</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分明，特级产品的原料和工艺要求更高，也能卖出更好的价格。这样企业才能从价格竞争转到品质竞争。小作坊一直是难点，可以通过</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企业+合作社+农户</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模式，把分散的小作坊纳入标准化生产体系，既整合资源，也保证质量。最后，质量追溯体系必须完善。利用区块链、物联网等数字化技术，构建</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从养殖场到餐桌</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的全链条追溯系统。每只盐水鸭配一个唯一的溯源二维码，消费者扫码就能查到原料产地、养殖环境、屠宰日期、加工流程、质检报告、物流信息等全生命周期数据。质量追溯不仅保障食品安全，更能增强消费者信任，提升品牌溢价。据行业数据，带完整溯源信息的农产品价格普遍比普通产品高15%-20%，复购率也显著提升。行业升级，关键在于敢于创新、敢于标准化，更要敢于对消费者负责。</w:t>
      </w:r>
    </w:p>
    <w:p w14:paraId="2B7B8F1B">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160" w:name="_Toc1283101720"/>
      <w:bookmarkStart w:id="161" w:name="_Toc349233294"/>
      <w:bookmarkStart w:id="162" w:name="_Toc27198"/>
      <w:r>
        <w:rPr>
          <w:rFonts w:hint="default" w:ascii="Times New Roman" w:hAnsi="Times New Roman" w:cs="Times New Roman"/>
          <w:b w:val="0"/>
          <w:bCs w:val="0"/>
          <w:color w:val="auto"/>
          <w:kern w:val="2"/>
          <w:sz w:val="30"/>
          <w:szCs w:val="30"/>
          <w:lang w:val="en-US" w:eastAsia="zh-CN" w:bidi="ar-SA"/>
        </w:rPr>
        <w:t>5.3 创新营销推广模式，扩大品牌影响力</w:t>
      </w:r>
      <w:bookmarkEnd w:id="160"/>
      <w:bookmarkEnd w:id="161"/>
      <w:bookmarkEnd w:id="162"/>
    </w:p>
    <w:p w14:paraId="7EB7F2AF">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很多企业在营销上都有几个老毛病：投入不够，推广方式太单一，讲品牌故事也没什么章法。要想破局，得搭建起内容+渠道+用户三位一体的数字化营销体系。首先，营销投入得跟上，把预算慢慢拉到销售收入的5%到8%，追上快消行业的平均线。</w:t>
      </w:r>
    </w:p>
    <w:p w14:paraId="129DD61B">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渠道这块，眼光不能只盯着一个地方。要织起</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平台电商+社交电商+私域流量</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的全渠道网络。淘宝、京东这些传统电商，还是要深耕，店铺运营、搜索排名都得优化。同时，别忽视抖音、快手、小红书这些内容电商，用短视频、直播直接触达年轻人。微信生态、企业微信、会员社群，这些工具能帮企业把用户沉淀下来，细水长流地做用户运营。即时零售和社区团购也不能落下，和美团、饿了么、叮咚买菜合作，抓住消费者</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想买就买</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的需求。品牌故事怎么讲？得从南京盐水鸭的历史文化里挖掘亮点，比如</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六朝古都的饮食记忆</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明清贡品的匠心传承</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，把这些文化元素融进品牌叙事。可以拍《一只鸭子的南京故事》系列微纪录片，上传到抖音、B站、视频号，生动展现</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炒盐腌、清卤复、烘得干、焐得足</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的非遗技艺。还可以设计品牌IP形象，比如鸭小南这样的卡通形象，开发鸭形抱枕、冰箱贴、笔记本等文创周边，让品牌更有趣味和情感连接感。和南京文旅部门联手，把盐水鸭品牌体验店开进夫子庙、老门东这些热门景区，打通</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文旅+电商</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的新玩法。</w:t>
      </w:r>
    </w:p>
    <w:p w14:paraId="65863AA0">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直播电商一定要抓住</w:t>
      </w:r>
      <w:r>
        <w:rPr>
          <w:rFonts w:hint="default" w:ascii="Times New Roman" w:hAnsi="Times New Roman" w:cs="Times New Roman"/>
          <w:color w:val="auto"/>
          <w:kern w:val="2"/>
          <w:szCs w:val="18"/>
          <w:lang w:val="en-US" w:eastAsia="zh-CN" w:bidi="ar-SA"/>
        </w:rPr>
        <w:t>营销</w:t>
      </w:r>
      <w:r>
        <w:rPr>
          <w:rFonts w:hint="default" w:ascii="Times New Roman" w:hAnsi="Times New Roman" w:eastAsia="宋体" w:cs="Times New Roman"/>
          <w:color w:val="auto"/>
          <w:kern w:val="2"/>
          <w:szCs w:val="18"/>
          <w:lang w:val="en-US" w:eastAsia="zh-CN" w:bidi="ar-SA"/>
        </w:rPr>
        <w:t>。和头部主播、美食达人建立长期合作，靠直播带货迅速提升品牌曝光和销量。企业自己的直播团队也要培养起来，比如</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厂长直播</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非遗传承人直播</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这些特色直播间，用真实和专业赢得信任。在小红书上做</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种草</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营销，邀请美食、生活方式博主做产品测评和开箱，用UGC（用户生成内容）带动口碑扩散。还可以发起</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南京盐水鸭创意吃法挑战赛</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这样的线上互动活动，激发用户创作热情，让传播形成裂变。</w:t>
      </w:r>
    </w:p>
    <w:p w14:paraId="48E6F68D">
      <w:pPr>
        <w:pStyle w:val="3"/>
        <w:widowControl w:val="0"/>
        <w:adjustRightInd w:val="0"/>
        <w:snapToGrid w:val="0"/>
        <w:spacing w:before="163" w:beforeLines="50" w:after="163" w:afterLines="50" w:line="240" w:lineRule="auto"/>
        <w:ind w:firstLineChars="0"/>
        <w:rPr>
          <w:rFonts w:hint="default" w:ascii="Times New Roman" w:hAnsi="Times New Roman" w:cs="Times New Roman"/>
          <w:b w:val="0"/>
          <w:bCs w:val="0"/>
          <w:color w:val="auto"/>
          <w:kern w:val="2"/>
          <w:sz w:val="30"/>
          <w:szCs w:val="30"/>
          <w:lang w:val="en-US" w:eastAsia="zh-CN" w:bidi="ar-SA"/>
        </w:rPr>
      </w:pPr>
      <w:bookmarkStart w:id="163" w:name="_Toc2047"/>
      <w:bookmarkStart w:id="164" w:name="_Toc59824866"/>
      <w:bookmarkStart w:id="165" w:name="_Toc491165007"/>
      <w:r>
        <w:rPr>
          <w:rFonts w:hint="default" w:ascii="Times New Roman" w:hAnsi="Times New Roman" w:cs="Times New Roman"/>
          <w:b w:val="0"/>
          <w:bCs w:val="0"/>
          <w:color w:val="auto"/>
          <w:kern w:val="2"/>
          <w:sz w:val="30"/>
          <w:szCs w:val="30"/>
          <w:lang w:val="en-US" w:eastAsia="zh-CN" w:bidi="ar-SA"/>
        </w:rPr>
        <w:t>5.4 完善供应链体系，夯实品牌发展基础</w:t>
      </w:r>
      <w:bookmarkEnd w:id="163"/>
      <w:bookmarkEnd w:id="164"/>
      <w:bookmarkEnd w:id="165"/>
    </w:p>
    <w:p w14:paraId="16E31957">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冷链物流不够完善，产能和需求总是对不上，供应链协作也不太给力</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这些问题其实可以从三个方向着手：硬件设施、柔性生产，还有数字化管理。先说冷链物流。盐水鸭熟食制品对储运温度要求很高，必须控制在0到4℃之间。企业不能只靠自家的冷链系统，最好把自建冷链和第三方物流结合起来，才能把冷链配送网络铺到全国。华东、华北、华南这些主要消费区，要设区域分仓和前置仓，这样配送半径缩短了，重点城市能做到</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次日达</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，甚至</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当日达</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。智能温控设备和GPS定位系统得用上，对运输过程做全程监控、可视化管理，保证产品在路上的质量没问题。和顺丰冷运、京东冷链这些专业物流公司合作，能把冷链运输成本压下来，配送效率也更高。</w:t>
      </w:r>
    </w:p>
    <w:p w14:paraId="5CF0F38A">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产销协同和柔性生产也很重要。企业需要用大数据和人工智能技术，分析电商平台的历史销售数据、搜索趋势、促销节奏，建立需求预测模型，指导生产计划。推行C2M模式</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用户直连制造</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根据电商预售和用户定制需求安排生产，这样库存不会积压，产能利用也更充分。生产线要能灵活应对不同SKU和需求变化。模块化设备、快速换线技术，都要跟上，实现小批量、多品种的灵活生产。大促期间，比如</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双十一</w:t>
      </w:r>
      <w:r>
        <w:rPr>
          <w:rFonts w:hint="eastAsia" w:ascii="宋体" w:hAnsi="宋体" w:eastAsia="宋体" w:cs="宋体"/>
          <w:color w:val="auto"/>
          <w:kern w:val="2"/>
          <w:szCs w:val="18"/>
          <w:lang w:val="en-US" w:eastAsia="zh-CN" w:bidi="ar-SA"/>
        </w:rPr>
        <w:t>”</w:t>
      </w:r>
      <w:r>
        <w:rPr>
          <w:rFonts w:hint="default" w:ascii="Times New Roman" w:hAnsi="Times New Roman" w:eastAsia="宋体" w:cs="Times New Roman"/>
          <w:color w:val="auto"/>
          <w:kern w:val="2"/>
          <w:szCs w:val="18"/>
          <w:lang w:val="en-US" w:eastAsia="zh-CN" w:bidi="ar-SA"/>
        </w:rPr>
        <w:t>或者年货节，产能储备和应急机制要提前准备好，比如临时工招募、设备调试、原料预采，这样才能保证供应稳定。</w:t>
      </w:r>
    </w:p>
    <w:p w14:paraId="6204F683">
      <w:pPr>
        <w:widowControl w:val="0"/>
        <w:adjustRightInd w:val="0"/>
        <w:snapToGrid w:val="0"/>
        <w:spacing w:after="0" w:line="400" w:lineRule="exact"/>
        <w:ind w:firstLine="480" w:firstLineChars="200"/>
        <w:rPr>
          <w:rFonts w:hint="default" w:ascii="Times New Roman" w:hAnsi="Times New Roman" w:eastAsia="宋体" w:cs="Times New Roman"/>
          <w:color w:val="auto"/>
          <w:kern w:val="2"/>
          <w:szCs w:val="18"/>
          <w:lang w:val="en-US" w:eastAsia="zh-CN" w:bidi="ar-SA"/>
        </w:rPr>
      </w:pPr>
      <w:r>
        <w:rPr>
          <w:rFonts w:hint="default" w:ascii="Times New Roman" w:hAnsi="Times New Roman" w:eastAsia="宋体" w:cs="Times New Roman"/>
          <w:color w:val="auto"/>
          <w:kern w:val="2"/>
          <w:szCs w:val="18"/>
          <w:lang w:val="en-US" w:eastAsia="zh-CN" w:bidi="ar-SA"/>
        </w:rPr>
        <w:t>供应链的数字化协同管理是关键。企业要搭建覆盖原料供应商、生产企业、仓储物流、电商平台的供应链协同管理系统（SCM），订单、库存、物流等信息实时共享。上游供应商要有准入考核和动态评价机制，鸭源品质和供应稳定性必须保障。下游经销商和电商平台要实施库存可视化管理，用VMI（供应商管理库存）模式自动补货，避免缺货或积压。供应链风险预警机制也不能少，针对极端天气、疫情等突发事件要有应急预案，保证供应链的韧性和连续性。如果这些措施能落地，库存周转天数会缩短30%，订单满足率能提升到95%以上，物流成本也能降15%。</w:t>
      </w:r>
      <w:r>
        <w:rPr>
          <w:rFonts w:hint="default" w:ascii="Times New Roman" w:hAnsi="Times New Roman" w:cs="Times New Roman"/>
          <w:color w:val="auto"/>
          <w:kern w:val="2"/>
          <w:szCs w:val="18"/>
          <w:lang w:val="en-US" w:eastAsia="zh-CN" w:bidi="ar-SA"/>
        </w:rPr>
        <w:t>如表5-</w:t>
      </w:r>
      <w:r>
        <w:rPr>
          <w:rFonts w:hint="eastAsia" w:cs="Times New Roman"/>
          <w:color w:val="auto"/>
          <w:kern w:val="2"/>
          <w:szCs w:val="18"/>
          <w:lang w:val="en-US" w:eastAsia="zh-CN" w:bidi="ar-SA"/>
        </w:rPr>
        <w:t>4</w:t>
      </w:r>
      <w:r>
        <w:rPr>
          <w:rFonts w:hint="default" w:ascii="Times New Roman" w:hAnsi="Times New Roman" w:cs="Times New Roman"/>
          <w:color w:val="auto"/>
          <w:kern w:val="2"/>
          <w:szCs w:val="18"/>
          <w:lang w:val="en-US" w:eastAsia="zh-CN" w:bidi="ar-SA"/>
        </w:rPr>
        <w:t>所示。</w:t>
      </w:r>
    </w:p>
    <w:p w14:paraId="60EBCC70">
      <w:pPr>
        <w:widowControl w:val="0"/>
        <w:adjustRightInd w:val="0"/>
        <w:snapToGrid w:val="0"/>
        <w:spacing w:after="0" w:line="240" w:lineRule="auto"/>
        <w:ind w:firstLine="0" w:firstLineChars="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表5-</w:t>
      </w:r>
      <w:r>
        <w:rPr>
          <w:rFonts w:hint="eastAsia" w:cs="Times New Roman"/>
          <w:color w:val="auto"/>
          <w:kern w:val="2"/>
          <w:sz w:val="21"/>
          <w:szCs w:val="21"/>
          <w:lang w:val="en-US" w:eastAsia="zh-CN" w:bidi="ar-SA"/>
        </w:rPr>
        <w:t>4</w:t>
      </w:r>
      <w:r>
        <w:rPr>
          <w:rFonts w:hint="default" w:ascii="Times New Roman" w:hAnsi="Times New Roman" w:cs="Times New Roman"/>
          <w:color w:val="auto"/>
          <w:kern w:val="2"/>
          <w:sz w:val="21"/>
          <w:szCs w:val="21"/>
          <w:lang w:val="en-US" w:eastAsia="zh-CN" w:bidi="ar-SA"/>
        </w:rPr>
        <w:t xml:space="preserve"> </w:t>
      </w:r>
      <w:r>
        <w:rPr>
          <w:rFonts w:hint="eastAsia" w:ascii="Times New Roman" w:hAnsi="Times New Roman" w:cs="Times New Roman"/>
          <w:color w:val="auto"/>
          <w:kern w:val="2"/>
          <w:sz w:val="21"/>
          <w:szCs w:val="21"/>
          <w:lang w:val="en-US" w:eastAsia="zh-CN" w:bidi="ar-SA"/>
        </w:rPr>
        <w:t xml:space="preserve"> </w:t>
      </w:r>
      <w:r>
        <w:rPr>
          <w:rFonts w:hint="default" w:ascii="Times New Roman" w:hAnsi="Times New Roman" w:eastAsia="宋体" w:cs="Times New Roman"/>
          <w:color w:val="auto"/>
          <w:kern w:val="2"/>
          <w:sz w:val="21"/>
          <w:szCs w:val="21"/>
          <w:lang w:val="en-US" w:eastAsia="zh-CN" w:bidi="ar-SA"/>
        </w:rPr>
        <w:t>加工品电商品牌建设路径与对策汇总</w:t>
      </w:r>
    </w:p>
    <w:tbl>
      <w:tblPr>
        <w:tblStyle w:val="13"/>
        <w:tblW w:w="5000" w:type="pct"/>
        <w:tblInd w:w="0" w:type="dxa"/>
        <w:tblBorders>
          <w:top w:val="single" w:color="1E3A5F" w:sz="12" w:space="0"/>
          <w:left w:val="none" w:color="auto" w:sz="0" w:space="0"/>
          <w:bottom w:val="single" w:color="1E3A5F" w:sz="12" w:space="0"/>
          <w:right w:val="none" w:color="auto" w:sz="0" w:space="0"/>
          <w:insideH w:val="single" w:color="CBD5E0" w:sz="4" w:space="0"/>
          <w:insideV w:val="none" w:color="auto" w:sz="0" w:space="0"/>
        </w:tblBorders>
        <w:tblLayout w:type="autofit"/>
        <w:tblCellMar>
          <w:top w:w="100" w:type="dxa"/>
          <w:left w:w="150" w:type="dxa"/>
          <w:bottom w:w="100" w:type="dxa"/>
          <w:right w:w="150" w:type="dxa"/>
        </w:tblCellMar>
      </w:tblPr>
      <w:tblGrid>
        <w:gridCol w:w="1873"/>
        <w:gridCol w:w="3731"/>
        <w:gridCol w:w="3362"/>
      </w:tblGrid>
      <w:tr w14:paraId="6B1CDF21">
        <w:tblPrEx>
          <w:tblBorders>
            <w:top w:val="single" w:color="1E3A5F" w:sz="12" w:space="0"/>
            <w:left w:val="none" w:color="auto" w:sz="0" w:space="0"/>
            <w:bottom w:val="single" w:color="1E3A5F" w:sz="12" w:space="0"/>
            <w:right w:val="none" w:color="auto" w:sz="0" w:space="0"/>
            <w:insideH w:val="single" w:color="CBD5E0" w:sz="4" w:space="0"/>
            <w:insideV w:val="none" w:color="auto" w:sz="0" w:space="0"/>
          </w:tblBorders>
          <w:tblCellMar>
            <w:top w:w="100" w:type="dxa"/>
            <w:left w:w="150" w:type="dxa"/>
            <w:bottom w:w="100" w:type="dxa"/>
            <w:right w:w="150" w:type="dxa"/>
          </w:tblCellMar>
        </w:tblPrEx>
        <w:trPr>
          <w:trHeight w:val="363" w:hRule="exact"/>
        </w:trPr>
        <w:tc>
          <w:tcPr>
            <w:tcW w:w="1873" w:type="dxa"/>
            <w:tcBorders>
              <w:top w:val="single" w:color="000000" w:themeColor="text1" w:sz="12" w:space="0"/>
              <w:bottom w:val="single" w:color="000000" w:themeColor="text1" w:sz="12" w:space="0"/>
            </w:tcBorders>
            <w:shd w:val="clear" w:color="auto" w:fill="auto"/>
            <w:vAlign w:val="center"/>
          </w:tcPr>
          <w:p w14:paraId="6C8308EC">
            <w:pPr>
              <w:spacing w:before="0" w:after="0"/>
              <w:ind w:firstLine="0"/>
              <w:jc w:val="center"/>
              <w:rPr>
                <w:rFonts w:hint="default" w:ascii="Times New Roman" w:hAnsi="Times New Roman" w:eastAsia="宋体" w:cs="Times New Roman"/>
                <w:b/>
                <w:bCs w:val="0"/>
                <w:color w:val="000000" w:themeColor="text1"/>
                <w:sz w:val="21"/>
                <w:szCs w:val="21"/>
                <w14:textFill>
                  <w14:solidFill>
                    <w14:schemeClr w14:val="tx1"/>
                  </w14:solidFill>
                </w14:textFill>
              </w:rPr>
            </w:pPr>
            <w:r>
              <w:rPr>
                <w:rFonts w:hint="default" w:ascii="Times New Roman" w:hAnsi="Times New Roman" w:eastAsia="宋体" w:cs="Times New Roman"/>
                <w:b/>
                <w:bCs w:val="0"/>
                <w:color w:val="000000" w:themeColor="text1"/>
                <w:sz w:val="21"/>
                <w:szCs w:val="21"/>
                <w14:textFill>
                  <w14:solidFill>
                    <w14:schemeClr w14:val="tx1"/>
                  </w14:solidFill>
                </w14:textFill>
              </w:rPr>
              <w:t>建设维度</w:t>
            </w:r>
          </w:p>
        </w:tc>
        <w:tc>
          <w:tcPr>
            <w:tcW w:w="3731" w:type="dxa"/>
            <w:tcBorders>
              <w:top w:val="single" w:color="000000" w:themeColor="text1" w:sz="12" w:space="0"/>
              <w:bottom w:val="single" w:color="000000" w:themeColor="text1" w:sz="12" w:space="0"/>
            </w:tcBorders>
            <w:shd w:val="clear" w:color="auto" w:fill="auto"/>
            <w:vAlign w:val="center"/>
          </w:tcPr>
          <w:p w14:paraId="0B6F7EC1">
            <w:pPr>
              <w:spacing w:before="0" w:after="0"/>
              <w:ind w:firstLine="0"/>
              <w:jc w:val="center"/>
              <w:rPr>
                <w:rFonts w:hint="default" w:ascii="Times New Roman" w:hAnsi="Times New Roman" w:eastAsia="宋体" w:cs="Times New Roman"/>
                <w:b/>
                <w:bCs w:val="0"/>
                <w:color w:val="000000" w:themeColor="text1"/>
                <w:sz w:val="21"/>
                <w:szCs w:val="21"/>
                <w14:textFill>
                  <w14:solidFill>
                    <w14:schemeClr w14:val="tx1"/>
                  </w14:solidFill>
                </w14:textFill>
              </w:rPr>
            </w:pPr>
            <w:r>
              <w:rPr>
                <w:rFonts w:hint="default" w:ascii="Times New Roman" w:hAnsi="Times New Roman" w:eastAsia="宋体" w:cs="Times New Roman"/>
                <w:b/>
                <w:bCs w:val="0"/>
                <w:color w:val="000000" w:themeColor="text1"/>
                <w:sz w:val="21"/>
                <w:szCs w:val="21"/>
                <w14:textFill>
                  <w14:solidFill>
                    <w14:schemeClr w14:val="tx1"/>
                  </w14:solidFill>
                </w14:textFill>
              </w:rPr>
              <w:t>核心策略</w:t>
            </w:r>
          </w:p>
        </w:tc>
        <w:tc>
          <w:tcPr>
            <w:tcW w:w="3362" w:type="dxa"/>
            <w:tcBorders>
              <w:top w:val="single" w:color="000000" w:themeColor="text1" w:sz="12" w:space="0"/>
              <w:bottom w:val="single" w:color="000000" w:themeColor="text1" w:sz="12" w:space="0"/>
            </w:tcBorders>
            <w:shd w:val="clear" w:color="auto" w:fill="auto"/>
            <w:vAlign w:val="center"/>
          </w:tcPr>
          <w:p w14:paraId="4AD62C03">
            <w:pPr>
              <w:spacing w:before="0" w:after="0"/>
              <w:ind w:firstLine="0"/>
              <w:jc w:val="center"/>
              <w:rPr>
                <w:rFonts w:hint="default" w:ascii="Times New Roman" w:hAnsi="Times New Roman" w:eastAsia="宋体" w:cs="Times New Roman"/>
                <w:b/>
                <w:bCs w:val="0"/>
                <w:color w:val="000000" w:themeColor="text1"/>
                <w:sz w:val="21"/>
                <w:szCs w:val="21"/>
                <w14:textFill>
                  <w14:solidFill>
                    <w14:schemeClr w14:val="tx1"/>
                  </w14:solidFill>
                </w14:textFill>
              </w:rPr>
            </w:pPr>
            <w:r>
              <w:rPr>
                <w:rFonts w:hint="default" w:ascii="Times New Roman" w:hAnsi="Times New Roman" w:eastAsia="宋体" w:cs="Times New Roman"/>
                <w:b/>
                <w:bCs w:val="0"/>
                <w:color w:val="000000" w:themeColor="text1"/>
                <w:sz w:val="21"/>
                <w:szCs w:val="21"/>
                <w14:textFill>
                  <w14:solidFill>
                    <w14:schemeClr w14:val="tx1"/>
                  </w14:solidFill>
                </w14:textFill>
              </w:rPr>
              <w:t>预期效果</w:t>
            </w:r>
          </w:p>
        </w:tc>
      </w:tr>
      <w:tr w14:paraId="31EC7A58">
        <w:tblPrEx>
          <w:tblBorders>
            <w:top w:val="single" w:color="1E3A5F" w:sz="12" w:space="0"/>
            <w:left w:val="none" w:color="auto" w:sz="0" w:space="0"/>
            <w:bottom w:val="single" w:color="1E3A5F" w:sz="12" w:space="0"/>
            <w:right w:val="none" w:color="auto" w:sz="0" w:space="0"/>
            <w:insideH w:val="single" w:color="CBD5E0" w:sz="4" w:space="0"/>
            <w:insideV w:val="none" w:color="auto" w:sz="0" w:space="0"/>
          </w:tblBorders>
          <w:tblCellMar>
            <w:top w:w="100" w:type="dxa"/>
            <w:left w:w="150" w:type="dxa"/>
            <w:bottom w:w="100" w:type="dxa"/>
            <w:right w:w="150" w:type="dxa"/>
          </w:tblCellMar>
        </w:tblPrEx>
        <w:trPr>
          <w:trHeight w:val="363" w:hRule="exact"/>
        </w:trPr>
        <w:tc>
          <w:tcPr>
            <w:tcW w:w="1873" w:type="dxa"/>
            <w:tcBorders>
              <w:top w:val="single" w:color="000000" w:themeColor="text1" w:sz="12" w:space="0"/>
            </w:tcBorders>
            <w:vAlign w:val="center"/>
          </w:tcPr>
          <w:p w14:paraId="2B7EF76B">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品牌定位</w:t>
            </w:r>
          </w:p>
        </w:tc>
        <w:tc>
          <w:tcPr>
            <w:tcW w:w="3731" w:type="dxa"/>
            <w:tcBorders>
              <w:top w:val="single" w:color="000000" w:themeColor="text1" w:sz="12" w:space="0"/>
            </w:tcBorders>
            <w:vAlign w:val="center"/>
          </w:tcPr>
          <w:p w14:paraId="2A39899B">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区域公用品牌+企业品牌双轮驱动</w:t>
            </w:r>
          </w:p>
        </w:tc>
        <w:tc>
          <w:tcPr>
            <w:tcW w:w="3362" w:type="dxa"/>
            <w:tcBorders>
              <w:top w:val="single" w:color="000000" w:themeColor="text1" w:sz="12" w:space="0"/>
            </w:tcBorders>
            <w:vAlign w:val="center"/>
          </w:tcPr>
          <w:p w14:paraId="20B11441">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品牌知名度提升30%</w:t>
            </w:r>
          </w:p>
        </w:tc>
      </w:tr>
      <w:tr w14:paraId="3D9470AF">
        <w:tblPrEx>
          <w:tblBorders>
            <w:top w:val="single" w:color="1E3A5F" w:sz="12" w:space="0"/>
            <w:left w:val="none" w:color="auto" w:sz="0" w:space="0"/>
            <w:bottom w:val="single" w:color="1E3A5F" w:sz="12" w:space="0"/>
            <w:right w:val="none" w:color="auto" w:sz="0" w:space="0"/>
            <w:insideH w:val="single" w:color="CBD5E0" w:sz="4" w:space="0"/>
            <w:insideV w:val="none" w:color="auto" w:sz="0" w:space="0"/>
          </w:tblBorders>
          <w:tblCellMar>
            <w:top w:w="100" w:type="dxa"/>
            <w:left w:w="150" w:type="dxa"/>
            <w:bottom w:w="100" w:type="dxa"/>
            <w:right w:w="150" w:type="dxa"/>
          </w:tblCellMar>
        </w:tblPrEx>
        <w:trPr>
          <w:trHeight w:val="363" w:hRule="exact"/>
        </w:trPr>
        <w:tc>
          <w:tcPr>
            <w:tcW w:w="1873" w:type="dxa"/>
            <w:vAlign w:val="center"/>
          </w:tcPr>
          <w:p w14:paraId="48DF9370">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品质管控</w:t>
            </w:r>
          </w:p>
        </w:tc>
        <w:tc>
          <w:tcPr>
            <w:tcW w:w="3731" w:type="dxa"/>
            <w:vAlign w:val="center"/>
          </w:tcPr>
          <w:p w14:paraId="2A777D5C">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完善标准体系+建立追溯体系</w:t>
            </w:r>
          </w:p>
        </w:tc>
        <w:tc>
          <w:tcPr>
            <w:tcW w:w="3362" w:type="dxa"/>
            <w:vAlign w:val="center"/>
          </w:tcPr>
          <w:p w14:paraId="37EC1120">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产品合格率提升至99.5%</w:t>
            </w:r>
          </w:p>
        </w:tc>
      </w:tr>
      <w:tr w14:paraId="57E154F2">
        <w:tblPrEx>
          <w:tblBorders>
            <w:top w:val="single" w:color="1E3A5F" w:sz="12" w:space="0"/>
            <w:left w:val="none" w:color="auto" w:sz="0" w:space="0"/>
            <w:bottom w:val="single" w:color="1E3A5F" w:sz="12" w:space="0"/>
            <w:right w:val="none" w:color="auto" w:sz="0" w:space="0"/>
            <w:insideH w:val="single" w:color="CBD5E0" w:sz="4" w:space="0"/>
            <w:insideV w:val="none" w:color="auto" w:sz="0" w:space="0"/>
          </w:tblBorders>
          <w:tblCellMar>
            <w:top w:w="100" w:type="dxa"/>
            <w:left w:w="150" w:type="dxa"/>
            <w:bottom w:w="100" w:type="dxa"/>
            <w:right w:w="150" w:type="dxa"/>
          </w:tblCellMar>
        </w:tblPrEx>
        <w:trPr>
          <w:trHeight w:val="363" w:hRule="exact"/>
        </w:trPr>
        <w:tc>
          <w:tcPr>
            <w:tcW w:w="1873" w:type="dxa"/>
            <w:tcBorders>
              <w:bottom w:val="nil"/>
            </w:tcBorders>
            <w:vAlign w:val="center"/>
          </w:tcPr>
          <w:p w14:paraId="3A8EADA0">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文化赋能</w:t>
            </w:r>
          </w:p>
        </w:tc>
        <w:tc>
          <w:tcPr>
            <w:tcW w:w="3731" w:type="dxa"/>
            <w:tcBorders>
              <w:bottom w:val="nil"/>
            </w:tcBorders>
            <w:vAlign w:val="center"/>
          </w:tcPr>
          <w:p w14:paraId="765CD6B0">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挖掘文化内涵+创新表达方式</w:t>
            </w:r>
          </w:p>
        </w:tc>
        <w:tc>
          <w:tcPr>
            <w:tcW w:w="3362" w:type="dxa"/>
            <w:tcBorders>
              <w:bottom w:val="nil"/>
            </w:tcBorders>
            <w:vAlign w:val="center"/>
          </w:tcPr>
          <w:p w14:paraId="00DEA7EE">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品牌溢价提升15%-20%</w:t>
            </w:r>
          </w:p>
        </w:tc>
      </w:tr>
      <w:tr w14:paraId="7773FF4A">
        <w:tblPrEx>
          <w:tblBorders>
            <w:top w:val="single" w:color="1E3A5F" w:sz="12" w:space="0"/>
            <w:left w:val="none" w:color="auto" w:sz="0" w:space="0"/>
            <w:bottom w:val="single" w:color="1E3A5F" w:sz="12" w:space="0"/>
            <w:right w:val="none" w:color="auto" w:sz="0" w:space="0"/>
            <w:insideH w:val="single" w:color="CBD5E0" w:sz="4" w:space="0"/>
            <w:insideV w:val="none" w:color="auto" w:sz="0" w:space="0"/>
          </w:tblBorders>
          <w:tblCellMar>
            <w:top w:w="100" w:type="dxa"/>
            <w:left w:w="150" w:type="dxa"/>
            <w:bottom w:w="100" w:type="dxa"/>
            <w:right w:w="150" w:type="dxa"/>
          </w:tblCellMar>
        </w:tblPrEx>
        <w:trPr>
          <w:trHeight w:val="363" w:hRule="exact"/>
        </w:trPr>
        <w:tc>
          <w:tcPr>
            <w:tcW w:w="1873" w:type="dxa"/>
            <w:tcBorders>
              <w:top w:val="nil"/>
              <w:bottom w:val="single" w:color="000000" w:themeColor="text1" w:sz="12" w:space="0"/>
            </w:tcBorders>
            <w:vAlign w:val="center"/>
          </w:tcPr>
          <w:p w14:paraId="01FA66B4">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3731" w:type="dxa"/>
            <w:tcBorders>
              <w:top w:val="nil"/>
              <w:bottom w:val="single" w:color="000000" w:themeColor="text1" w:sz="12" w:space="0"/>
            </w:tcBorders>
            <w:vAlign w:val="center"/>
          </w:tcPr>
          <w:p w14:paraId="332C67CB">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3362" w:type="dxa"/>
            <w:tcBorders>
              <w:top w:val="nil"/>
              <w:bottom w:val="single" w:color="000000" w:themeColor="text1" w:sz="12" w:space="0"/>
            </w:tcBorders>
            <w:vAlign w:val="center"/>
          </w:tcPr>
          <w:p w14:paraId="64660FC1">
            <w:pPr>
              <w:spacing w:before="0" w:after="0"/>
              <w:ind w:firstLine="0"/>
              <w:jc w:val="right"/>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续表5-4</w:t>
            </w:r>
          </w:p>
        </w:tc>
      </w:tr>
      <w:tr w14:paraId="15A4CBA0">
        <w:tblPrEx>
          <w:tblBorders>
            <w:top w:val="single" w:color="1E3A5F" w:sz="12" w:space="0"/>
            <w:left w:val="none" w:color="auto" w:sz="0" w:space="0"/>
            <w:bottom w:val="single" w:color="1E3A5F" w:sz="12" w:space="0"/>
            <w:right w:val="none" w:color="auto" w:sz="0" w:space="0"/>
            <w:insideH w:val="single" w:color="CBD5E0" w:sz="4" w:space="0"/>
            <w:insideV w:val="none" w:color="auto" w:sz="0" w:space="0"/>
          </w:tblBorders>
          <w:tblCellMar>
            <w:top w:w="100" w:type="dxa"/>
            <w:left w:w="150" w:type="dxa"/>
            <w:bottom w:w="100" w:type="dxa"/>
            <w:right w:w="150" w:type="dxa"/>
          </w:tblCellMar>
        </w:tblPrEx>
        <w:trPr>
          <w:trHeight w:val="363" w:hRule="exact"/>
        </w:trPr>
        <w:tc>
          <w:tcPr>
            <w:tcW w:w="1873" w:type="dxa"/>
            <w:tcBorders>
              <w:top w:val="single" w:color="000000" w:themeColor="text1" w:sz="12" w:space="0"/>
            </w:tcBorders>
            <w:vAlign w:val="center"/>
          </w:tcPr>
          <w:p w14:paraId="1A0AD682">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数字营销</w:t>
            </w:r>
          </w:p>
        </w:tc>
        <w:tc>
          <w:tcPr>
            <w:tcW w:w="3731" w:type="dxa"/>
            <w:tcBorders>
              <w:top w:val="single" w:color="000000" w:themeColor="text1" w:sz="12" w:space="0"/>
            </w:tcBorders>
            <w:vAlign w:val="center"/>
          </w:tcPr>
          <w:p w14:paraId="3F85644F">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全渠道矩阵+精准营销策略</w:t>
            </w:r>
          </w:p>
        </w:tc>
        <w:tc>
          <w:tcPr>
            <w:tcW w:w="3362" w:type="dxa"/>
            <w:tcBorders>
              <w:top w:val="single" w:color="000000" w:themeColor="text1" w:sz="12" w:space="0"/>
            </w:tcBorders>
            <w:vAlign w:val="center"/>
          </w:tcPr>
          <w:p w14:paraId="05D1E473">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营销ROI提升30%以上</w:t>
            </w:r>
          </w:p>
        </w:tc>
      </w:tr>
      <w:tr w14:paraId="4E0B4B50">
        <w:tblPrEx>
          <w:tblBorders>
            <w:top w:val="single" w:color="1E3A5F" w:sz="12" w:space="0"/>
            <w:left w:val="none" w:color="auto" w:sz="0" w:space="0"/>
            <w:bottom w:val="single" w:color="1E3A5F" w:sz="12" w:space="0"/>
            <w:right w:val="none" w:color="auto" w:sz="0" w:space="0"/>
            <w:insideH w:val="single" w:color="CBD5E0" w:sz="4" w:space="0"/>
            <w:insideV w:val="none" w:color="auto" w:sz="0" w:space="0"/>
          </w:tblBorders>
          <w:tblCellMar>
            <w:top w:w="100" w:type="dxa"/>
            <w:left w:w="150" w:type="dxa"/>
            <w:bottom w:w="100" w:type="dxa"/>
            <w:right w:w="150" w:type="dxa"/>
          </w:tblCellMar>
        </w:tblPrEx>
        <w:trPr>
          <w:trHeight w:val="363" w:hRule="exact"/>
        </w:trPr>
        <w:tc>
          <w:tcPr>
            <w:tcW w:w="1873" w:type="dxa"/>
            <w:vAlign w:val="center"/>
          </w:tcPr>
          <w:p w14:paraId="70867F20">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供应链优化</w:t>
            </w:r>
          </w:p>
        </w:tc>
        <w:tc>
          <w:tcPr>
            <w:tcW w:w="3731" w:type="dxa"/>
            <w:vAlign w:val="center"/>
          </w:tcPr>
          <w:p w14:paraId="3D3E07DF">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冷链物流+供应链协同</w:t>
            </w:r>
          </w:p>
        </w:tc>
        <w:tc>
          <w:tcPr>
            <w:tcW w:w="3362" w:type="dxa"/>
            <w:vAlign w:val="center"/>
          </w:tcPr>
          <w:p w14:paraId="64C0F903">
            <w:pPr>
              <w:spacing w:before="0" w:after="0"/>
              <w:ind w:firstLine="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订单满足率提升至95%</w:t>
            </w:r>
          </w:p>
        </w:tc>
      </w:tr>
    </w:tbl>
    <w:p w14:paraId="7CE4D860">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7B40CA84">
      <w:pPr>
        <w:pStyle w:val="17"/>
        <w:widowControl w:val="0"/>
        <w:adjustRightInd w:val="0"/>
        <w:snapToGrid w:val="0"/>
        <w:spacing w:before="163" w:beforeLines="50" w:after="163" w:afterLines="50"/>
        <w:ind w:firstLineChars="0"/>
        <w:rPr>
          <w:rFonts w:hint="default" w:ascii="Times New Roman" w:hAnsi="Times New Roman" w:cs="Times New Roman"/>
          <w:b w:val="0"/>
          <w:bCs w:val="0"/>
          <w:color w:val="auto"/>
          <w:kern w:val="2"/>
          <w:sz w:val="30"/>
          <w:szCs w:val="30"/>
          <w:lang w:val="en-US" w:eastAsia="zh-CN" w:bidi="ar-SA"/>
        </w:rPr>
      </w:pPr>
      <w:bookmarkStart w:id="166" w:name="_Toc1673844835"/>
      <w:bookmarkStart w:id="167" w:name="_Toc83133581"/>
      <w:bookmarkStart w:id="168" w:name="_Toc31490"/>
      <w:bookmarkStart w:id="169" w:name="_Toc454176066"/>
      <w:bookmarkStart w:id="170" w:name="_Toc1556716699"/>
      <w:r>
        <w:rPr>
          <w:rFonts w:hint="default" w:ascii="Times New Roman" w:hAnsi="Times New Roman" w:cs="Times New Roman"/>
        </w:rPr>
        <w:t>结论</w:t>
      </w:r>
      <w:bookmarkEnd w:id="166"/>
      <w:bookmarkEnd w:id="167"/>
      <w:bookmarkEnd w:id="168"/>
      <w:bookmarkEnd w:id="169"/>
      <w:bookmarkEnd w:id="170"/>
    </w:p>
    <w:p w14:paraId="71B707FA">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本文以南京盐水鸭为研究对象，对加工品电商品牌建设路径及策略进行了研究分析，得出如下几点结论：一是加工品电商品牌建设要形成</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区域公用品牌+企业品牌</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color w:val="000000" w:themeColor="text1"/>
          <w:kern w:val="2"/>
          <w:szCs w:val="18"/>
          <w:lang w:val="en-US" w:eastAsia="zh-CN" w:bidi="ar-SA"/>
          <w14:textFill>
            <w14:solidFill>
              <w14:schemeClr w14:val="tx1"/>
            </w14:solidFill>
          </w14:textFill>
        </w:rPr>
        <w:t>的双品牌模式，在政府引导下，由企业主导进行品牌建设，从而达到双赢的目的。二是品质是品牌的基础，要制定严格的质量标准以及可追溯制度保证产品的质量。三是文化是品牌价值的重要组成部分，要充分挖掘产品的文化底蕴并用新的方式来呈现。四是数字化营销是电商品牌建设的关键所在，要打造全方位的营销网络，开展有针对性的营销活动。五是供应链优化是品牌建设的基础，要完善冷链物流建设，提高供应链的协同性。</w:t>
      </w:r>
    </w:p>
    <w:p w14:paraId="17F49196">
      <w:pPr>
        <w:widowControl w:val="0"/>
        <w:adjustRightInd w:val="0"/>
        <w:snapToGrid w:val="0"/>
        <w:spacing w:after="0" w:line="400" w:lineRule="exact"/>
        <w:ind w:firstLine="480" w:firstLineChars="200"/>
        <w:rPr>
          <w:rFonts w:hint="default" w:ascii="Times New Roman" w:hAnsi="Times New Roman" w:cs="Times New Roman"/>
          <w:color w:val="000000" w:themeColor="text1"/>
          <w:kern w:val="2"/>
          <w:szCs w:val="18"/>
          <w:lang w:val="en-US" w:eastAsia="zh-CN" w:bidi="ar-SA"/>
          <w14:textFill>
            <w14:solidFill>
              <w14:schemeClr w14:val="tx1"/>
            </w14:solidFill>
          </w14:textFill>
        </w:rPr>
      </w:pPr>
      <w:r>
        <w:rPr>
          <w:rFonts w:hint="default" w:ascii="Times New Roman" w:hAnsi="Times New Roman" w:cs="Times New Roman"/>
          <w:color w:val="000000" w:themeColor="text1"/>
          <w:kern w:val="2"/>
          <w:szCs w:val="18"/>
          <w:lang w:val="en-US" w:eastAsia="zh-CN" w:bidi="ar-SA"/>
          <w14:textFill>
            <w14:solidFill>
              <w14:schemeClr w14:val="tx1"/>
            </w14:solidFill>
          </w14:textFill>
        </w:rPr>
        <w:t>本文也存在一定不足之处。一是由于时间和精力有限，调查对象主要是华东地区的消费者，对于其他地区的消费者是否具有代表性还有待进一步研究。二是本文选取南京盐水鸭作为研究对象，其研究结果是否具有普遍性还需更多的案例进行验证。未来的研究可以从以下几个方面展开：（1）进行不同地区、不同类型产品的对比研究，以检验本文的研究成果是否具有普遍性。（2）利用大数据分析的方法，从电商平台上的用户评论、社交媒体上的评论等信息中挖掘出消费者的需求。（3）关注直播电商、社区团购等新型渠道对品牌的影响，寻找加工品电商品牌建设的新思路。</w:t>
      </w:r>
    </w:p>
    <w:p w14:paraId="0104D450">
      <w:pPr>
        <w:rPr>
          <w:rFonts w:hint="default" w:ascii="Times New Roman" w:hAnsi="Times New Roman" w:cs="Times New Roman"/>
        </w:rPr>
        <w:sectPr>
          <w:footerReference r:id="rId9" w:type="default"/>
          <w:pgSz w:w="11906" w:h="16838"/>
          <w:pgMar w:top="1440" w:right="1440" w:bottom="1440" w:left="1800" w:header="720" w:footer="720" w:gutter="0"/>
          <w:pgBorders>
            <w:top w:val="none" w:sz="0" w:space="0"/>
            <w:left w:val="none" w:sz="0" w:space="0"/>
            <w:bottom w:val="none" w:sz="0" w:space="0"/>
            <w:right w:val="none" w:sz="0" w:space="0"/>
          </w:pgBorders>
          <w:pgNumType w:fmt="decimal" w:start="1"/>
          <w:cols w:space="720" w:num="1"/>
        </w:sectPr>
      </w:pPr>
    </w:p>
    <w:p w14:paraId="43DFDF03">
      <w:pPr>
        <w:pStyle w:val="2"/>
        <w:keepNext/>
        <w:keepLines/>
        <w:pageBreakBefore w:val="0"/>
        <w:widowControl w:val="0"/>
        <w:kinsoku/>
        <w:wordWrap/>
        <w:overflowPunct/>
        <w:topLinePunct w:val="0"/>
        <w:autoSpaceDE/>
        <w:autoSpaceDN/>
        <w:bidi w:val="0"/>
        <w:adjustRightInd w:val="0"/>
        <w:snapToGrid w:val="0"/>
        <w:spacing w:before="156" w:beforeLines="50" w:after="156" w:afterLines="50"/>
        <w:ind w:firstLineChars="0"/>
        <w:textAlignment w:val="auto"/>
        <w:rPr>
          <w:rFonts w:hint="default" w:ascii="Times New Roman" w:hAnsi="Times New Roman" w:cs="Times New Roman"/>
          <w:b w:val="0"/>
          <w:bCs/>
          <w:color w:val="000000" w:themeColor="text1"/>
          <w:kern w:val="44"/>
          <w:sz w:val="36"/>
          <w:szCs w:val="44"/>
          <w:lang w:val="en-US" w:eastAsia="zh-CN" w:bidi="ar-SA"/>
          <w14:textFill>
            <w14:solidFill>
              <w14:schemeClr w14:val="tx1"/>
            </w14:solidFill>
          </w14:textFill>
        </w:rPr>
      </w:pPr>
      <w:bookmarkStart w:id="171" w:name="_Toc1361725317"/>
      <w:bookmarkStart w:id="172" w:name="_Toc1835383900"/>
      <w:bookmarkStart w:id="173" w:name="_Toc1749"/>
      <w:bookmarkStart w:id="174" w:name="_Toc1180259824"/>
      <w:bookmarkStart w:id="175" w:name="_Toc1963408993"/>
      <w:r>
        <w:rPr>
          <w:rFonts w:hint="default" w:ascii="Times New Roman" w:hAnsi="Times New Roman" w:cs="Times New Roman"/>
          <w:b w:val="0"/>
          <w:bCs/>
          <w:color w:val="000000" w:themeColor="text1"/>
          <w:kern w:val="44"/>
          <w:sz w:val="36"/>
          <w:szCs w:val="44"/>
          <w:lang w:val="en-US" w:eastAsia="zh-CN" w:bidi="ar-SA"/>
          <w14:textFill>
            <w14:solidFill>
              <w14:schemeClr w14:val="tx1"/>
            </w14:solidFill>
          </w14:textFill>
        </w:rPr>
        <w:t>参考文献</w:t>
      </w:r>
      <w:bookmarkEnd w:id="171"/>
      <w:bookmarkEnd w:id="172"/>
      <w:bookmarkEnd w:id="173"/>
      <w:bookmarkEnd w:id="174"/>
      <w:bookmarkEnd w:id="175"/>
    </w:p>
    <w:p w14:paraId="1AF71FD2">
      <w:pPr>
        <w:wordWrap w:val="0"/>
        <w:spacing w:after="0" w:line="400" w:lineRule="exact"/>
        <w:ind w:firstLine="0"/>
        <w:rPr>
          <w:rFonts w:hint="default" w:ascii="Times New Roman" w:hAnsi="Times New Roman" w:eastAsia="宋体" w:cs="Times New Roman"/>
          <w:sz w:val="21"/>
          <w:szCs w:val="21"/>
          <w:lang w:val="en-US" w:eastAsia="zh-CN" w:bidi="ar-SA"/>
        </w:rPr>
      </w:pPr>
      <w:bookmarkStart w:id="176" w:name="_Ref14124"/>
      <w:r>
        <w:rPr>
          <w:rFonts w:hint="default" w:ascii="Times New Roman" w:hAnsi="Times New Roman" w:eastAsia="宋体" w:cs="Times New Roman"/>
          <w:sz w:val="21"/>
          <w:szCs w:val="21"/>
          <w:lang w:val="en-US" w:eastAsia="zh-CN" w:bidi="ar-SA"/>
        </w:rPr>
        <w:t>[1]Keller K L. Conceptualizing, Measuring, and Managing Customer-Based Brand Equity[J]. Journal of Marketing, 1993, 57(1): 1-22.</w:t>
      </w:r>
      <w:bookmarkEnd w:id="176"/>
    </w:p>
    <w:p w14:paraId="17A972B9">
      <w:pPr>
        <w:wordWrap w:val="0"/>
        <w:spacing w:after="0" w:line="400" w:lineRule="exact"/>
        <w:ind w:firstLine="0"/>
        <w:rPr>
          <w:rFonts w:hint="default" w:ascii="Times New Roman" w:hAnsi="Times New Roman" w:eastAsia="宋体" w:cs="Times New Roman"/>
          <w:sz w:val="21"/>
          <w:szCs w:val="21"/>
          <w:lang w:val="en-US" w:eastAsia="zh-CN" w:bidi="ar-SA"/>
        </w:rPr>
      </w:pPr>
      <w:bookmarkStart w:id="177" w:name="_Ref14284"/>
      <w:r>
        <w:rPr>
          <w:rFonts w:hint="default" w:ascii="Times New Roman" w:hAnsi="Times New Roman" w:eastAsia="宋体" w:cs="Times New Roman"/>
          <w:sz w:val="21"/>
          <w:szCs w:val="21"/>
          <w:lang w:val="en-US" w:eastAsia="zh-CN" w:bidi="ar-SA"/>
        </w:rPr>
        <w:t>[2]Aaker D A. Building Strong Brands[M]. New York: Free Press, 1996.</w:t>
      </w:r>
      <w:bookmarkEnd w:id="177"/>
    </w:p>
    <w:p w14:paraId="07221F72">
      <w:pPr>
        <w:wordWrap w:val="0"/>
        <w:spacing w:after="0" w:line="400" w:lineRule="exact"/>
        <w:ind w:firstLine="0"/>
        <w:rPr>
          <w:rFonts w:hint="default" w:ascii="Times New Roman" w:hAnsi="Times New Roman" w:eastAsia="宋体" w:cs="Times New Roman"/>
          <w:sz w:val="21"/>
          <w:szCs w:val="21"/>
          <w:lang w:val="en-US" w:eastAsia="zh-CN" w:bidi="ar-SA"/>
        </w:rPr>
      </w:pPr>
      <w:bookmarkStart w:id="178" w:name="_Ref14434"/>
      <w:r>
        <w:rPr>
          <w:rFonts w:hint="default" w:ascii="Times New Roman" w:hAnsi="Times New Roman" w:eastAsia="宋体" w:cs="Times New Roman"/>
          <w:sz w:val="21"/>
          <w:szCs w:val="21"/>
          <w:lang w:val="en-US" w:eastAsia="zh-CN" w:bidi="ar-SA"/>
        </w:rPr>
        <w:t>[3]Belletti G, Marescotti A, Touzard J M. Geographical Indications, Public Goods, and Sustainable Development: The Roles of Actors' Strategies and Public Policies[J]. World Development, 2017, 98: 4</w:t>
      </w:r>
      <w:bookmarkEnd w:id="178"/>
    </w:p>
    <w:p w14:paraId="4E184C41">
      <w:pPr>
        <w:wordWrap w:val="0"/>
        <w:spacing w:after="0" w:line="400" w:lineRule="exact"/>
        <w:ind w:firstLine="0"/>
        <w:rPr>
          <w:rFonts w:hint="default" w:ascii="Times New Roman" w:hAnsi="Times New Roman" w:eastAsia="宋体" w:cs="Times New Roman"/>
          <w:sz w:val="21"/>
          <w:szCs w:val="21"/>
          <w:lang w:val="en-US" w:eastAsia="zh-CN" w:bidi="ar-SA"/>
        </w:rPr>
      </w:pPr>
      <w:bookmarkStart w:id="179" w:name="_Ref21013"/>
      <w:r>
        <w:rPr>
          <w:rFonts w:hint="default" w:ascii="Times New Roman" w:hAnsi="Times New Roman" w:eastAsia="宋体" w:cs="Times New Roman"/>
          <w:sz w:val="21"/>
          <w:szCs w:val="21"/>
          <w:lang w:val="en-US" w:eastAsia="zh-CN" w:bidi="ar-SA"/>
        </w:rPr>
        <w:t>[</w:t>
      </w:r>
      <w:r>
        <w:rPr>
          <w:rFonts w:hint="eastAsia" w:cs="Times New Roman"/>
          <w:sz w:val="21"/>
          <w:szCs w:val="21"/>
          <w:lang w:val="en-US" w:eastAsia="zh-CN" w:bidi="ar-SA"/>
        </w:rPr>
        <w:t>4</w:t>
      </w:r>
      <w:r>
        <w:rPr>
          <w:rFonts w:hint="default" w:ascii="Times New Roman" w:hAnsi="Times New Roman" w:eastAsia="宋体" w:cs="Times New Roman"/>
          <w:sz w:val="21"/>
          <w:szCs w:val="21"/>
          <w:lang w:val="en-US" w:eastAsia="zh-CN" w:bidi="ar-SA"/>
        </w:rPr>
        <w:t>]孔艳芬.数字乡村视域下农产品电商品牌</w:t>
      </w:r>
      <w:r>
        <w:rPr>
          <w:rFonts w:hint="eastAsia" w:ascii="Times New Roman" w:hAnsi="Times New Roman" w:eastAsia="宋体" w:cs="Times New Roman"/>
          <w:sz w:val="21"/>
          <w:szCs w:val="21"/>
          <w:lang w:val="en-US" w:eastAsia="zh-CN" w:bidi="ar-SA"/>
        </w:rPr>
        <w:t>“</w:t>
      </w:r>
      <w:r>
        <w:rPr>
          <w:rFonts w:hint="default" w:ascii="Times New Roman" w:hAnsi="Times New Roman" w:eastAsia="宋体" w:cs="Times New Roman"/>
          <w:sz w:val="21"/>
          <w:szCs w:val="21"/>
          <w:lang w:val="en-US" w:eastAsia="zh-CN" w:bidi="ar-SA"/>
        </w:rPr>
        <w:t>四维一体</w:t>
      </w:r>
      <w:r>
        <w:rPr>
          <w:rFonts w:hint="eastAsia" w:ascii="Times New Roman" w:hAnsi="Times New Roman" w:eastAsia="宋体" w:cs="Times New Roman"/>
          <w:sz w:val="21"/>
          <w:szCs w:val="21"/>
          <w:lang w:val="en-US" w:eastAsia="zh-CN" w:bidi="ar-SA"/>
        </w:rPr>
        <w:t>”</w:t>
      </w:r>
      <w:r>
        <w:rPr>
          <w:rFonts w:hint="default" w:ascii="Times New Roman" w:hAnsi="Times New Roman" w:eastAsia="宋体" w:cs="Times New Roman"/>
          <w:sz w:val="21"/>
          <w:szCs w:val="21"/>
          <w:lang w:val="en-US" w:eastAsia="zh-CN" w:bidi="ar-SA"/>
        </w:rPr>
        <w:t>发展路径[J].全国流通经济,2026,(01):12-15.</w:t>
      </w:r>
      <w:bookmarkEnd w:id="179"/>
    </w:p>
    <w:p w14:paraId="050FE30A">
      <w:pPr>
        <w:wordWrap w:val="0"/>
        <w:spacing w:after="0" w:line="400" w:lineRule="exact"/>
        <w:ind w:firstLine="0"/>
        <w:rPr>
          <w:rFonts w:hint="default" w:ascii="Times New Roman" w:hAnsi="Times New Roman" w:eastAsia="宋体" w:cs="Times New Roman"/>
          <w:sz w:val="21"/>
          <w:szCs w:val="21"/>
          <w:lang w:val="en-US" w:eastAsia="zh-CN" w:bidi="ar-SA"/>
        </w:rPr>
      </w:pPr>
      <w:bookmarkStart w:id="180" w:name="_Ref21101"/>
      <w:r>
        <w:rPr>
          <w:rFonts w:hint="default" w:ascii="Times New Roman" w:hAnsi="Times New Roman" w:eastAsia="宋体" w:cs="Times New Roman"/>
          <w:sz w:val="21"/>
          <w:szCs w:val="21"/>
          <w:lang w:val="en-US" w:eastAsia="zh-CN" w:bidi="ar-SA"/>
        </w:rPr>
        <w:t>[</w:t>
      </w:r>
      <w:r>
        <w:rPr>
          <w:rFonts w:hint="eastAsia" w:cs="Times New Roman"/>
          <w:sz w:val="21"/>
          <w:szCs w:val="21"/>
          <w:lang w:val="en-US" w:eastAsia="zh-CN" w:bidi="ar-SA"/>
        </w:rPr>
        <w:t>5</w:t>
      </w:r>
      <w:r>
        <w:rPr>
          <w:rFonts w:hint="default" w:ascii="Times New Roman" w:hAnsi="Times New Roman" w:eastAsia="宋体" w:cs="Times New Roman"/>
          <w:sz w:val="21"/>
          <w:szCs w:val="21"/>
          <w:lang w:val="en-US" w:eastAsia="zh-CN" w:bidi="ar-SA"/>
        </w:rPr>
        <w:t>]蒙宁.乡村振兴背景下农产品电商品牌建设策略——以广东地区农产品为例[J].农村科学实验,2025,(20):25-27.</w:t>
      </w:r>
      <w:bookmarkEnd w:id="180"/>
    </w:p>
    <w:p w14:paraId="16D8CFE8">
      <w:pPr>
        <w:wordWrap w:val="0"/>
        <w:spacing w:after="0" w:line="400" w:lineRule="exact"/>
        <w:ind w:firstLine="0"/>
        <w:rPr>
          <w:rFonts w:hint="default" w:ascii="Times New Roman" w:hAnsi="Times New Roman" w:eastAsia="宋体" w:cs="Times New Roman"/>
          <w:sz w:val="21"/>
          <w:szCs w:val="21"/>
          <w:lang w:val="en-US" w:eastAsia="zh-CN" w:bidi="ar-SA"/>
        </w:rPr>
      </w:pPr>
      <w:bookmarkStart w:id="181" w:name="_Ref21134"/>
      <w:r>
        <w:rPr>
          <w:rFonts w:hint="default" w:ascii="Times New Roman" w:hAnsi="Times New Roman" w:eastAsia="宋体" w:cs="Times New Roman"/>
          <w:sz w:val="21"/>
          <w:szCs w:val="21"/>
          <w:lang w:val="en-US" w:eastAsia="zh-CN" w:bidi="ar-SA"/>
        </w:rPr>
        <w:t>[</w:t>
      </w:r>
      <w:r>
        <w:rPr>
          <w:rFonts w:hint="eastAsia" w:cs="Times New Roman"/>
          <w:sz w:val="21"/>
          <w:szCs w:val="21"/>
          <w:lang w:val="en-US" w:eastAsia="zh-CN" w:bidi="ar-SA"/>
        </w:rPr>
        <w:t>6</w:t>
      </w:r>
      <w:r>
        <w:rPr>
          <w:rFonts w:hint="default" w:ascii="Times New Roman" w:hAnsi="Times New Roman" w:eastAsia="宋体" w:cs="Times New Roman"/>
          <w:sz w:val="21"/>
          <w:szCs w:val="21"/>
          <w:lang w:val="en-US" w:eastAsia="zh-CN" w:bidi="ar-SA"/>
        </w:rPr>
        <w:t>]林萍,林居.广东省</w:t>
      </w:r>
      <w:r>
        <w:rPr>
          <w:rFonts w:hint="eastAsia" w:ascii="Times New Roman" w:hAnsi="Times New Roman" w:eastAsia="宋体" w:cs="Times New Roman"/>
          <w:sz w:val="21"/>
          <w:szCs w:val="21"/>
          <w:lang w:val="en-US" w:eastAsia="zh-CN" w:bidi="ar-SA"/>
        </w:rPr>
        <w:t>“</w:t>
      </w:r>
      <w:r>
        <w:rPr>
          <w:rFonts w:hint="default" w:ascii="Times New Roman" w:hAnsi="Times New Roman" w:eastAsia="宋体" w:cs="Times New Roman"/>
          <w:sz w:val="21"/>
          <w:szCs w:val="21"/>
          <w:lang w:val="en-US" w:eastAsia="zh-CN" w:bidi="ar-SA"/>
        </w:rPr>
        <w:t>百千万工程</w:t>
      </w:r>
      <w:r>
        <w:rPr>
          <w:rFonts w:hint="eastAsia" w:ascii="Times New Roman" w:hAnsi="Times New Roman" w:eastAsia="宋体" w:cs="Times New Roman"/>
          <w:sz w:val="21"/>
          <w:szCs w:val="21"/>
          <w:lang w:val="en-US" w:eastAsia="zh-CN" w:bidi="ar-SA"/>
        </w:rPr>
        <w:t>”</w:t>
      </w:r>
      <w:r>
        <w:rPr>
          <w:rFonts w:hint="default" w:ascii="Times New Roman" w:hAnsi="Times New Roman" w:eastAsia="宋体" w:cs="Times New Roman"/>
          <w:sz w:val="21"/>
          <w:szCs w:val="21"/>
          <w:lang w:val="en-US" w:eastAsia="zh-CN" w:bidi="ar-SA"/>
        </w:rPr>
        <w:t>中农产品电商品牌化建设对农民增收的影响研究[J].新农民,2025,(29):36-38.</w:t>
      </w:r>
      <w:bookmarkEnd w:id="181"/>
    </w:p>
    <w:p w14:paraId="2304CA33">
      <w:pPr>
        <w:wordWrap w:val="0"/>
        <w:spacing w:after="0" w:line="400" w:lineRule="exact"/>
        <w:ind w:firstLine="0"/>
        <w:rPr>
          <w:rFonts w:hint="default" w:ascii="Times New Roman" w:hAnsi="Times New Roman" w:eastAsia="宋体" w:cs="Times New Roman"/>
          <w:sz w:val="21"/>
          <w:szCs w:val="21"/>
          <w:lang w:val="en-US" w:eastAsia="zh-CN" w:bidi="ar-SA"/>
        </w:rPr>
      </w:pPr>
      <w:bookmarkStart w:id="182" w:name="_Ref21238"/>
      <w:r>
        <w:rPr>
          <w:rFonts w:hint="default" w:ascii="Times New Roman" w:hAnsi="Times New Roman" w:eastAsia="宋体" w:cs="Times New Roman"/>
          <w:sz w:val="21"/>
          <w:szCs w:val="21"/>
          <w:lang w:val="en-US" w:eastAsia="zh-CN" w:bidi="ar-SA"/>
        </w:rPr>
        <w:t>[</w:t>
      </w:r>
      <w:r>
        <w:rPr>
          <w:rFonts w:hint="eastAsia" w:cs="Times New Roman"/>
          <w:sz w:val="21"/>
          <w:szCs w:val="21"/>
          <w:lang w:val="en-US" w:eastAsia="zh-CN" w:bidi="ar-SA"/>
        </w:rPr>
        <w:t>7</w:t>
      </w:r>
      <w:r>
        <w:rPr>
          <w:rFonts w:hint="default" w:ascii="Times New Roman" w:hAnsi="Times New Roman" w:eastAsia="宋体" w:cs="Times New Roman"/>
          <w:sz w:val="21"/>
          <w:szCs w:val="21"/>
          <w:lang w:val="en-US" w:eastAsia="zh-CN" w:bidi="ar-SA"/>
        </w:rPr>
        <w:t xml:space="preserve">]廖丽.民族地区政府嵌入农产品区域公用品牌建设研究[D].广西民族大学,2025. </w:t>
      </w:r>
      <w:bookmarkEnd w:id="182"/>
    </w:p>
    <w:p w14:paraId="420FCA71">
      <w:pPr>
        <w:wordWrap w:val="0"/>
        <w:spacing w:after="0" w:line="400" w:lineRule="exact"/>
        <w:ind w:firstLine="0"/>
        <w:rPr>
          <w:rFonts w:hint="default" w:ascii="Times New Roman" w:hAnsi="Times New Roman" w:eastAsia="宋体" w:cs="Times New Roman"/>
          <w:sz w:val="21"/>
          <w:szCs w:val="21"/>
          <w:lang w:val="en-US" w:eastAsia="zh-CN" w:bidi="ar-SA"/>
        </w:rPr>
      </w:pPr>
      <w:bookmarkStart w:id="183" w:name="_Ref21496"/>
      <w:r>
        <w:rPr>
          <w:rFonts w:hint="default" w:ascii="Times New Roman" w:hAnsi="Times New Roman" w:eastAsia="宋体" w:cs="Times New Roman"/>
          <w:sz w:val="21"/>
          <w:szCs w:val="21"/>
          <w:lang w:val="en-US" w:eastAsia="zh-CN" w:bidi="ar-SA"/>
        </w:rPr>
        <w:t>[</w:t>
      </w:r>
      <w:r>
        <w:rPr>
          <w:rFonts w:hint="eastAsia" w:cs="Times New Roman"/>
          <w:sz w:val="21"/>
          <w:szCs w:val="21"/>
          <w:lang w:val="en-US" w:eastAsia="zh-CN" w:bidi="ar-SA"/>
        </w:rPr>
        <w:t>8</w:t>
      </w:r>
      <w:r>
        <w:rPr>
          <w:rFonts w:hint="default" w:ascii="Times New Roman" w:hAnsi="Times New Roman" w:eastAsia="宋体" w:cs="Times New Roman"/>
          <w:sz w:val="21"/>
          <w:szCs w:val="21"/>
          <w:lang w:val="en-US" w:eastAsia="zh-CN" w:bidi="ar-SA"/>
        </w:rPr>
        <w:t>]梁潇.政府主导下区域农产品品牌建设助推产业振兴的路径优化研究[D].广西大学, 2025.</w:t>
      </w:r>
      <w:bookmarkEnd w:id="183"/>
    </w:p>
    <w:p w14:paraId="22024E0B">
      <w:pPr>
        <w:wordWrap w:val="0"/>
        <w:spacing w:after="0" w:line="400" w:lineRule="exact"/>
        <w:ind w:firstLine="0"/>
        <w:rPr>
          <w:rFonts w:hint="default" w:ascii="Times New Roman" w:hAnsi="Times New Roman" w:eastAsia="宋体" w:cs="Times New Roman"/>
          <w:sz w:val="21"/>
          <w:szCs w:val="21"/>
          <w:lang w:val="en-US" w:eastAsia="zh-CN" w:bidi="ar-SA"/>
        </w:rPr>
      </w:pPr>
      <w:bookmarkStart w:id="184" w:name="_Ref21539"/>
      <w:r>
        <w:rPr>
          <w:rFonts w:hint="default" w:ascii="Times New Roman" w:hAnsi="Times New Roman" w:eastAsia="宋体" w:cs="Times New Roman"/>
          <w:sz w:val="21"/>
          <w:szCs w:val="21"/>
          <w:lang w:val="en-US" w:eastAsia="zh-CN" w:bidi="ar-SA"/>
        </w:rPr>
        <w:t>[</w:t>
      </w:r>
      <w:r>
        <w:rPr>
          <w:rFonts w:hint="eastAsia" w:cs="Times New Roman"/>
          <w:sz w:val="21"/>
          <w:szCs w:val="21"/>
          <w:lang w:val="en-US" w:eastAsia="zh-CN" w:bidi="ar-SA"/>
        </w:rPr>
        <w:t>9</w:t>
      </w:r>
      <w:r>
        <w:rPr>
          <w:rFonts w:hint="default" w:ascii="Times New Roman" w:hAnsi="Times New Roman" w:eastAsia="宋体" w:cs="Times New Roman"/>
          <w:sz w:val="21"/>
          <w:szCs w:val="21"/>
          <w:lang w:val="en-US" w:eastAsia="zh-CN" w:bidi="ar-SA"/>
        </w:rPr>
        <w:t>]王珈琪.库伦旗农产品区域品牌建设中的政府职能研究[D].内蒙古师范大学,2025.</w:t>
      </w:r>
      <w:bookmarkEnd w:id="184"/>
    </w:p>
    <w:p w14:paraId="6528F43A">
      <w:pPr>
        <w:wordWrap w:val="0"/>
        <w:spacing w:after="0" w:line="400" w:lineRule="exact"/>
        <w:ind w:firstLine="0"/>
        <w:rPr>
          <w:rFonts w:hint="default" w:ascii="Times New Roman" w:hAnsi="Times New Roman" w:eastAsia="宋体" w:cs="Times New Roman"/>
          <w:sz w:val="21"/>
          <w:szCs w:val="21"/>
          <w:lang w:val="en-US" w:eastAsia="zh-CN" w:bidi="ar-SA"/>
        </w:rPr>
      </w:pPr>
      <w:bookmarkStart w:id="185" w:name="_Ref21620"/>
      <w:r>
        <w:rPr>
          <w:rFonts w:hint="default" w:ascii="Times New Roman" w:hAnsi="Times New Roman" w:eastAsia="宋体" w:cs="Times New Roman"/>
          <w:sz w:val="21"/>
          <w:szCs w:val="21"/>
          <w:lang w:val="en-US" w:eastAsia="zh-CN" w:bidi="ar-SA"/>
        </w:rPr>
        <w:t>[1</w:t>
      </w:r>
      <w:r>
        <w:rPr>
          <w:rFonts w:hint="eastAsia" w:cs="Times New Roman"/>
          <w:sz w:val="21"/>
          <w:szCs w:val="21"/>
          <w:lang w:val="en-US" w:eastAsia="zh-CN" w:bidi="ar-SA"/>
        </w:rPr>
        <w:t>0</w:t>
      </w:r>
      <w:r>
        <w:rPr>
          <w:rFonts w:hint="default" w:ascii="Times New Roman" w:hAnsi="Times New Roman" w:eastAsia="宋体" w:cs="Times New Roman"/>
          <w:sz w:val="21"/>
          <w:szCs w:val="21"/>
          <w:lang w:val="en-US" w:eastAsia="zh-CN" w:bidi="ar-SA"/>
        </w:rPr>
        <w:t>]杨明珠.乡村振兴背景下南阳市特色农产品电商品牌塑造与推广策略[J].现代商业,2025,(12):61-64.</w:t>
      </w:r>
      <w:bookmarkEnd w:id="185"/>
    </w:p>
    <w:p w14:paraId="16A775BC">
      <w:pPr>
        <w:wordWrap w:val="0"/>
        <w:spacing w:after="0" w:line="400" w:lineRule="exact"/>
        <w:ind w:firstLine="0"/>
        <w:rPr>
          <w:rFonts w:hint="default" w:ascii="Times New Roman" w:hAnsi="Times New Roman" w:eastAsia="宋体" w:cs="Times New Roman"/>
          <w:sz w:val="21"/>
          <w:szCs w:val="21"/>
          <w:lang w:val="en-US" w:eastAsia="zh-CN" w:bidi="ar-SA"/>
        </w:rPr>
      </w:pPr>
      <w:bookmarkStart w:id="186" w:name="_Ref21656"/>
      <w:bookmarkStart w:id="187" w:name="_Toc551327541"/>
      <w:bookmarkStart w:id="188" w:name="_Toc342784285"/>
      <w:bookmarkStart w:id="189" w:name="_Toc1287584414"/>
      <w:r>
        <w:rPr>
          <w:rFonts w:hint="default" w:ascii="Times New Roman" w:hAnsi="Times New Roman" w:eastAsia="宋体" w:cs="Times New Roman"/>
          <w:sz w:val="21"/>
          <w:szCs w:val="21"/>
          <w:lang w:val="en-US" w:eastAsia="zh-CN" w:bidi="ar-SA"/>
        </w:rPr>
        <w:t>[1</w:t>
      </w:r>
      <w:r>
        <w:rPr>
          <w:rFonts w:hint="eastAsia" w:cs="Times New Roman"/>
          <w:sz w:val="21"/>
          <w:szCs w:val="21"/>
          <w:lang w:val="en-US" w:eastAsia="zh-CN" w:bidi="ar-SA"/>
        </w:rPr>
        <w:t>1</w:t>
      </w:r>
      <w:r>
        <w:rPr>
          <w:rFonts w:hint="default" w:ascii="Times New Roman" w:hAnsi="Times New Roman" w:eastAsia="宋体" w:cs="Times New Roman"/>
          <w:sz w:val="21"/>
          <w:szCs w:val="21"/>
          <w:lang w:val="en-US" w:eastAsia="zh-CN" w:bidi="ar-SA"/>
        </w:rPr>
        <w:t>]闫思敏,潘文佳.乡村振兴背景下临潼农产品电商品牌建设的发展路径[J].商场现代化,2025,(09):36-38.</w:t>
      </w:r>
      <w:bookmarkEnd w:id="186"/>
    </w:p>
    <w:p w14:paraId="67DBA083">
      <w:pPr>
        <w:wordWrap w:val="0"/>
        <w:spacing w:after="0" w:line="400" w:lineRule="exact"/>
        <w:ind w:firstLine="0"/>
        <w:rPr>
          <w:rFonts w:hint="default" w:ascii="Times New Roman" w:hAnsi="Times New Roman" w:eastAsia="宋体" w:cs="Times New Roman"/>
          <w:sz w:val="21"/>
          <w:szCs w:val="21"/>
          <w:lang w:val="en-US" w:eastAsia="zh-CN" w:bidi="ar-SA"/>
        </w:rPr>
      </w:pPr>
      <w:bookmarkStart w:id="190" w:name="_Ref21692"/>
      <w:r>
        <w:rPr>
          <w:rFonts w:hint="default" w:ascii="Times New Roman" w:hAnsi="Times New Roman" w:eastAsia="宋体" w:cs="Times New Roman"/>
          <w:sz w:val="21"/>
          <w:szCs w:val="21"/>
          <w:lang w:val="en-US" w:eastAsia="zh-CN" w:bidi="ar-SA"/>
        </w:rPr>
        <w:t>[1</w:t>
      </w:r>
      <w:r>
        <w:rPr>
          <w:rFonts w:hint="eastAsia" w:cs="Times New Roman"/>
          <w:sz w:val="21"/>
          <w:szCs w:val="21"/>
          <w:lang w:val="en-US" w:eastAsia="zh-CN" w:bidi="ar-SA"/>
        </w:rPr>
        <w:t>2</w:t>
      </w:r>
      <w:r>
        <w:rPr>
          <w:rFonts w:hint="default" w:ascii="Times New Roman" w:hAnsi="Times New Roman" w:eastAsia="宋体" w:cs="Times New Roman"/>
          <w:sz w:val="21"/>
          <w:szCs w:val="21"/>
          <w:lang w:val="en-US" w:eastAsia="zh-CN" w:bidi="ar-SA"/>
        </w:rPr>
        <w:t>]刘晶晶.区域特色农产品电商品牌化建设路径与营销模式[J].农村经济与科技,2025,36(04):231-233+246.</w:t>
      </w:r>
      <w:bookmarkEnd w:id="190"/>
    </w:p>
    <w:p w14:paraId="1D978473">
      <w:pPr>
        <w:wordWrap w:val="0"/>
        <w:spacing w:after="0" w:line="400" w:lineRule="exact"/>
        <w:ind w:firstLine="0"/>
        <w:rPr>
          <w:rFonts w:hint="default" w:ascii="Times New Roman" w:hAnsi="Times New Roman" w:eastAsia="宋体" w:cs="Times New Roman"/>
          <w:sz w:val="21"/>
          <w:szCs w:val="21"/>
          <w:lang w:val="en-US" w:eastAsia="zh-CN" w:bidi="ar-SA"/>
        </w:rPr>
      </w:pPr>
      <w:bookmarkStart w:id="191" w:name="_Ref21718"/>
      <w:r>
        <w:rPr>
          <w:rFonts w:hint="default" w:ascii="Times New Roman" w:hAnsi="Times New Roman" w:eastAsia="宋体" w:cs="Times New Roman"/>
          <w:sz w:val="21"/>
          <w:szCs w:val="21"/>
          <w:lang w:val="en-US" w:eastAsia="zh-CN" w:bidi="ar-SA"/>
        </w:rPr>
        <w:t>[1</w:t>
      </w:r>
      <w:r>
        <w:rPr>
          <w:rFonts w:hint="eastAsia" w:cs="Times New Roman"/>
          <w:sz w:val="21"/>
          <w:szCs w:val="21"/>
          <w:lang w:val="en-US" w:eastAsia="zh-CN" w:bidi="ar-SA"/>
        </w:rPr>
        <w:t>3</w:t>
      </w:r>
      <w:r>
        <w:rPr>
          <w:rFonts w:hint="default" w:ascii="Times New Roman" w:hAnsi="Times New Roman" w:eastAsia="宋体" w:cs="Times New Roman"/>
          <w:sz w:val="21"/>
          <w:szCs w:val="21"/>
          <w:lang w:val="en-US" w:eastAsia="zh-CN" w:bidi="ar-SA"/>
        </w:rPr>
        <w:t>]杨志琪,梁誉芳.基于SWOT-AHP的云南省农产品电商品牌发展战略分析[J].农产品质量与安全,2024,(04):75-83.</w:t>
      </w:r>
      <w:bookmarkEnd w:id="191"/>
    </w:p>
    <w:p w14:paraId="47E2FA90">
      <w:pPr>
        <w:wordWrap w:val="0"/>
        <w:spacing w:after="0" w:line="400" w:lineRule="exact"/>
        <w:ind w:firstLine="0"/>
        <w:rPr>
          <w:rFonts w:hint="default" w:ascii="Times New Roman" w:hAnsi="Times New Roman" w:eastAsia="宋体" w:cs="Times New Roman"/>
          <w:sz w:val="21"/>
          <w:szCs w:val="21"/>
          <w:lang w:val="en-US" w:eastAsia="zh-CN" w:bidi="ar-SA"/>
        </w:rPr>
      </w:pPr>
      <w:bookmarkStart w:id="192" w:name="_Ref21751"/>
      <w:r>
        <w:rPr>
          <w:rFonts w:hint="default" w:ascii="Times New Roman" w:hAnsi="Times New Roman" w:eastAsia="宋体" w:cs="Times New Roman"/>
          <w:sz w:val="21"/>
          <w:szCs w:val="21"/>
          <w:lang w:val="en-US" w:eastAsia="zh-CN" w:bidi="ar-SA"/>
        </w:rPr>
        <w:t>[1</w:t>
      </w:r>
      <w:r>
        <w:rPr>
          <w:rFonts w:hint="eastAsia" w:cs="Times New Roman"/>
          <w:sz w:val="21"/>
          <w:szCs w:val="21"/>
          <w:lang w:val="en-US" w:eastAsia="zh-CN" w:bidi="ar-SA"/>
        </w:rPr>
        <w:t>4</w:t>
      </w:r>
      <w:r>
        <w:rPr>
          <w:rFonts w:hint="default" w:ascii="Times New Roman" w:hAnsi="Times New Roman" w:eastAsia="宋体" w:cs="Times New Roman"/>
          <w:sz w:val="21"/>
          <w:szCs w:val="21"/>
          <w:lang w:val="en-US" w:eastAsia="zh-CN" w:bidi="ar-SA"/>
        </w:rPr>
        <w:t>]白赟腾,吴英.乡村振兴背景下农产品跨境电商品牌建设研究——以湖北秭归脐橙为例[J].北方经贸,2024,(01):16-19.</w:t>
      </w:r>
      <w:bookmarkEnd w:id="192"/>
    </w:p>
    <w:p w14:paraId="5F36119E">
      <w:pPr>
        <w:wordWrap w:val="0"/>
        <w:spacing w:after="0" w:line="400" w:lineRule="exact"/>
        <w:ind w:firstLine="0"/>
        <w:rPr>
          <w:rFonts w:hint="default" w:ascii="Times New Roman" w:hAnsi="Times New Roman" w:eastAsia="宋体" w:cs="Times New Roman"/>
          <w:sz w:val="21"/>
          <w:szCs w:val="21"/>
          <w:lang w:val="en-US" w:eastAsia="zh-CN" w:bidi="ar-SA"/>
        </w:rPr>
      </w:pPr>
      <w:bookmarkStart w:id="193" w:name="_Ref21796"/>
      <w:r>
        <w:rPr>
          <w:rFonts w:hint="default" w:ascii="Times New Roman" w:hAnsi="Times New Roman" w:eastAsia="宋体" w:cs="Times New Roman"/>
          <w:sz w:val="21"/>
          <w:szCs w:val="21"/>
          <w:lang w:val="en-US" w:eastAsia="zh-CN" w:bidi="ar-SA"/>
        </w:rPr>
        <w:t>[1</w:t>
      </w:r>
      <w:r>
        <w:rPr>
          <w:rFonts w:hint="eastAsia" w:cs="Times New Roman"/>
          <w:sz w:val="21"/>
          <w:szCs w:val="21"/>
          <w:lang w:val="en-US" w:eastAsia="zh-CN" w:bidi="ar-SA"/>
        </w:rPr>
        <w:t>5</w:t>
      </w:r>
      <w:r>
        <w:rPr>
          <w:rFonts w:hint="default" w:ascii="Times New Roman" w:hAnsi="Times New Roman" w:eastAsia="宋体" w:cs="Times New Roman"/>
          <w:sz w:val="21"/>
          <w:szCs w:val="21"/>
          <w:lang w:val="en-US" w:eastAsia="zh-CN" w:bidi="ar-SA"/>
        </w:rPr>
        <w:t>]袁玉玲.数字经济背景下农产品电商品牌营销策略研究——以广东省韶关市乳源瑶族自治县为例[J].商场现代化,2023,(06):43-45.</w:t>
      </w:r>
      <w:bookmarkEnd w:id="193"/>
    </w:p>
    <w:p w14:paraId="30082482">
      <w:pPr>
        <w:wordWrap w:val="0"/>
        <w:spacing w:after="0" w:line="400" w:lineRule="exact"/>
        <w:ind w:firstLine="0"/>
        <w:rPr>
          <w:rFonts w:hint="default" w:ascii="Times New Roman" w:hAnsi="Times New Roman" w:eastAsia="宋体" w:cs="Times New Roman"/>
          <w:sz w:val="21"/>
          <w:szCs w:val="21"/>
          <w:lang w:val="en-US" w:eastAsia="zh-CN" w:bidi="ar-SA"/>
        </w:rPr>
      </w:pPr>
      <w:r>
        <w:rPr>
          <w:rFonts w:hint="default" w:ascii="Times New Roman" w:hAnsi="Times New Roman" w:eastAsia="宋体" w:cs="Times New Roman"/>
          <w:sz w:val="21"/>
          <w:szCs w:val="21"/>
          <w:lang w:val="en-US" w:eastAsia="zh-CN" w:bidi="ar-SA"/>
        </w:rPr>
        <w:br w:type="page"/>
      </w:r>
    </w:p>
    <w:p w14:paraId="563B6064">
      <w:pPr>
        <w:pStyle w:val="2"/>
        <w:pageBreakBefore w:val="0"/>
        <w:widowControl w:val="0"/>
        <w:adjustRightInd w:val="0"/>
        <w:snapToGrid w:val="0"/>
        <w:spacing w:before="156" w:beforeLines="50" w:after="156" w:afterLines="50"/>
        <w:ind w:firstLineChars="0"/>
        <w:rPr>
          <w:rFonts w:hint="default" w:ascii="Times New Roman" w:hAnsi="Times New Roman" w:cs="Times New Roman"/>
          <w:color w:val="000000" w:themeColor="text1"/>
          <w14:textFill>
            <w14:solidFill>
              <w14:schemeClr w14:val="tx1"/>
            </w14:solidFill>
          </w14:textFill>
        </w:rPr>
      </w:pPr>
      <w:bookmarkStart w:id="194" w:name="_Toc6073"/>
      <w:bookmarkStart w:id="195" w:name="_Toc320414629"/>
      <w:r>
        <w:rPr>
          <w:rFonts w:hint="default" w:ascii="Times New Roman" w:hAnsi="Times New Roman" w:cs="Times New Roman"/>
          <w:b w:val="0"/>
          <w:bCs/>
          <w:color w:val="000000" w:themeColor="text1"/>
          <w:kern w:val="44"/>
          <w:sz w:val="36"/>
          <w:szCs w:val="44"/>
          <w:lang w:val="en-US" w:eastAsia="zh-CN" w:bidi="ar-SA"/>
          <w14:textFill>
            <w14:solidFill>
              <w14:schemeClr w14:val="tx1"/>
            </w14:solidFill>
          </w14:textFill>
        </w:rPr>
        <w:t>致谢</w:t>
      </w:r>
      <w:bookmarkEnd w:id="187"/>
      <w:bookmarkEnd w:id="188"/>
      <w:bookmarkEnd w:id="189"/>
      <w:bookmarkEnd w:id="194"/>
      <w:bookmarkEnd w:id="195"/>
    </w:p>
    <w:p w14:paraId="561D4AF3">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本论文的完成得益于许多人的帮助与支持，在此向他们致以衷心的感谢。</w:t>
      </w:r>
    </w:p>
    <w:p w14:paraId="4D3DDA44">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首先，我要衷心感谢我的导师。在论文的选题、撰写和修改过程中，老师始终给予我悉心的指导和耐心的帮助。老师严谨的治学态度和渊博的专业知识，让我受益匪浅，也使本论文得以顺利完成。</w:t>
      </w:r>
    </w:p>
    <w:p w14:paraId="62DFB9D2">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其次，我要感谢商学院各位老师。大学四年里，老师们不仅在学业上给予我诸多教导，更为我打下了扎实的专业基础，使我有能力完成本次研究。同时，也要感谢同学们在学习和生活中给予我的支持与鼓励。</w:t>
      </w:r>
    </w:p>
    <w:p w14:paraId="0CA9EB89">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此外，我要感谢参与问卷调查的各位受访者，是你们的积极配合为本文提供了宝贵的数据支持。</w:t>
      </w:r>
    </w:p>
    <w:p w14:paraId="2D8B73F6">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最后，我要特别感谢我的家人。正是他们无私的爱与默默的支持，才让我能够安心完成学业。</w:t>
      </w:r>
    </w:p>
    <w:p w14:paraId="19270338">
      <w:pPr>
        <w:widowControl w:val="0"/>
        <w:adjustRightInd w:val="0"/>
        <w:snapToGrid w:val="0"/>
        <w:spacing w:after="0" w:line="400" w:lineRule="exact"/>
        <w:ind w:firstLine="480" w:firstLineChars="200"/>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sectPr>
          <w:pgSz w:w="11906" w:h="16838"/>
          <w:pgMar w:top="1440" w:right="1440" w:bottom="1440" w:left="1800" w:header="720" w:footer="720" w:gutter="0"/>
          <w:pgBorders>
            <w:top w:val="none" w:sz="0" w:space="0"/>
            <w:left w:val="none" w:sz="0" w:space="0"/>
            <w:bottom w:val="none" w:sz="0" w:space="0"/>
            <w:right w:val="none" w:sz="0" w:space="0"/>
          </w:pgBorders>
          <w:pgNumType w:fmt="decimal"/>
          <w:cols w:space="720" w:num="1"/>
        </w:sectPr>
      </w:pPr>
      <w:r>
        <w:rPr>
          <w:rFonts w:hint="default" w:ascii="Times New Roman" w:hAnsi="Times New Roman" w:eastAsia="宋体" w:cs="Times New Roman"/>
          <w:color w:val="000000" w:themeColor="text1"/>
          <w:kern w:val="2"/>
          <w:szCs w:val="18"/>
          <w:lang w:val="en-US" w:eastAsia="zh-CN" w:bidi="ar-SA"/>
          <w14:textFill>
            <w14:solidFill>
              <w14:schemeClr w14:val="tx1"/>
            </w14:solidFill>
          </w14:textFill>
        </w:rPr>
        <w:t>由于本人学识有限，论文中难免存在不足之处，恳请各位老师批评指正</w:t>
      </w:r>
    </w:p>
    <w:p w14:paraId="56BB4120">
      <w:pPr>
        <w:pStyle w:val="2"/>
        <w:pageBreakBefore w:val="0"/>
        <w:widowControl w:val="0"/>
        <w:adjustRightInd w:val="0"/>
        <w:snapToGrid w:val="0"/>
        <w:spacing w:before="156" w:beforeLines="50" w:after="156" w:afterLines="50"/>
        <w:ind w:firstLineChars="0"/>
        <w:jc w:val="center"/>
        <w:rPr>
          <w:rFonts w:hint="default" w:ascii="Times New Roman" w:hAnsi="Times New Roman" w:cs="Times New Roman"/>
          <w:b w:val="0"/>
          <w:bCs/>
          <w:color w:val="000000" w:themeColor="text1"/>
          <w:kern w:val="44"/>
          <w:sz w:val="36"/>
          <w:szCs w:val="44"/>
          <w:lang w:val="en-US" w:eastAsia="zh-CN" w:bidi="ar-SA"/>
          <w14:textFill>
            <w14:solidFill>
              <w14:schemeClr w14:val="tx1"/>
            </w14:solidFill>
          </w14:textFill>
        </w:rPr>
      </w:pPr>
      <w:bookmarkStart w:id="196" w:name="_Toc1467166574"/>
      <w:bookmarkStart w:id="197" w:name="_Toc781225549"/>
      <w:bookmarkStart w:id="198" w:name="_Toc784176740"/>
      <w:bookmarkStart w:id="199" w:name="_Toc842101792"/>
      <w:bookmarkStart w:id="200" w:name="_Toc24359"/>
      <w:r>
        <w:rPr>
          <w:rFonts w:hint="default" w:ascii="Times New Roman" w:hAnsi="Times New Roman" w:cs="Times New Roman"/>
          <w:b w:val="0"/>
          <w:bCs/>
          <w:color w:val="000000" w:themeColor="text1"/>
          <w:kern w:val="44"/>
          <w:sz w:val="36"/>
          <w:szCs w:val="44"/>
          <w:lang w:val="en-US" w:eastAsia="zh-CN" w:bidi="ar-SA"/>
          <w14:textFill>
            <w14:solidFill>
              <w14:schemeClr w14:val="tx1"/>
            </w14:solidFill>
          </w14:textFill>
        </w:rPr>
        <w:t>附录</w:t>
      </w:r>
      <w:bookmarkEnd w:id="196"/>
      <w:bookmarkEnd w:id="197"/>
      <w:bookmarkEnd w:id="198"/>
      <w:bookmarkEnd w:id="199"/>
      <w:bookmarkEnd w:id="200"/>
    </w:p>
    <w:p w14:paraId="4229CEA3">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尊敬的受访者：</w:t>
      </w:r>
    </w:p>
    <w:p w14:paraId="4A5FB797">
      <w:pPr>
        <w:keepNext w:val="0"/>
        <w:keepLines w:val="0"/>
        <w:pageBreakBefore w:val="0"/>
        <w:widowControl/>
        <w:kinsoku/>
        <w:wordWrap/>
        <w:overflowPunct/>
        <w:topLinePunct w:val="0"/>
        <w:autoSpaceDE/>
        <w:autoSpaceDN/>
        <w:bidi w:val="0"/>
        <w:adjustRightInd/>
        <w:snapToGrid/>
        <w:spacing w:before="60" w:after="60"/>
        <w:ind w:left="0" w:firstLine="420"/>
        <w:textAlignment w:val="auto"/>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您好！本问卷旨在了解消费者对南京盐水鸭电商品牌的认知与购买行为，为传统特色加工品电商品牌建设研究提供数据支持。问卷采用匿名方式，所有信息仅用于学术研究，感谢您的支持与配合！</w:t>
      </w:r>
    </w:p>
    <w:p w14:paraId="21D2F84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第一部分：基本信息（筛选与画像）</w:t>
      </w:r>
    </w:p>
    <w:p w14:paraId="67B5090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 您是否购买过南京盐水鸭？</w:t>
      </w:r>
    </w:p>
    <w:p w14:paraId="692F52A5">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是（继续作答）</w:t>
      </w:r>
    </w:p>
    <w:p w14:paraId="2D21DC5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否（跳至第9题）</w:t>
      </w:r>
    </w:p>
    <w:p w14:paraId="7B8910B9">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2. 您的年龄段是：</w:t>
      </w:r>
    </w:p>
    <w:p w14:paraId="2F85747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18岁以下</w:t>
      </w:r>
    </w:p>
    <w:p w14:paraId="563FB31E">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18-25岁</w:t>
      </w:r>
    </w:p>
    <w:p w14:paraId="147F265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25-35岁</w:t>
      </w:r>
    </w:p>
    <w:p w14:paraId="7AA2F2E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35-45岁</w:t>
      </w:r>
    </w:p>
    <w:p w14:paraId="46324AB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45岁以上</w:t>
      </w:r>
    </w:p>
    <w:p w14:paraId="7D69D66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3. 您目前所在的地区是：</w:t>
      </w:r>
    </w:p>
    <w:p w14:paraId="0AE2BEEE">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江苏省（南京市/其他城市）</w:t>
      </w:r>
    </w:p>
    <w:p w14:paraId="7504268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上海市/浙江省（长三角其他地区）</w:t>
      </w:r>
    </w:p>
    <w:p w14:paraId="2A0DD4D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其他省份</w:t>
      </w:r>
    </w:p>
    <w:p w14:paraId="0CFAEA7B">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海外</w:t>
      </w:r>
    </w:p>
    <w:p w14:paraId="750F5C5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4. 您的职业是：</w:t>
      </w:r>
    </w:p>
    <w:p w14:paraId="523A4FF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学生</w:t>
      </w:r>
    </w:p>
    <w:p w14:paraId="4E05982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企业职员</w:t>
      </w:r>
    </w:p>
    <w:p w14:paraId="1A44936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政府机关/事业单位</w:t>
      </w:r>
    </w:p>
    <w:p w14:paraId="52B6954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自由职业者</w:t>
      </w:r>
    </w:p>
    <w:p w14:paraId="7A396963">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其他</w:t>
      </w:r>
    </w:p>
    <w:p w14:paraId="7421EE03">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第二部分：购买行为与渠道</w:t>
      </w:r>
    </w:p>
    <w:p w14:paraId="42C344B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5. 您购买南京盐水鸭的主要目的是？（可多选）</w:t>
      </w:r>
    </w:p>
    <w:p w14:paraId="511160DD">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自己食用</w:t>
      </w:r>
    </w:p>
    <w:p w14:paraId="31CDC1A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赠送亲友（节日礼品）</w:t>
      </w:r>
    </w:p>
    <w:p w14:paraId="0EBE859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商务送礼</w:t>
      </w:r>
    </w:p>
    <w:p w14:paraId="5652AB2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体验地方特产/旅游纪念</w:t>
      </w:r>
    </w:p>
    <w:p w14:paraId="7BAD20D4">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其他</w:t>
      </w:r>
    </w:p>
    <w:p w14:paraId="07C894FE">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6. 您通常通过哪些渠道购买南京盐水鸭？（可多选）</w:t>
      </w:r>
    </w:p>
    <w:p w14:paraId="118F8A2D">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淘宝/天猫</w:t>
      </w:r>
    </w:p>
    <w:p w14:paraId="7EB40739">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京东</w:t>
      </w:r>
    </w:p>
    <w:p w14:paraId="5538BB3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抖音/快手（直播电商）</w:t>
      </w:r>
    </w:p>
    <w:p w14:paraId="421F55C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拼多多</w:t>
      </w:r>
    </w:p>
    <w:p w14:paraId="7C7EA2AD">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微信小程序/私域社群</w:t>
      </w:r>
    </w:p>
    <w:p w14:paraId="62A1AE9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F. 线下门店/超市</w:t>
      </w:r>
    </w:p>
    <w:p w14:paraId="3B2D705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G. 其他</w:t>
      </w:r>
    </w:p>
    <w:p w14:paraId="62941DA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7. 您购买南京盐水鸭的频率是：</w:t>
      </w:r>
    </w:p>
    <w:p w14:paraId="3ACC95E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每月1次及以上</w:t>
      </w:r>
    </w:p>
    <w:p w14:paraId="54E9620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每季度1-2次</w:t>
      </w:r>
    </w:p>
    <w:p w14:paraId="1909A28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半年1-2次</w:t>
      </w:r>
    </w:p>
    <w:p w14:paraId="3F7A54C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一年1-2次（节日性购买）</w:t>
      </w:r>
    </w:p>
    <w:p w14:paraId="1CE3F00D">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偶尔/随机购买</w:t>
      </w:r>
    </w:p>
    <w:p w14:paraId="1C398DD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8. 您单次购买南京盐水鸭的金额通常在：</w:t>
      </w:r>
    </w:p>
    <w:p w14:paraId="7DE7FB2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30元以下</w:t>
      </w:r>
    </w:p>
    <w:p w14:paraId="4D7BA7D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30-50元</w:t>
      </w:r>
    </w:p>
    <w:p w14:paraId="1811458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50-100元</w:t>
      </w:r>
    </w:p>
    <w:p w14:paraId="69A3CDFD">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100-200元</w:t>
      </w:r>
    </w:p>
    <w:p w14:paraId="50C1F4E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200元以上</w:t>
      </w:r>
    </w:p>
    <w:p w14:paraId="07E2C77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第三部分：品牌认知与偏好</w:t>
      </w:r>
    </w:p>
    <w:p w14:paraId="4F9877A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9. 提到南京盐水鸭，您首先想到的品牌是？（可多选）</w:t>
      </w:r>
    </w:p>
    <w:p w14:paraId="561DBBD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桂花鸭</w:t>
      </w:r>
    </w:p>
    <w:p w14:paraId="3C2D673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樱桃鸭</w:t>
      </w:r>
    </w:p>
    <w:p w14:paraId="04F4D9F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章云板鸭</w:t>
      </w:r>
    </w:p>
    <w:p w14:paraId="73B0959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韩复兴</w:t>
      </w:r>
    </w:p>
    <w:p w14:paraId="38DA8D2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魏洪兴</w:t>
      </w:r>
    </w:p>
    <w:p w14:paraId="31B7E35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F. 其他：______</w:t>
      </w:r>
    </w:p>
    <w:p w14:paraId="4BA846B3">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G. 不了解具体品牌</w:t>
      </w:r>
    </w:p>
    <w:p w14:paraId="0C08245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10. 您如何评价</w:t>
      </w:r>
      <w:r>
        <w:rPr>
          <w:rFonts w:hint="eastAsia" w:ascii="宋体" w:hAnsi="宋体" w:eastAsia="宋体" w:cs="宋体"/>
          <w:color w:val="000000" w:themeColor="text1"/>
          <w:kern w:val="2"/>
          <w:szCs w:val="18"/>
          <w:lang w:val="en-US" w:eastAsia="zh-CN" w:bidi="ar-SA"/>
          <w14:textFill>
            <w14:solidFill>
              <w14:schemeClr w14:val="tx1"/>
            </w14:solidFill>
          </w14:textFill>
        </w:rPr>
        <w:t>“</w:t>
      </w:r>
      <w:r>
        <w:rPr>
          <w:rFonts w:hint="default" w:ascii="Times New Roman" w:hAnsi="Times New Roman" w:cs="Times New Roman" w:eastAsiaTheme="majorEastAsia"/>
          <w:sz w:val="24"/>
          <w:szCs w:val="24"/>
        </w:rPr>
        <w:t>南京盐水鸭</w:t>
      </w:r>
      <w:r>
        <w:rPr>
          <w:rFonts w:hint="eastAsia" w:ascii="宋体" w:hAnsi="宋体" w:eastAsia="宋体" w:cs="宋体"/>
          <w:sz w:val="24"/>
          <w:szCs w:val="24"/>
          <w:lang w:val="en-US" w:eastAsia="zh-CN"/>
        </w:rPr>
        <w:t>”</w:t>
      </w:r>
      <w:r>
        <w:rPr>
          <w:rFonts w:hint="default" w:ascii="Times New Roman" w:hAnsi="Times New Roman" w:cs="Times New Roman" w:eastAsiaTheme="majorEastAsia"/>
          <w:sz w:val="24"/>
          <w:szCs w:val="24"/>
        </w:rPr>
        <w:t>作为区域公用品牌的整体形象？</w:t>
      </w:r>
    </w:p>
    <w:p w14:paraId="0DB2E86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知名度高，值得信赖</w:t>
      </w:r>
    </w:p>
    <w:p w14:paraId="77D2811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听说过，但分不清正宗与否</w:t>
      </w:r>
    </w:p>
    <w:p w14:paraId="013B3C64">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品牌杂乱，难以辨别</w:t>
      </w:r>
    </w:p>
    <w:p w14:paraId="25E545D9">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不了解</w:t>
      </w:r>
    </w:p>
    <w:p w14:paraId="0AF6879D">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11. 您是否能说出某个盐水鸭品牌背后的故事或文化元素？</w:t>
      </w:r>
    </w:p>
    <w:p w14:paraId="2CC58BD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很清楚（如历史渊源、非遗技艺、品牌故事）</w:t>
      </w:r>
    </w:p>
    <w:p w14:paraId="001AF894">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了解一些（如老字号、传统工艺）</w:t>
      </w:r>
    </w:p>
    <w:p w14:paraId="2A28ADF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完全不了解</w:t>
      </w:r>
    </w:p>
    <w:p w14:paraId="093CE8A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12. 在选择盐水鸭品牌时，您更看重以下哪些因素？（请排序或选择最重要3项）</w:t>
      </w:r>
    </w:p>
    <w:p w14:paraId="32CDD31B">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口味/风味</w:t>
      </w:r>
    </w:p>
    <w:p w14:paraId="7DB3FB5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品牌信誉/老字号</w:t>
      </w:r>
    </w:p>
    <w:p w14:paraId="2EA87BFE">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食品安全认证/质量追溯</w:t>
      </w:r>
    </w:p>
    <w:p w14:paraId="4C21C0F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价格</w:t>
      </w:r>
    </w:p>
    <w:p w14:paraId="719DF8D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包装设计/礼品属性</w:t>
      </w:r>
    </w:p>
    <w:p w14:paraId="3AFBC0B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F. 产地溯源（南京原产）</w:t>
      </w:r>
    </w:p>
    <w:p w14:paraId="544CD10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G. 网络评价/口碑</w:t>
      </w:r>
    </w:p>
    <w:p w14:paraId="1A3200B4">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H. 发货速度/物流保障</w:t>
      </w:r>
    </w:p>
    <w:p w14:paraId="1FBE440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第四部分：产品体验与满意度</w:t>
      </w:r>
    </w:p>
    <w:p w14:paraId="4351163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13. 您对目前购买的南京盐水鸭产品整体满意度如何？</w:t>
      </w:r>
    </w:p>
    <w:p w14:paraId="0B3257F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非常满意</w:t>
      </w:r>
    </w:p>
    <w:p w14:paraId="7401488D">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满意</w:t>
      </w:r>
    </w:p>
    <w:p w14:paraId="5EDB8D0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一般</w:t>
      </w:r>
    </w:p>
    <w:p w14:paraId="76BA5CF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不满意</w:t>
      </w:r>
    </w:p>
    <w:p w14:paraId="094D545B">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非常不满意</w:t>
      </w:r>
    </w:p>
    <w:p w14:paraId="5ACDCA45">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14. 您认为目前市场上的盐水鸭产品存在哪些问题？（可多选）</w:t>
      </w:r>
    </w:p>
    <w:p w14:paraId="79B7908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产品同质化严重，各品牌差异不大</w:t>
      </w:r>
    </w:p>
    <w:p w14:paraId="061FA829">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质量参差不齐，担心食品安全</w:t>
      </w:r>
    </w:p>
    <w:p w14:paraId="70A344F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包装不够精美，不适合送礼</w:t>
      </w:r>
    </w:p>
    <w:p w14:paraId="5FC5F8E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价格偏高，性价比不足</w:t>
      </w:r>
    </w:p>
    <w:p w14:paraId="64D8D50B">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缺乏创新口味/产品形式单一</w:t>
      </w:r>
    </w:p>
    <w:p w14:paraId="6C0E3283">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F. 保质期短/冷链运输不到位</w:t>
      </w:r>
    </w:p>
    <w:p w14:paraId="1C1E4D5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G. 没有问题</w:t>
      </w:r>
    </w:p>
    <w:p w14:paraId="213E8E9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15. 您希望南京盐水鸭在哪些方面进行改进？（可多选）</w:t>
      </w:r>
    </w:p>
    <w:p w14:paraId="001F328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推出更多口味（如辣味、五香等）</w:t>
      </w:r>
    </w:p>
    <w:p w14:paraId="2CA2BC8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提升包装设计（文创化、礼品化）</w:t>
      </w:r>
    </w:p>
    <w:p w14:paraId="120AD5F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提供小规格/即食便携装</w:t>
      </w:r>
    </w:p>
    <w:p w14:paraId="73885833">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增加文化故事/品牌内涵展示</w:t>
      </w:r>
    </w:p>
    <w:p w14:paraId="5CAA334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完善冷链物流，保证新鲜度</w:t>
      </w:r>
    </w:p>
    <w:p w14:paraId="7F1AA0E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F. 提供溯源信息，增强信任感</w:t>
      </w:r>
    </w:p>
    <w:p w14:paraId="01624A6E">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G. 降低价格/推出优惠组合</w:t>
      </w:r>
    </w:p>
    <w:p w14:paraId="670A8E7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第五部分：数字化营销与内容偏好</w:t>
      </w:r>
    </w:p>
    <w:p w14:paraId="5093FE1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16. 您通常通过哪些方式了解南京盐水鸭产品信息？（可多选）</w:t>
      </w:r>
    </w:p>
    <w:p w14:paraId="6259883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电商平台搜索/推荐</w:t>
      </w:r>
    </w:p>
    <w:p w14:paraId="411CA274">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抖音/快手短视频或直播</w:t>
      </w:r>
    </w:p>
    <w:p w14:paraId="137DE6B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小红书种草笔记</w:t>
      </w:r>
    </w:p>
    <w:p w14:paraId="5456D2F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微信文章/朋友圈</w:t>
      </w:r>
    </w:p>
    <w:p w14:paraId="374565B5">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美食博主/达人推荐</w:t>
      </w:r>
    </w:p>
    <w:p w14:paraId="0C941E7E">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F. 传统广告（电视/户外）</w:t>
      </w:r>
    </w:p>
    <w:p w14:paraId="3EA06BF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G. 亲友推荐</w:t>
      </w:r>
    </w:p>
    <w:p w14:paraId="08EF3C55">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17. 以下哪种内容形式更容易激发您的购买兴趣？</w:t>
      </w:r>
    </w:p>
    <w:p w14:paraId="7195B6B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制作工艺微纪录片（非遗技艺展示）</w:t>
      </w:r>
    </w:p>
    <w:p w14:paraId="1A448D1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美食测评/吃播视频</w:t>
      </w:r>
    </w:p>
    <w:p w14:paraId="0CFDCBE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品牌历史文化故事</w:t>
      </w:r>
    </w:p>
    <w:p w14:paraId="0BC4FCC9">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优惠促销/限时秒杀信息</w:t>
      </w:r>
    </w:p>
    <w:p w14:paraId="30E9EE6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用户真实评价/开箱视频</w:t>
      </w:r>
    </w:p>
    <w:p w14:paraId="44A17C6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F. 跨界联名/文创产品设计</w:t>
      </w:r>
    </w:p>
    <w:p w14:paraId="50E1D7C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18. 您是否关注过南京盐水鸭的直播带货？</w:t>
      </w:r>
    </w:p>
    <w:p w14:paraId="24A994D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经常观看并购买</w:t>
      </w:r>
    </w:p>
    <w:p w14:paraId="02B9610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偶尔观看，有过购买</w:t>
      </w:r>
    </w:p>
    <w:p w14:paraId="1C8984B3">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看过，但未购买</w:t>
      </w:r>
    </w:p>
    <w:p w14:paraId="064846BB">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从未关注</w:t>
      </w:r>
    </w:p>
    <w:p w14:paraId="0042B96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19. 如果品牌推出以下营销活动，您更倾向参与？（可多选）</w:t>
      </w:r>
    </w:p>
    <w:p w14:paraId="1A22A30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工厂参观/非遗体验游</w:t>
      </w:r>
    </w:p>
    <w:p w14:paraId="4C4198F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会员积分/私域社群专属优惠</w:t>
      </w:r>
    </w:p>
    <w:p w14:paraId="5FD68B3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限定文创周边/联名产品</w:t>
      </w:r>
    </w:p>
    <w:p w14:paraId="218AC0CB">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线上互动（如短视频挑战赛）</w:t>
      </w:r>
    </w:p>
    <w:p w14:paraId="42DC5546">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传统节日礼盒预售</w:t>
      </w:r>
    </w:p>
    <w:p w14:paraId="3720F96A">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第六部分：品牌定位与价值感知</w:t>
      </w:r>
    </w:p>
    <w:p w14:paraId="66030B6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20. 您认为南京盐水鸭最适合的品牌定位应该是？</w:t>
      </w:r>
    </w:p>
    <w:p w14:paraId="45363C94">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文化传承型（正宗非遗、历史底蕴）</w:t>
      </w:r>
    </w:p>
    <w:p w14:paraId="0512928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品质生活型（精致包装、健康理念）</w:t>
      </w:r>
    </w:p>
    <w:p w14:paraId="69226D69">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性价比型（大众消费、日常美食）</w:t>
      </w:r>
    </w:p>
    <w:p w14:paraId="73D5E0E5">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创新潮流型（新口味、年轻化）</w:t>
      </w:r>
    </w:p>
    <w:p w14:paraId="4E68657E">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21. 相比其他卤味品牌（如周黑鸭、绝味），您认为南京盐水鸭的核心竞争力在于？</w:t>
      </w:r>
    </w:p>
    <w:p w14:paraId="4D2FC3C4">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独特的咸鲜口味</w:t>
      </w:r>
    </w:p>
    <w:p w14:paraId="0D5B40B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深厚的历史文化</w:t>
      </w:r>
    </w:p>
    <w:p w14:paraId="6F5151B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南京地域特色/城市名片</w:t>
      </w:r>
    </w:p>
    <w:p w14:paraId="680D232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价格优势</w:t>
      </w:r>
    </w:p>
    <w:p w14:paraId="7FF96DD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无明显差异</w:t>
      </w:r>
    </w:p>
    <w:p w14:paraId="661E5424">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22. 您是否愿意为具有完整溯源信息（原料产地、生产日期、加工流程）的盐水鸭支付更高价格？</w:t>
      </w:r>
    </w:p>
    <w:p w14:paraId="6111550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愿意，溢价15%-20%可接受</w:t>
      </w:r>
    </w:p>
    <w:p w14:paraId="6FB96873">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愿意，但溢价5%-10%以内</w:t>
      </w:r>
    </w:p>
    <w:p w14:paraId="481CC5DD">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不愿意，价格敏感</w:t>
      </w:r>
    </w:p>
    <w:p w14:paraId="7DC78C8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不确定</w:t>
      </w:r>
    </w:p>
    <w:p w14:paraId="106309B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第七部分：未购买用户调研（针对第1题选B的受访者）</w:t>
      </w:r>
    </w:p>
    <w:p w14:paraId="02903C6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23. 您未购买南京盐水鸭的主要原因是？（可多选）</w:t>
      </w:r>
    </w:p>
    <w:p w14:paraId="31818469">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不了解这个品牌/产品</w:t>
      </w:r>
    </w:p>
    <w:p w14:paraId="2BC4B2B2">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担心网上购买的食品安全/新鲜度</w:t>
      </w:r>
    </w:p>
    <w:p w14:paraId="22250644">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价格太高</w:t>
      </w:r>
    </w:p>
    <w:p w14:paraId="5D67FD91">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口味不喜欢/不了解口味特点</w:t>
      </w:r>
    </w:p>
    <w:p w14:paraId="17225B1F">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物流不便/配送范围有限</w:t>
      </w:r>
    </w:p>
    <w:p w14:paraId="142E62CD">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F. 有其他替代品牌（如本地卤味）</w:t>
      </w:r>
    </w:p>
    <w:p w14:paraId="4CCD6CC0">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G. 没有合适的购买场景</w:t>
      </w:r>
    </w:p>
    <w:p w14:paraId="62E1C7A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24. 什么样的推广或改进会吸引您尝试购买？</w:t>
      </w:r>
    </w:p>
    <w:p w14:paraId="3BFBC0F9">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A. 亲友强烈推荐</w:t>
      </w:r>
    </w:p>
    <w:p w14:paraId="4039DC3B">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B. 看到有趣的短视频/直播内容</w:t>
      </w:r>
    </w:p>
    <w:p w14:paraId="6B11CFA8">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C. 有品质保证/溯源认证</w:t>
      </w:r>
    </w:p>
    <w:p w14:paraId="1F40CADC">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D. 限时优惠/试用装</w:t>
      </w:r>
    </w:p>
    <w:p w14:paraId="47BD4337">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E. 精美的文创包装</w:t>
      </w:r>
    </w:p>
    <w:p w14:paraId="1F0FCD7B">
      <w:pPr>
        <w:spacing w:before="60" w:after="60"/>
        <w:ind w:left="420" w:hanging="420"/>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F. 其他：______</w:t>
      </w:r>
    </w:p>
    <w:p w14:paraId="3C07FE5A">
      <w:pPr>
        <w:ind w:left="0" w:leftChars="0" w:firstLine="0" w:firstLineChars="0"/>
        <w:rPr>
          <w:rFonts w:hint="eastAsia" w:asciiTheme="majorEastAsia" w:hAnsiTheme="majorEastAsia" w:eastAsiaTheme="majorEastAsia" w:cstheme="majorEastAsia"/>
          <w:sz w:val="24"/>
          <w:szCs w:val="24"/>
          <w:lang w:val="en-US" w:eastAsia="zh-CN"/>
        </w:rPr>
      </w:pPr>
    </w:p>
    <w:sectPr>
      <w:headerReference r:id="rId10" w:type="default"/>
      <w:footerReference r:id="rId11" w:type="default"/>
      <w:pgSz w:w="11906" w:h="16838"/>
      <w:pgMar w:top="1440" w:right="1440" w:bottom="1440" w:left="1800" w:header="720" w:footer="72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仿宋_GBK">
    <w:altName w:val="微软雅黑"/>
    <w:panose1 w:val="02000000000000000000"/>
    <w:charset w:val="86"/>
    <w:family w:val="auto"/>
    <w:pitch w:val="default"/>
    <w:sig w:usb0="00000000" w:usb1="00000000" w:usb2="00082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33C47">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7F7F4">
                          <w:pPr>
                            <w:pStyle w:val="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977F7F4">
                    <w:pPr>
                      <w:pStyle w:val="9"/>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2A8C9">
    <w:pPr>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7377EE">
                          <w:pPr>
                            <w:jc w:val="center"/>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5A7377EE">
                    <w:pPr>
                      <w:jc w:val="center"/>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A1F0C">
    <w:pPr>
      <w:jc w:val="cente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8498D9">
                          <w:pPr>
                            <w:jc w:val="center"/>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C8498D9">
                    <w:pPr>
                      <w:jc w:val="center"/>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FFC8B">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35FFC7">
                          <w:pPr>
                            <w:jc w:val="center"/>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635FFC7">
                    <w:pPr>
                      <w:jc w:val="center"/>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80C1">
    <w:pPr>
      <w:pStyle w:val="10"/>
      <w:pBdr>
        <w:bottom w:val="thinThickSmallGap" w:color="auto" w:sz="12" w:space="1"/>
      </w:pBdr>
      <w:ind w:left="0" w:leftChars="0" w:firstLine="0" w:firstLineChars="0"/>
      <w:jc w:val="center"/>
      <w:rPr>
        <w:rFonts w:hint="eastAsia"/>
      </w:rPr>
    </w:pPr>
    <w:r>
      <w:rPr>
        <w:rFonts w:hint="eastAsia" w:ascii="宋体" w:hAnsi="宋体"/>
        <w:spacing w:val="20"/>
        <w:sz w:val="21"/>
        <w:szCs w:val="21"/>
      </w:rPr>
      <w:t>徐州工程学院毕业论文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70581">
    <w:pPr>
      <w:pStyle w:val="10"/>
      <w:pBdr>
        <w:bottom w:val="thinThickSmallGap" w:color="auto" w:sz="12" w:space="1"/>
      </w:pBdr>
      <w:ind w:left="0" w:leftChars="0" w:firstLine="0" w:firstLineChars="0"/>
      <w:jc w:val="center"/>
    </w:pPr>
    <w:r>
      <w:rPr>
        <w:rFonts w:hint="eastAsia" w:ascii="宋体" w:hAnsi="宋体"/>
        <w:spacing w:val="20"/>
        <w:sz w:val="21"/>
        <w:szCs w:val="21"/>
      </w:rPr>
      <w:t>徐州工程学院毕业论文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496DA">
    <w:pPr>
      <w:pBdr>
        <w:bottom w:val="thickThinSmallGap" w:color="CBD5E0" w:sz="12" w:space="0"/>
      </w:pBdr>
      <w:jc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徐州工程学院毕业论文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62BC7"/>
    <w:multiLevelType w:val="multilevel"/>
    <w:tmpl w:val="90062BC7"/>
    <w:lvl w:ilvl="0" w:tentative="0">
      <w:start w:val="1"/>
      <w:numFmt w:val="decimal"/>
      <w:pStyle w:val="18"/>
      <w:suff w:val="space"/>
      <w:lvlText w:val="[%1]"/>
      <w:lvlJc w:val="left"/>
      <w:pPr>
        <w:ind w:left="0" w:firstLine="0"/>
      </w:pPr>
      <w:rPr>
        <w:rFonts w:hint="default" w:ascii="Times New Roman" w:hAnsi="Times New Roman" w:eastAsia="宋体" w:cs="Times New Roman"/>
        <w:sz w:val="21"/>
        <w:szCs w:val="21"/>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F4817"/>
    <w:rsid w:val="01A11310"/>
    <w:rsid w:val="02D80384"/>
    <w:rsid w:val="05316E69"/>
    <w:rsid w:val="056D0DC2"/>
    <w:rsid w:val="05CE0532"/>
    <w:rsid w:val="061816F7"/>
    <w:rsid w:val="068942CF"/>
    <w:rsid w:val="073C04EF"/>
    <w:rsid w:val="08140F42"/>
    <w:rsid w:val="08412E95"/>
    <w:rsid w:val="08494342"/>
    <w:rsid w:val="086371F9"/>
    <w:rsid w:val="091833DD"/>
    <w:rsid w:val="097F64AD"/>
    <w:rsid w:val="09CE4F36"/>
    <w:rsid w:val="09F0401D"/>
    <w:rsid w:val="0A6C5E96"/>
    <w:rsid w:val="0A733355"/>
    <w:rsid w:val="0B83192C"/>
    <w:rsid w:val="0BC11EE9"/>
    <w:rsid w:val="0C2015BB"/>
    <w:rsid w:val="0C456CFF"/>
    <w:rsid w:val="0DC363ED"/>
    <w:rsid w:val="0E8006AC"/>
    <w:rsid w:val="0E960E30"/>
    <w:rsid w:val="0EB5453B"/>
    <w:rsid w:val="0F205C7F"/>
    <w:rsid w:val="0F28272D"/>
    <w:rsid w:val="103E6A93"/>
    <w:rsid w:val="107E66AF"/>
    <w:rsid w:val="10D821AF"/>
    <w:rsid w:val="10DD6019"/>
    <w:rsid w:val="10EF2725"/>
    <w:rsid w:val="1157483F"/>
    <w:rsid w:val="121645C2"/>
    <w:rsid w:val="12260CF8"/>
    <w:rsid w:val="125A6BF4"/>
    <w:rsid w:val="13231DD0"/>
    <w:rsid w:val="1382150A"/>
    <w:rsid w:val="139042E6"/>
    <w:rsid w:val="148A7B06"/>
    <w:rsid w:val="14B75806"/>
    <w:rsid w:val="14E02D60"/>
    <w:rsid w:val="14ED05ED"/>
    <w:rsid w:val="15015B5D"/>
    <w:rsid w:val="158315BE"/>
    <w:rsid w:val="162C3C3A"/>
    <w:rsid w:val="165C306C"/>
    <w:rsid w:val="17EE53F1"/>
    <w:rsid w:val="18767274"/>
    <w:rsid w:val="189A0094"/>
    <w:rsid w:val="1A3413A4"/>
    <w:rsid w:val="1A661FA5"/>
    <w:rsid w:val="1C33298F"/>
    <w:rsid w:val="1C9A095A"/>
    <w:rsid w:val="1CD13F56"/>
    <w:rsid w:val="1CF37834"/>
    <w:rsid w:val="1D547E29"/>
    <w:rsid w:val="1DEA1934"/>
    <w:rsid w:val="1F0F6158"/>
    <w:rsid w:val="1F2409EF"/>
    <w:rsid w:val="1F4B4F23"/>
    <w:rsid w:val="1FA533B1"/>
    <w:rsid w:val="1FB44BEF"/>
    <w:rsid w:val="1FED6F83"/>
    <w:rsid w:val="1FF37AF6"/>
    <w:rsid w:val="20587E97"/>
    <w:rsid w:val="20D25C52"/>
    <w:rsid w:val="211B5ED7"/>
    <w:rsid w:val="21B55BF5"/>
    <w:rsid w:val="21C50DEE"/>
    <w:rsid w:val="22D256F1"/>
    <w:rsid w:val="238A2ACF"/>
    <w:rsid w:val="23946018"/>
    <w:rsid w:val="23DE7685"/>
    <w:rsid w:val="23E1433B"/>
    <w:rsid w:val="246243E0"/>
    <w:rsid w:val="26FD7796"/>
    <w:rsid w:val="27344752"/>
    <w:rsid w:val="2740697A"/>
    <w:rsid w:val="27CC7C31"/>
    <w:rsid w:val="27D73D68"/>
    <w:rsid w:val="28B5111E"/>
    <w:rsid w:val="29064D40"/>
    <w:rsid w:val="29D96756"/>
    <w:rsid w:val="2A5749FC"/>
    <w:rsid w:val="2B74267D"/>
    <w:rsid w:val="2B7B1C0B"/>
    <w:rsid w:val="2CE203EF"/>
    <w:rsid w:val="2D6F57F1"/>
    <w:rsid w:val="2F2E5B06"/>
    <w:rsid w:val="301E2C0E"/>
    <w:rsid w:val="305E43CC"/>
    <w:rsid w:val="30FA6C7D"/>
    <w:rsid w:val="31B26615"/>
    <w:rsid w:val="325410DE"/>
    <w:rsid w:val="35374DFC"/>
    <w:rsid w:val="356D1C64"/>
    <w:rsid w:val="35E769CE"/>
    <w:rsid w:val="36D66EE9"/>
    <w:rsid w:val="38DD5D05"/>
    <w:rsid w:val="39161217"/>
    <w:rsid w:val="39794A28"/>
    <w:rsid w:val="3A343EA1"/>
    <w:rsid w:val="3C4A29EA"/>
    <w:rsid w:val="3CAF3A1F"/>
    <w:rsid w:val="3D3038E9"/>
    <w:rsid w:val="3DB64500"/>
    <w:rsid w:val="3E584A5B"/>
    <w:rsid w:val="3F076E72"/>
    <w:rsid w:val="3FFDD759"/>
    <w:rsid w:val="40EB4D37"/>
    <w:rsid w:val="42315054"/>
    <w:rsid w:val="426C7777"/>
    <w:rsid w:val="428365DA"/>
    <w:rsid w:val="43A055EF"/>
    <w:rsid w:val="43C20EE5"/>
    <w:rsid w:val="43CA7067"/>
    <w:rsid w:val="43DE4C28"/>
    <w:rsid w:val="44046A4D"/>
    <w:rsid w:val="442F62DC"/>
    <w:rsid w:val="466F7296"/>
    <w:rsid w:val="46862D23"/>
    <w:rsid w:val="47163A10"/>
    <w:rsid w:val="47B2035D"/>
    <w:rsid w:val="480E3381"/>
    <w:rsid w:val="487B2E45"/>
    <w:rsid w:val="48DF335A"/>
    <w:rsid w:val="490612E6"/>
    <w:rsid w:val="494E46B1"/>
    <w:rsid w:val="496B2C2B"/>
    <w:rsid w:val="49BB5BEF"/>
    <w:rsid w:val="4A2731D1"/>
    <w:rsid w:val="4AB851A6"/>
    <w:rsid w:val="4B4277BB"/>
    <w:rsid w:val="4B4614E8"/>
    <w:rsid w:val="4B5A4F93"/>
    <w:rsid w:val="4BED4BFD"/>
    <w:rsid w:val="4BEE7C6E"/>
    <w:rsid w:val="4DBC5E9B"/>
    <w:rsid w:val="4DE374C2"/>
    <w:rsid w:val="50D71E12"/>
    <w:rsid w:val="50F01C71"/>
    <w:rsid w:val="514F664F"/>
    <w:rsid w:val="51670457"/>
    <w:rsid w:val="51701D94"/>
    <w:rsid w:val="52122A39"/>
    <w:rsid w:val="52892D24"/>
    <w:rsid w:val="52CD5241"/>
    <w:rsid w:val="52F67F77"/>
    <w:rsid w:val="53766458"/>
    <w:rsid w:val="5378497F"/>
    <w:rsid w:val="53983176"/>
    <w:rsid w:val="5418024C"/>
    <w:rsid w:val="54F93A6F"/>
    <w:rsid w:val="55B17114"/>
    <w:rsid w:val="569F7FA4"/>
    <w:rsid w:val="56C44602"/>
    <w:rsid w:val="56DD7F5E"/>
    <w:rsid w:val="574735E7"/>
    <w:rsid w:val="57566F57"/>
    <w:rsid w:val="582C2C3C"/>
    <w:rsid w:val="58AA71FE"/>
    <w:rsid w:val="58C33067"/>
    <w:rsid w:val="59073294"/>
    <w:rsid w:val="59D1062A"/>
    <w:rsid w:val="5B514B61"/>
    <w:rsid w:val="5B6D6AB9"/>
    <w:rsid w:val="5DC21912"/>
    <w:rsid w:val="5E20787C"/>
    <w:rsid w:val="5E586741"/>
    <w:rsid w:val="5E7A555D"/>
    <w:rsid w:val="5EC23867"/>
    <w:rsid w:val="5ED50100"/>
    <w:rsid w:val="5F7468BA"/>
    <w:rsid w:val="6049439B"/>
    <w:rsid w:val="60A3754C"/>
    <w:rsid w:val="618A738C"/>
    <w:rsid w:val="627A1305"/>
    <w:rsid w:val="62EF6585"/>
    <w:rsid w:val="630748D9"/>
    <w:rsid w:val="63BA086D"/>
    <w:rsid w:val="64F77188"/>
    <w:rsid w:val="656F1F75"/>
    <w:rsid w:val="659C79FF"/>
    <w:rsid w:val="65A51634"/>
    <w:rsid w:val="6719503B"/>
    <w:rsid w:val="67F1102B"/>
    <w:rsid w:val="687F0831"/>
    <w:rsid w:val="68F1445A"/>
    <w:rsid w:val="69586581"/>
    <w:rsid w:val="69766FE4"/>
    <w:rsid w:val="69BF3F3C"/>
    <w:rsid w:val="6AA264DC"/>
    <w:rsid w:val="6B137FF4"/>
    <w:rsid w:val="6BD957D8"/>
    <w:rsid w:val="6CF176B2"/>
    <w:rsid w:val="6D1E4FB2"/>
    <w:rsid w:val="6E4F6056"/>
    <w:rsid w:val="6EBC36EB"/>
    <w:rsid w:val="6F125EEC"/>
    <w:rsid w:val="6F1B4888"/>
    <w:rsid w:val="71921278"/>
    <w:rsid w:val="71DB657E"/>
    <w:rsid w:val="721A4B55"/>
    <w:rsid w:val="746F3B29"/>
    <w:rsid w:val="751140FD"/>
    <w:rsid w:val="75695030"/>
    <w:rsid w:val="75722DB1"/>
    <w:rsid w:val="75757DA3"/>
    <w:rsid w:val="75AB4AD1"/>
    <w:rsid w:val="75E76FA0"/>
    <w:rsid w:val="7657619C"/>
    <w:rsid w:val="766F3907"/>
    <w:rsid w:val="767A6A6C"/>
    <w:rsid w:val="77387FCF"/>
    <w:rsid w:val="77D61195"/>
    <w:rsid w:val="784663A0"/>
    <w:rsid w:val="79251380"/>
    <w:rsid w:val="794F6F60"/>
    <w:rsid w:val="79A655DD"/>
    <w:rsid w:val="7BBB8D2C"/>
    <w:rsid w:val="7CF029C4"/>
    <w:rsid w:val="7D725A30"/>
    <w:rsid w:val="7E7200FE"/>
    <w:rsid w:val="7E863C80"/>
    <w:rsid w:val="7F242F3E"/>
    <w:rsid w:val="7F593A1C"/>
    <w:rsid w:val="7FC95651"/>
    <w:rsid w:val="7FCD6F7B"/>
    <w:rsid w:val="7FDE63E7"/>
    <w:rsid w:val="7FFFAAD8"/>
    <w:rsid w:val="97FF8991"/>
    <w:rsid w:val="9FB7C338"/>
    <w:rsid w:val="ABD678AD"/>
    <w:rsid w:val="ACDFC696"/>
    <w:rsid w:val="D77F35A8"/>
    <w:rsid w:val="DFC88E2A"/>
    <w:rsid w:val="E39F400A"/>
    <w:rsid w:val="E5FF93CA"/>
    <w:rsid w:val="F1CEE64B"/>
    <w:rsid w:val="F747899E"/>
    <w:rsid w:val="FF9BE2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20"/>
      <w:jc w:val="both"/>
    </w:pPr>
    <w:rPr>
      <w:rFonts w:ascii="Times New Roman" w:hAnsi="Times New Roman" w:eastAsia="宋体" w:cstheme="minorBidi"/>
      <w:color w:val="1A202C"/>
      <w:sz w:val="24"/>
      <w:szCs w:val="22"/>
    </w:rPr>
  </w:style>
  <w:style w:type="paragraph" w:styleId="2">
    <w:name w:val="heading 1"/>
    <w:basedOn w:val="1"/>
    <w:next w:val="1"/>
    <w:qFormat/>
    <w:uiPriority w:val="0"/>
    <w:pPr>
      <w:keepNext/>
      <w:keepLines/>
      <w:pageBreakBefore/>
      <w:spacing w:before="400" w:after="300" w:line="240" w:lineRule="auto"/>
      <w:ind w:firstLine="0"/>
      <w:jc w:val="center"/>
      <w:outlineLvl w:val="0"/>
    </w:pPr>
    <w:rPr>
      <w:rFonts w:eastAsia="黑体"/>
      <w:b/>
      <w:color w:val="1E3A5F"/>
      <w:sz w:val="32"/>
    </w:rPr>
  </w:style>
  <w:style w:type="paragraph" w:styleId="3">
    <w:name w:val="heading 2"/>
    <w:basedOn w:val="1"/>
    <w:next w:val="1"/>
    <w:qFormat/>
    <w:uiPriority w:val="0"/>
    <w:pPr>
      <w:keepNext/>
      <w:keepLines/>
      <w:spacing w:before="360" w:after="200"/>
      <w:ind w:firstLine="0"/>
      <w:outlineLvl w:val="1"/>
    </w:pPr>
    <w:rPr>
      <w:rFonts w:eastAsia="黑体"/>
      <w:b/>
      <w:color w:val="1A202C"/>
      <w:sz w:val="28"/>
    </w:rPr>
  </w:style>
  <w:style w:type="paragraph" w:styleId="4">
    <w:name w:val="heading 3"/>
    <w:basedOn w:val="1"/>
    <w:next w:val="1"/>
    <w:qFormat/>
    <w:uiPriority w:val="0"/>
    <w:pPr>
      <w:keepNext/>
      <w:keepLines/>
      <w:spacing w:before="280" w:after="120"/>
      <w:ind w:firstLine="0"/>
      <w:outlineLvl w:val="2"/>
    </w:pPr>
    <w:rPr>
      <w:b/>
      <w:color w:val="4A5568"/>
      <w:sz w:val="24"/>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spacing w:before="120" w:after="300"/>
      <w:ind w:firstLine="0"/>
      <w:jc w:val="center"/>
    </w:pPr>
    <w:rPr>
      <w:color w:val="4A5568"/>
      <w:sz w:val="21"/>
    </w:rPr>
  </w:style>
  <w:style w:type="paragraph" w:styleId="6">
    <w:name w:val="annotation text"/>
    <w:basedOn w:val="1"/>
    <w:qFormat/>
    <w:uiPriority w:val="0"/>
    <w:pPr>
      <w:jc w:val="left"/>
    </w:pPr>
  </w:style>
  <w:style w:type="paragraph" w:styleId="7">
    <w:name w:val="Body Text"/>
    <w:basedOn w:val="1"/>
    <w:link w:val="19"/>
    <w:qFormat/>
    <w:uiPriority w:val="0"/>
    <w:pPr>
      <w:spacing w:after="120"/>
    </w:p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qFormat/>
    <w:uiPriority w:val="0"/>
    <w:pPr>
      <w:tabs>
        <w:tab w:val="right" w:leader="dot" w:pos="9350"/>
      </w:tabs>
      <w:spacing w:before="200" w:after="60"/>
      <w:ind w:firstLine="0"/>
    </w:pPr>
    <w:rPr>
      <w:b/>
      <w:color w:val="1A202C"/>
    </w:rPr>
  </w:style>
  <w:style w:type="paragraph" w:styleId="12">
    <w:name w:val="toc 2"/>
    <w:basedOn w:val="1"/>
    <w:qFormat/>
    <w:uiPriority w:val="0"/>
    <w:pPr>
      <w:tabs>
        <w:tab w:val="right" w:leader="dot" w:pos="9350"/>
      </w:tabs>
      <w:spacing w:before="60" w:after="60"/>
      <w:ind w:left="420" w:firstLine="0"/>
    </w:pPr>
    <w:rPr>
      <w:color w:val="4A5568"/>
    </w:rPr>
  </w:style>
  <w:style w:type="character" w:styleId="15">
    <w:name w:val="Strong"/>
    <w:basedOn w:val="14"/>
    <w:qFormat/>
    <w:uiPriority w:val="0"/>
    <w:rPr>
      <w:b/>
    </w:rPr>
  </w:style>
  <w:style w:type="character" w:styleId="16">
    <w:name w:val="Emphasis"/>
    <w:basedOn w:val="14"/>
    <w:qFormat/>
    <w:uiPriority w:val="0"/>
    <w:rPr>
      <w:i/>
    </w:rPr>
  </w:style>
  <w:style w:type="paragraph" w:customStyle="1" w:styleId="17">
    <w:name w:val="大纲一级"/>
    <w:autoRedefine/>
    <w:qFormat/>
    <w:uiPriority w:val="0"/>
    <w:pPr>
      <w:adjustRightInd w:val="0"/>
      <w:snapToGrid w:val="0"/>
      <w:spacing w:before="163" w:beforeLines="50" w:after="163" w:afterLines="50"/>
      <w:ind w:right="480" w:rightChars="200"/>
      <w:jc w:val="center"/>
      <w:outlineLvl w:val="0"/>
    </w:pPr>
    <w:rPr>
      <w:rFonts w:ascii="Times New Roman" w:hAnsi="Times New Roman" w:eastAsia="黑体" w:cs="Times New Roman"/>
      <w:kern w:val="2"/>
      <w:sz w:val="36"/>
      <w:szCs w:val="24"/>
      <w:lang w:val="en-US" w:eastAsia="zh-CN" w:bidi="ar-SA"/>
    </w:rPr>
  </w:style>
  <w:style w:type="paragraph" w:styleId="18">
    <w:name w:val="List Paragraph"/>
    <w:basedOn w:val="1"/>
    <w:autoRedefine/>
    <w:qFormat/>
    <w:uiPriority w:val="34"/>
    <w:pPr>
      <w:numPr>
        <w:ilvl w:val="0"/>
        <w:numId w:val="1"/>
      </w:numPr>
      <w:wordWrap w:val="0"/>
      <w:autoSpaceDE w:val="0"/>
      <w:adjustRightInd/>
      <w:snapToGrid/>
      <w:ind w:firstLineChars="0"/>
    </w:pPr>
  </w:style>
  <w:style w:type="character" w:customStyle="1" w:styleId="19">
    <w:name w:val="正文文本 Char"/>
    <w:link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chart" Target="charts/chart1.xml"/><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销售额</c:v>
                </c:pt>
              </c:strCache>
            </c:strRef>
          </c:tx>
          <c:spPr>
            <a:solidFill>
              <a:srgbClr val="D4C5B5"/>
            </a:solidFill>
          </c:spPr>
          <c:explosion val="0"/>
          <c:dPt>
            <c:idx val="0"/>
            <c:bubble3D val="0"/>
            <c:spPr>
              <a:solidFill>
                <a:srgbClr val="D4C5B5"/>
              </a:solidFill>
              <a:ln>
                <a:solidFill>
                  <a:schemeClr val="bg1"/>
                </a:solidFill>
              </a:ln>
              <a:effectLst/>
            </c:spPr>
          </c:dPt>
          <c:dPt>
            <c:idx val="1"/>
            <c:bubble3D val="0"/>
            <c:spPr>
              <a:solidFill>
                <a:srgbClr val="A8B5C2"/>
              </a:solidFill>
              <a:ln>
                <a:solidFill>
                  <a:schemeClr val="bg1"/>
                </a:solidFill>
              </a:ln>
              <a:effectLst/>
            </c:spPr>
          </c:dPt>
          <c:dPt>
            <c:idx val="2"/>
            <c:bubble3D val="0"/>
            <c:spPr>
              <a:solidFill>
                <a:srgbClr val="9B8E8E"/>
              </a:solidFill>
              <a:ln>
                <a:solidFill>
                  <a:schemeClr val="bg1"/>
                </a:solidFill>
              </a:ln>
              <a:effectLst/>
            </c:spPr>
          </c:dPt>
          <c:dPt>
            <c:idx val="3"/>
            <c:bubble3D val="0"/>
            <c:spPr>
              <a:solidFill>
                <a:srgbClr val="B9A99B"/>
              </a:solidFill>
              <a:ln>
                <a:solidFill>
                  <a:schemeClr val="bg1"/>
                </a:solidFill>
              </a:ln>
              <a:effectLst/>
            </c:spPr>
          </c:dPt>
          <c:dPt>
            <c:idx val="4"/>
            <c:bubble3D val="0"/>
            <c:spPr>
              <a:solidFill>
                <a:srgbClr val="7A9A7E"/>
              </a:solidFill>
              <a:ln>
                <a:solidFill>
                  <a:schemeClr val="bg1"/>
                </a:solidFill>
              </a:ln>
              <a:effectLst/>
            </c:spPr>
          </c:dPt>
          <c:dPt>
            <c:idx val="5"/>
            <c:bubble3D val="0"/>
            <c:spPr>
              <a:solidFill>
                <a:srgbClr val="5B7C99"/>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其他</c:v>
                </c:pt>
                <c:pt idx="1">
                  <c:v>微信生态</c:v>
                </c:pt>
                <c:pt idx="2">
                  <c:v>拼多多</c:v>
                </c:pt>
                <c:pt idx="3">
                  <c:v>抖音</c:v>
                </c:pt>
                <c:pt idx="4">
                  <c:v>京东</c:v>
                </c:pt>
                <c:pt idx="5">
                  <c:v>淘宝/天猫</c:v>
                </c:pt>
              </c:strCache>
            </c:strRef>
          </c:cat>
          <c:val>
            <c:numRef>
              <c:f>Sheet1!$B$2:$B$7</c:f>
              <c:numCache>
                <c:formatCode>0.0%</c:formatCode>
                <c:ptCount val="6"/>
                <c:pt idx="0">
                  <c:v>0.05</c:v>
                </c:pt>
                <c:pt idx="1">
                  <c:v>0.09</c:v>
                </c:pt>
                <c:pt idx="2">
                  <c:v>0.12</c:v>
                </c:pt>
                <c:pt idx="3">
                  <c:v>0.18</c:v>
                </c:pt>
                <c:pt idx="4">
                  <c:v>0.24</c:v>
                </c:pt>
                <c:pt idx="5">
                  <c:v>0.32</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12bdaad-dcf1-42b9-ac56-af8dba746ef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20812</Words>
  <Characters>23525</Characters>
  <TotalTime>4</TotalTime>
  <ScaleCrop>false</ScaleCrop>
  <LinksUpToDate>false</LinksUpToDate>
  <CharactersWithSpaces>24155</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2026-01-31T00:11:00Z</dcterms:created>
  <dc:creator>ZhuanZ</dc:creator>
  <cp:lastModifiedBy>Powehi</cp:lastModifiedBy>
  <dcterms:modified xsi:type="dcterms:W3CDTF">2026-05-26T07:18:26Z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eyJoZGlkIjoiMzMxZTE3YTE3OGIzNWZlMTZhNWJlOTM3N2NhYTVhZjMiLCJ1c2VySWQiOiI4NzMyMTM2OTgifQ==</vt:lpwstr>
  </property>
  <property fmtid="{D5CDD505-2E9C-101B-9397-08002B2CF9AE}" pid="3" name="KSOProductBuildVer">
    <vt:lpwstr>2052-12.1.0.20305</vt:lpwstr>
  </property>
  <property fmtid="{D5CDD505-2E9C-101B-9397-08002B2CF9AE}" pid="4" name="ICV">
    <vt:lpwstr>D4C6A139C7BB7FC91B6A136AA1E78BC6_43</vt:lpwstr>
  </property>
</Properties>
</file>