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 xml:space="preserve">Application number: {{ </w:t>
      </w:r>
      <w:r>
        <w:rPr>
          <w:rFonts w:cs="Arial" w:ascii="Arial Nova Light" w:hAnsi="Arial Nova Light"/>
          <w:color w:val="464646"/>
          <w:sz w:val="16"/>
          <w:szCs w:val="16"/>
        </w:rPr>
        <w:t>application</w:t>
      </w:r>
      <w:r>
        <w:rPr>
          <w:rFonts w:cs="Arial" w:ascii="Arial Nova Light" w:hAnsi="Arial Nova Light"/>
          <w:color w:val="464646"/>
          <w:sz w:val="16"/>
          <w:szCs w:val="16"/>
        </w:rPr>
        <w:t>.lodgement_number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Licenced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licenced_vessel.vessel_rego_no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licenced_vessel.vessel_length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licenced_vessel.vessel_draft }}</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vessel.vessel_length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vessel.vessel_draft }}</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LibreOffice/6.4.7.2$Linux_X86_64 LibreOffice_project/40$Build-2</Application>
  <Pages>1</Pages>
  <Words>229</Words>
  <Characters>1385</Characters>
  <CharactersWithSpaces>1613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2021-09-30T09:40:29Z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