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55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从参考文献中https://www.britannica.com/biography/Lang-Ping可以得知郎平在2005年开始执教美国国家女子排球队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按照gold:silver:bronze=3:2:1将郎平执教前后的美国女排成绩数据做划分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选取先后10届的奥运会成绩</w:t>
      </w:r>
    </w:p>
    <w:p w14:paraId="66629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郎平执教前美国女排水平：（0，1，0，0，0）</w:t>
      </w:r>
    </w:p>
    <w:p w14:paraId="1CC5D7A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执教后水平：（2，2，1，3，2）</w:t>
      </w:r>
    </w:p>
    <w:p w14:paraId="5D4F43A9">
      <w:pPr>
        <w:rPr>
          <w:rFonts w:hint="eastAsia"/>
          <w:vertAlign w:val="baseline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C232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ED62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Year</w:t>
            </w:r>
          </w:p>
        </w:tc>
        <w:tc>
          <w:tcPr>
            <w:tcW w:w="2841" w:type="dxa"/>
          </w:tcPr>
          <w:p w14:paraId="53A713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medal</w:t>
            </w:r>
          </w:p>
        </w:tc>
        <w:tc>
          <w:tcPr>
            <w:tcW w:w="2841" w:type="dxa"/>
          </w:tcPr>
          <w:p w14:paraId="6BEF72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Numeric_Value</w:t>
            </w:r>
          </w:p>
        </w:tc>
      </w:tr>
      <w:tr w14:paraId="7BE2C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E644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1964</w:t>
            </w:r>
          </w:p>
        </w:tc>
        <w:tc>
          <w:tcPr>
            <w:tcW w:w="2841" w:type="dxa"/>
          </w:tcPr>
          <w:p w14:paraId="2CD645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 MEDAL</w:t>
            </w:r>
          </w:p>
        </w:tc>
        <w:tc>
          <w:tcPr>
            <w:tcW w:w="2841" w:type="dxa"/>
          </w:tcPr>
          <w:p w14:paraId="31994A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5EA28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F6A7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1968</w:t>
            </w:r>
          </w:p>
        </w:tc>
        <w:tc>
          <w:tcPr>
            <w:tcW w:w="2841" w:type="dxa"/>
          </w:tcPr>
          <w:p w14:paraId="765163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 MEDAL</w:t>
            </w:r>
          </w:p>
        </w:tc>
        <w:tc>
          <w:tcPr>
            <w:tcW w:w="2841" w:type="dxa"/>
          </w:tcPr>
          <w:p w14:paraId="68E26A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7A81A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4ECB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1972</w:t>
            </w:r>
          </w:p>
        </w:tc>
        <w:tc>
          <w:tcPr>
            <w:tcW w:w="2841" w:type="dxa"/>
          </w:tcPr>
          <w:p w14:paraId="00BBCD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 MEDAL</w:t>
            </w:r>
          </w:p>
        </w:tc>
        <w:tc>
          <w:tcPr>
            <w:tcW w:w="2841" w:type="dxa"/>
          </w:tcPr>
          <w:p w14:paraId="1698C1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351F7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B001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1976</w:t>
            </w:r>
          </w:p>
        </w:tc>
        <w:tc>
          <w:tcPr>
            <w:tcW w:w="2841" w:type="dxa"/>
          </w:tcPr>
          <w:p w14:paraId="7FCF41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 MEDAL</w:t>
            </w:r>
          </w:p>
        </w:tc>
        <w:tc>
          <w:tcPr>
            <w:tcW w:w="2841" w:type="dxa"/>
          </w:tcPr>
          <w:p w14:paraId="31FE46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0E02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91C7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1980</w:t>
            </w:r>
          </w:p>
        </w:tc>
        <w:tc>
          <w:tcPr>
            <w:tcW w:w="2841" w:type="dxa"/>
          </w:tcPr>
          <w:p w14:paraId="09591A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 MEDAL</w:t>
            </w:r>
          </w:p>
        </w:tc>
        <w:tc>
          <w:tcPr>
            <w:tcW w:w="2841" w:type="dxa"/>
          </w:tcPr>
          <w:p w14:paraId="14FDD2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1D5CC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8F03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1984</w:t>
            </w:r>
          </w:p>
        </w:tc>
        <w:tc>
          <w:tcPr>
            <w:tcW w:w="2841" w:type="dxa"/>
          </w:tcPr>
          <w:p w14:paraId="3248EF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SILVER</w:t>
            </w:r>
          </w:p>
        </w:tc>
        <w:tc>
          <w:tcPr>
            <w:tcW w:w="2841" w:type="dxa"/>
          </w:tcPr>
          <w:p w14:paraId="60A5F7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2D191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3711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1988</w:t>
            </w:r>
          </w:p>
        </w:tc>
        <w:tc>
          <w:tcPr>
            <w:tcW w:w="2841" w:type="dxa"/>
          </w:tcPr>
          <w:p w14:paraId="1A47C9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 MEDAL</w:t>
            </w:r>
          </w:p>
        </w:tc>
        <w:tc>
          <w:tcPr>
            <w:tcW w:w="2841" w:type="dxa"/>
          </w:tcPr>
          <w:p w14:paraId="763B07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BD40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6033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1992</w:t>
            </w:r>
          </w:p>
        </w:tc>
        <w:tc>
          <w:tcPr>
            <w:tcW w:w="2841" w:type="dxa"/>
          </w:tcPr>
          <w:p w14:paraId="648B59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BRONZE</w:t>
            </w:r>
          </w:p>
        </w:tc>
        <w:tc>
          <w:tcPr>
            <w:tcW w:w="2841" w:type="dxa"/>
          </w:tcPr>
          <w:p w14:paraId="459C61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4FC7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BD53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1996</w:t>
            </w:r>
          </w:p>
        </w:tc>
        <w:tc>
          <w:tcPr>
            <w:tcW w:w="2841" w:type="dxa"/>
          </w:tcPr>
          <w:p w14:paraId="05A53D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 MEDAL</w:t>
            </w:r>
          </w:p>
        </w:tc>
        <w:tc>
          <w:tcPr>
            <w:tcW w:w="2841" w:type="dxa"/>
          </w:tcPr>
          <w:p w14:paraId="20C827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C17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5D16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2000</w:t>
            </w:r>
          </w:p>
        </w:tc>
        <w:tc>
          <w:tcPr>
            <w:tcW w:w="2841" w:type="dxa"/>
          </w:tcPr>
          <w:p w14:paraId="48EAFD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 MEDAL</w:t>
            </w:r>
          </w:p>
        </w:tc>
        <w:tc>
          <w:tcPr>
            <w:tcW w:w="2841" w:type="dxa"/>
          </w:tcPr>
          <w:p w14:paraId="1E04D6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70D0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AEBB0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</w:t>
            </w:r>
          </w:p>
        </w:tc>
        <w:tc>
          <w:tcPr>
            <w:tcW w:w="2841" w:type="dxa"/>
          </w:tcPr>
          <w:p w14:paraId="33A6E6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 MEDAL</w:t>
            </w:r>
          </w:p>
        </w:tc>
        <w:tc>
          <w:tcPr>
            <w:tcW w:w="2841" w:type="dxa"/>
          </w:tcPr>
          <w:p w14:paraId="72C352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35E0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A8DF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2008</w:t>
            </w:r>
          </w:p>
        </w:tc>
        <w:tc>
          <w:tcPr>
            <w:tcW w:w="2841" w:type="dxa"/>
          </w:tcPr>
          <w:p w14:paraId="4D54AD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SILVER</w:t>
            </w:r>
          </w:p>
        </w:tc>
        <w:tc>
          <w:tcPr>
            <w:tcW w:w="2841" w:type="dxa"/>
          </w:tcPr>
          <w:p w14:paraId="30057F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0AFA5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51F8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2012</w:t>
            </w:r>
          </w:p>
        </w:tc>
        <w:tc>
          <w:tcPr>
            <w:tcW w:w="2841" w:type="dxa"/>
          </w:tcPr>
          <w:p w14:paraId="1C28C2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SILVER</w:t>
            </w:r>
          </w:p>
        </w:tc>
        <w:tc>
          <w:tcPr>
            <w:tcW w:w="2841" w:type="dxa"/>
          </w:tcPr>
          <w:p w14:paraId="4599A7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 w14:paraId="64DE1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D1B9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2016</w:t>
            </w:r>
          </w:p>
        </w:tc>
        <w:tc>
          <w:tcPr>
            <w:tcW w:w="2841" w:type="dxa"/>
          </w:tcPr>
          <w:p w14:paraId="4C708C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BRONZE</w:t>
            </w:r>
          </w:p>
        </w:tc>
        <w:tc>
          <w:tcPr>
            <w:tcW w:w="2841" w:type="dxa"/>
          </w:tcPr>
          <w:p w14:paraId="2DAD3F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634B7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3AEC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2020</w:t>
            </w:r>
          </w:p>
        </w:tc>
        <w:tc>
          <w:tcPr>
            <w:tcW w:w="2841" w:type="dxa"/>
          </w:tcPr>
          <w:p w14:paraId="76EDB4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GOLD</w:t>
            </w:r>
          </w:p>
        </w:tc>
        <w:tc>
          <w:tcPr>
            <w:tcW w:w="2841" w:type="dxa"/>
          </w:tcPr>
          <w:p w14:paraId="02DBCC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</w:tr>
      <w:tr w14:paraId="7BA2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9A52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</w:t>
            </w:r>
          </w:p>
        </w:tc>
        <w:tc>
          <w:tcPr>
            <w:tcW w:w="2841" w:type="dxa"/>
          </w:tcPr>
          <w:p w14:paraId="78B1EF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SILVER</w:t>
            </w:r>
          </w:p>
        </w:tc>
        <w:tc>
          <w:tcPr>
            <w:tcW w:w="2841" w:type="dxa"/>
          </w:tcPr>
          <w:p w14:paraId="4CB943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 w14:paraId="50AFE320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考虑到</w:t>
      </w:r>
      <w:r>
        <w:rPr>
          <w:rFonts w:ascii="宋体" w:hAnsi="宋体" w:eastAsia="宋体" w:cs="宋体"/>
          <w:sz w:val="24"/>
          <w:szCs w:val="24"/>
        </w:rPr>
        <w:t>前后两组数据并不是同一个球队（或同一次比赛）在两个不同状态下的重复测量，而是两组不同时间段的观测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因此不适合采用</w:t>
      </w:r>
      <w:r>
        <w:rPr>
          <w:rFonts w:ascii="宋体" w:hAnsi="宋体" w:eastAsia="宋体" w:cs="宋体"/>
          <w:sz w:val="24"/>
          <w:szCs w:val="24"/>
        </w:rPr>
        <w:t>配对检验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同时由于</w:t>
      </w:r>
      <w:r>
        <w:rPr>
          <w:rFonts w:ascii="宋体" w:hAnsi="宋体" w:eastAsia="宋体" w:cs="宋体"/>
          <w:sz w:val="24"/>
          <w:szCs w:val="24"/>
        </w:rPr>
        <w:t>样本量太小难以满足中心极限定理，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以及</w:t>
      </w:r>
      <w:r>
        <w:rPr>
          <w:rFonts w:ascii="宋体" w:hAnsi="宋体" w:eastAsia="宋体" w:cs="宋体"/>
          <w:sz w:val="24"/>
          <w:szCs w:val="24"/>
        </w:rPr>
        <w:t>数据本质上是离散/有序变量，正态性假设较难成立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因此也不适宜用t-检验；</w:t>
      </w:r>
      <w:r>
        <w:rPr>
          <w:rFonts w:ascii="宋体" w:hAnsi="宋体" w:eastAsia="宋体" w:cs="宋体"/>
          <w:sz w:val="24"/>
          <w:szCs w:val="24"/>
        </w:rPr>
        <w:t>卡方检验通常用于频数数据或列联表，而这里更直接的是两组连续（虽然离散打分但可当作连续处理）数据的比较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因此卡方检验也不合适。</w:t>
      </w:r>
    </w:p>
    <w:p w14:paraId="0CCE62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由于样本量很小（各 5 个观测值），且数据本身是非正态、离散/有序的，因此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更适合使用非参数检验来比较两组数据是否存在显著差异。</w:t>
      </w:r>
    </w:p>
    <w:p w14:paraId="2EEFAA6A">
      <w:pPr>
        <w:pStyle w:val="4"/>
        <w:keepNext w:val="0"/>
        <w:keepLines w:val="0"/>
        <w:widowControl/>
        <w:suppressLineNumbers w:val="0"/>
      </w:pPr>
      <w:r>
        <w:t>Mann-Whitney U 检验属于非参数检验方法，用于比较两组独立样本的分布差异（通常可视为中位数或分布位置差异），不要求样本数据符合正态分布。其基本思想是将两组数据混合后进行排序，根据排名分配给样本的秩（rank），再统计两组数据的秩和之差，并计算相应的检验统计量 U 及其 p 值。</w:t>
      </w:r>
    </w:p>
    <w:p w14:paraId="47A40390">
      <w:pPr>
        <w:rPr>
          <w:rFonts w:ascii="宋体" w:hAnsi="宋体" w:eastAsia="宋体" w:cs="宋体"/>
          <w:sz w:val="24"/>
          <w:szCs w:val="24"/>
        </w:rPr>
      </w:pPr>
    </w:p>
    <w:p w14:paraId="3DD4BE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</w:t>
      </w:r>
      <w:r>
        <w:rPr>
          <w:rFonts w:ascii="宋体" w:hAnsi="宋体" w:eastAsia="宋体" w:cs="宋体"/>
          <w:sz w:val="24"/>
          <w:szCs w:val="24"/>
        </w:rPr>
        <w:t>Mann-Whitney U 检验（又称 Wilcoxon 秩和检验）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验证前后两组数据存在显著差异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05439330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令</w:t>
      </w:r>
      <w:r>
        <w:t>显著性水平 α=0.05：</w:t>
      </w:r>
    </w:p>
    <w:p w14:paraId="058378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8"/>
        </w:rPr>
        <w:t>原假设（</w:t>
      </w:r>
      <w:r>
        <w:t>H0</w:t>
      </w:r>
      <w:r>
        <w:rPr>
          <w:rStyle w:val="8"/>
        </w:rPr>
        <w:t>）</w:t>
      </w:r>
      <w:r>
        <w:t>：两组数据在位置上没有显著差异。</w:t>
      </w:r>
    </w:p>
    <w:p w14:paraId="202FA8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8"/>
        </w:rPr>
        <w:t>备择假设（</w:t>
      </w:r>
      <w:r>
        <w:t>H1</w:t>
      </w:r>
      <w:r>
        <w:rPr>
          <w:rStyle w:val="8"/>
        </w:rPr>
        <w:t>）</w:t>
      </w:r>
      <w:r>
        <w:t>：存在显著差异。</w:t>
      </w:r>
    </w:p>
    <w:p w14:paraId="53401BC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拒绝域:{p|p&lt;0.05}</w:t>
      </w:r>
    </w:p>
    <w:p w14:paraId="4C27F38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p=0.0118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&lt;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0.05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落入H0拒绝域</w:t>
      </w:r>
    </w:p>
    <w:p w14:paraId="485C2435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因此，我们在 5% 的显著性水平下拒绝原假设，认为“执教前后成绩”这两组数据在统计上存在显著差异。</w:t>
      </w:r>
      <w:r>
        <w:rPr>
          <w:rFonts w:hint="eastAsia"/>
          <w:lang w:val="en-US" w:eastAsia="zh-CN"/>
        </w:rPr>
        <w:t>从而证明教练效应存在</w:t>
      </w:r>
    </w:p>
    <w:p w14:paraId="25940FA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jMjU0ZGY3ZTgzZGRjYWQyZjQ3NmZjMTk3OWJmYzUifQ=="/>
  </w:docVars>
  <w:rsids>
    <w:rsidRoot w:val="00000000"/>
    <w:rsid w:val="0BAD094B"/>
    <w:rsid w:val="54C55DE3"/>
    <w:rsid w:val="6163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401</Words>
  <Characters>634</Characters>
  <Lines>0</Lines>
  <Paragraphs>0</Paragraphs>
  <TotalTime>8</TotalTime>
  <ScaleCrop>false</ScaleCrop>
  <LinksUpToDate>false</LinksUpToDate>
  <CharactersWithSpaces>656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2025-01-27T01:44:00Z</dcterms:created>
  <dc:creator>21398</dc:creator>
  <cp:lastModifiedBy>赵子辰</cp:lastModifiedBy>
  <dcterms:modified xsi:type="dcterms:W3CDTF">2025-01-27T03:37:01Z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78F770B2DE534526B5180D24B9FA92A0_12</vt:lpwstr>
  </property>
</Properties>
</file>