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D6CB9">
      <w:pPr>
        <w:spacing w:line="360" w:lineRule="auto"/>
        <w:jc w:val="center"/>
        <w:rPr>
          <w:rFonts w:ascii="楷体" w:hAnsi="楷体" w:eastAsia="楷体"/>
          <w:b/>
          <w:sz w:val="48"/>
          <w:szCs w:val="48"/>
        </w:rPr>
      </w:pPr>
      <w:bookmarkStart w:id="3" w:name="_GoBack"/>
      <w:bookmarkEnd w:id="3"/>
    </w:p>
    <w:p w14:paraId="0EAD6A33">
      <w:pPr>
        <w:spacing w:line="360" w:lineRule="auto"/>
        <w:jc w:val="center"/>
        <w:rPr>
          <w:rFonts w:ascii="楷体" w:hAnsi="楷体" w:eastAsia="楷体"/>
          <w:sz w:val="44"/>
          <w:szCs w:val="44"/>
        </w:rPr>
      </w:pPr>
      <w:r>
        <w:rPr>
          <w:rFonts w:hint="eastAsia" w:ascii="楷体" w:hAnsi="楷体" w:eastAsia="楷体"/>
          <w:sz w:val="44"/>
          <w:szCs w:val="44"/>
        </w:rPr>
        <w:t>专利代理文本</w:t>
      </w:r>
    </w:p>
    <w:p w14:paraId="609CD3B2">
      <w:pPr>
        <w:spacing w:line="360" w:lineRule="auto"/>
        <w:jc w:val="center"/>
        <w:rPr>
          <w:rFonts w:ascii="楷体" w:hAnsi="楷体" w:eastAsia="楷体"/>
          <w:sz w:val="48"/>
          <w:szCs w:val="48"/>
        </w:rPr>
      </w:pPr>
    </w:p>
    <w:p w14:paraId="3E3CD694">
      <w:pPr>
        <w:spacing w:line="600" w:lineRule="exact"/>
        <w:rPr>
          <w:b/>
          <w:sz w:val="28"/>
          <w:szCs w:val="28"/>
        </w:rPr>
      </w:pPr>
      <w:r>
        <w:rPr>
          <w:b/>
          <w:sz w:val="28"/>
          <w:szCs w:val="28"/>
        </w:rPr>
        <w:t>发明名称：</w:t>
      </w:r>
      <w:r>
        <w:rPr>
          <w:rFonts w:hint="eastAsia"/>
          <w:b/>
          <w:sz w:val="28"/>
          <w:szCs w:val="28"/>
        </w:rPr>
        <w:t>融合双帧载波频偏特征的LoRa终端识别方法</w:t>
      </w:r>
    </w:p>
    <w:p w14:paraId="4D304D21">
      <w:pPr>
        <w:spacing w:line="600" w:lineRule="exact"/>
        <w:rPr>
          <w:b/>
          <w:sz w:val="28"/>
          <w:szCs w:val="28"/>
        </w:rPr>
      </w:pPr>
      <w:r>
        <w:rPr>
          <w:b/>
          <w:sz w:val="28"/>
          <w:szCs w:val="28"/>
        </w:rPr>
        <w:t>申请人：</w:t>
      </w:r>
      <w:r>
        <w:rPr>
          <w:rFonts w:hint="eastAsia"/>
          <w:b/>
          <w:sz w:val="28"/>
          <w:szCs w:val="28"/>
        </w:rPr>
        <w:t>东南大学</w:t>
      </w:r>
    </w:p>
    <w:p w14:paraId="6C47181B">
      <w:pPr>
        <w:spacing w:line="600" w:lineRule="exact"/>
        <w:rPr>
          <w:b/>
          <w:sz w:val="28"/>
          <w:szCs w:val="28"/>
        </w:rPr>
      </w:pPr>
      <w:r>
        <w:rPr>
          <w:rFonts w:hint="eastAsia"/>
          <w:b/>
          <w:sz w:val="28"/>
          <w:szCs w:val="28"/>
        </w:rPr>
        <w:t>发明人：赵子辰，昝召朋，刘博文，曹睿，陈梓超，吴文甲</w:t>
      </w:r>
    </w:p>
    <w:p w14:paraId="19B4EC02">
      <w:pPr>
        <w:spacing w:line="600" w:lineRule="exact"/>
        <w:rPr>
          <w:b/>
          <w:sz w:val="28"/>
          <w:szCs w:val="28"/>
        </w:rPr>
      </w:pPr>
      <w:r>
        <w:rPr>
          <w:rFonts w:hint="eastAsia"/>
          <w:b/>
          <w:sz w:val="28"/>
          <w:szCs w:val="28"/>
        </w:rPr>
        <w:t>（东南大学网络空间安全学院，信息科学与工程学院，计算机科学与工程学院、软件学院、人工智能学院）</w:t>
      </w:r>
    </w:p>
    <w:p w14:paraId="64A0285A">
      <w:pPr>
        <w:spacing w:line="600" w:lineRule="exact"/>
        <w:rPr>
          <w:b/>
          <w:sz w:val="28"/>
          <w:szCs w:val="28"/>
        </w:rPr>
      </w:pPr>
      <w:r>
        <w:rPr>
          <w:rFonts w:hint="eastAsia"/>
          <w:b/>
          <w:sz w:val="28"/>
          <w:szCs w:val="28"/>
        </w:rPr>
        <w:t>第一发明人：赵子辰</w:t>
      </w:r>
    </w:p>
    <w:p w14:paraId="4133ECC0">
      <w:pPr>
        <w:spacing w:line="600" w:lineRule="exact"/>
        <w:rPr>
          <w:b/>
          <w:sz w:val="28"/>
          <w:szCs w:val="28"/>
        </w:rPr>
      </w:pPr>
      <w:r>
        <w:rPr>
          <w:b/>
          <w:sz w:val="28"/>
          <w:szCs w:val="28"/>
        </w:rPr>
        <w:t>第一发明</w:t>
      </w:r>
      <w:r>
        <w:rPr>
          <w:rFonts w:hint="eastAsia"/>
          <w:b/>
          <w:sz w:val="28"/>
          <w:szCs w:val="28"/>
        </w:rPr>
        <w:t>人身份证号码：410881200502170179</w:t>
      </w:r>
    </w:p>
    <w:p w14:paraId="5DEEE569">
      <w:pPr>
        <w:spacing w:line="360" w:lineRule="auto"/>
        <w:rPr>
          <w:rFonts w:ascii="楷体" w:hAnsi="楷体" w:eastAsia="楷体"/>
          <w:sz w:val="32"/>
          <w:szCs w:val="32"/>
        </w:rPr>
      </w:pPr>
      <w:r>
        <w:rPr>
          <w:rFonts w:hint="eastAsia" w:ascii="楷体" w:hAnsi="楷体" w:eastAsia="楷体"/>
          <w:b/>
          <w:sz w:val="32"/>
          <w:szCs w:val="32"/>
        </w:rPr>
        <w:t>备注：</w:t>
      </w:r>
      <w:r>
        <w:rPr>
          <w:rFonts w:hint="eastAsia" w:ascii="楷体" w:hAnsi="楷体" w:eastAsia="楷体"/>
          <w:sz w:val="32"/>
          <w:szCs w:val="32"/>
          <w:u w:val="single"/>
        </w:rPr>
        <w:t xml:space="preserve">                                   </w:t>
      </w:r>
    </w:p>
    <w:p w14:paraId="582257EA">
      <w:pPr>
        <w:spacing w:line="360" w:lineRule="auto"/>
        <w:rPr>
          <w:rFonts w:ascii="宋体" w:hAnsi="宋体" w:cs="宋体"/>
          <w:kern w:val="1"/>
          <w:sz w:val="24"/>
          <w:szCs w:val="24"/>
          <w:u w:val="single"/>
        </w:rPr>
      </w:pPr>
      <w:r>
        <w:rPr>
          <w:rFonts w:ascii="宋体" w:hAnsi="宋体" w:cs="宋体"/>
          <w:b/>
          <w:kern w:val="1"/>
          <w:sz w:val="24"/>
          <w:szCs w:val="24"/>
          <w:u w:val="single"/>
        </w:rPr>
        <w:t>代理人</w:t>
      </w:r>
      <w:r>
        <w:rPr>
          <w:rFonts w:ascii="宋体" w:hAnsi="宋体" w:cs="宋体"/>
          <w:kern w:val="1"/>
          <w:sz w:val="24"/>
          <w:szCs w:val="24"/>
          <w:u w:val="single"/>
        </w:rPr>
        <w:t xml:space="preserve">：    </w:t>
      </w:r>
      <w:r>
        <w:rPr>
          <w:rFonts w:hint="eastAsia" w:ascii="宋体" w:hAnsi="宋体" w:cs="宋体"/>
          <w:kern w:val="1"/>
          <w:sz w:val="24"/>
          <w:szCs w:val="24"/>
          <w:u w:val="single"/>
        </w:rPr>
        <w:t>杜静静</w:t>
      </w:r>
      <w:r>
        <w:rPr>
          <w:rFonts w:ascii="宋体" w:hAnsi="宋体" w:cs="宋体"/>
          <w:kern w:val="1"/>
          <w:sz w:val="24"/>
          <w:szCs w:val="24"/>
          <w:u w:val="single"/>
        </w:rPr>
        <w:t xml:space="preserve">                               </w:t>
      </w:r>
      <w:r>
        <w:rPr>
          <w:rFonts w:hint="eastAsia" w:ascii="宋体" w:hAnsi="宋体" w:cs="宋体"/>
          <w:kern w:val="1"/>
          <w:sz w:val="24"/>
          <w:szCs w:val="24"/>
          <w:u w:val="single"/>
        </w:rPr>
        <w:t xml:space="preserve">   </w:t>
      </w:r>
      <w:r>
        <w:rPr>
          <w:rFonts w:ascii="宋体" w:hAnsi="宋体" w:cs="宋体"/>
          <w:kern w:val="1"/>
          <w:sz w:val="24"/>
          <w:szCs w:val="24"/>
          <w:u w:val="single"/>
        </w:rPr>
        <w:t xml:space="preserve">   </w:t>
      </w:r>
    </w:p>
    <w:p w14:paraId="6724CD48">
      <w:pPr>
        <w:spacing w:line="360" w:lineRule="auto"/>
        <w:rPr>
          <w:rFonts w:ascii="宋体" w:hAnsi="宋体" w:cs="宋体"/>
          <w:kern w:val="1"/>
          <w:sz w:val="24"/>
          <w:szCs w:val="24"/>
          <w:u w:val="single"/>
        </w:rPr>
      </w:pPr>
      <w:r>
        <w:rPr>
          <w:rFonts w:ascii="宋体" w:hAnsi="宋体" w:cs="宋体"/>
          <w:b/>
          <w:kern w:val="1"/>
          <w:sz w:val="24"/>
          <w:szCs w:val="24"/>
          <w:u w:val="single"/>
        </w:rPr>
        <w:t>代理人电话</w:t>
      </w:r>
      <w:r>
        <w:rPr>
          <w:rFonts w:ascii="宋体" w:hAnsi="宋体" w:cs="宋体"/>
          <w:kern w:val="1"/>
          <w:sz w:val="24"/>
          <w:szCs w:val="24"/>
          <w:u w:val="single"/>
        </w:rPr>
        <w:t xml:space="preserve">：     025-83320802,13851673801              </w:t>
      </w:r>
    </w:p>
    <w:p w14:paraId="5948D383">
      <w:pPr>
        <w:spacing w:line="360" w:lineRule="auto"/>
        <w:rPr>
          <w:rFonts w:ascii="宋体" w:hAnsi="宋体" w:cs="宋体"/>
          <w:kern w:val="1"/>
          <w:sz w:val="24"/>
          <w:szCs w:val="24"/>
        </w:rPr>
      </w:pPr>
      <w:r>
        <w:rPr>
          <w:rFonts w:ascii="宋体" w:hAnsi="宋体" w:cs="宋体"/>
          <w:b/>
          <w:kern w:val="1"/>
          <w:sz w:val="24"/>
          <w:szCs w:val="24"/>
        </w:rPr>
        <w:t>代理人邮箱</w:t>
      </w:r>
      <w:r>
        <w:rPr>
          <w:rFonts w:ascii="宋体" w:hAnsi="宋体" w:cs="宋体"/>
          <w:kern w:val="1"/>
          <w:sz w:val="24"/>
          <w:szCs w:val="24"/>
        </w:rPr>
        <w:t>：</w:t>
      </w:r>
      <w:r>
        <w:rPr>
          <w:rFonts w:ascii="宋体" w:hAnsi="宋体" w:cs="宋体"/>
          <w:kern w:val="1"/>
          <w:sz w:val="24"/>
          <w:szCs w:val="24"/>
          <w:u w:val="single"/>
        </w:rPr>
        <w:t xml:space="preserve">    jjdu1001@126.com                       </w:t>
      </w:r>
    </w:p>
    <w:p w14:paraId="7A43C0FB">
      <w:pPr>
        <w:spacing w:line="360" w:lineRule="auto"/>
        <w:rPr>
          <w:rFonts w:ascii="楷体" w:hAnsi="楷体" w:eastAsia="楷体"/>
          <w:sz w:val="24"/>
          <w:szCs w:val="24"/>
        </w:rPr>
      </w:pPr>
      <w:r>
        <w:rPr>
          <w:rFonts w:hint="eastAsia" w:ascii="楷体" w:hAnsi="楷体" w:eastAsia="楷体"/>
          <w:sz w:val="24"/>
          <w:szCs w:val="24"/>
        </w:rPr>
        <w:t xml:space="preserve">        </w:t>
      </w:r>
    </w:p>
    <w:p w14:paraId="2B86472F">
      <w:pPr>
        <w:spacing w:line="360" w:lineRule="auto"/>
        <w:rPr>
          <w:rFonts w:ascii="宋体" w:hAnsi="宋体" w:cs="宋体"/>
          <w:kern w:val="1"/>
          <w:sz w:val="24"/>
          <w:szCs w:val="24"/>
        </w:rPr>
      </w:pPr>
      <w:r>
        <w:rPr>
          <w:rFonts w:ascii="宋体" w:hAnsi="宋体" w:cs="宋体"/>
          <w:kern w:val="1"/>
          <w:sz w:val="24"/>
          <w:szCs w:val="24"/>
        </w:rPr>
        <mc:AlternateContent>
          <mc:Choice Requires="wps">
            <w:drawing>
              <wp:anchor distT="0" distB="0" distL="114300" distR="114300" simplePos="0" relativeHeight="251664384" behindDoc="0" locked="0" layoutInCell="0" allowOverlap="1">
                <wp:simplePos x="0" y="0"/>
                <wp:positionH relativeFrom="column">
                  <wp:posOffset>326390</wp:posOffset>
                </wp:positionH>
                <wp:positionV relativeFrom="paragraph">
                  <wp:posOffset>86995</wp:posOffset>
                </wp:positionV>
                <wp:extent cx="5143500" cy="1722120"/>
                <wp:effectExtent l="5080" t="4445" r="13970" b="6985"/>
                <wp:wrapNone/>
                <wp:docPr id="22" name="文本框1"/>
                <wp:cNvGraphicFramePr/>
                <a:graphic xmlns:a="http://schemas.openxmlformats.org/drawingml/2006/main">
                  <a:graphicData uri="http://schemas.microsoft.com/office/word/2010/wordprocessingShape">
                    <wps:wsp>
                      <wps:cNvSpPr txBox="1"/>
                      <wps:spPr>
                        <a:xfrm>
                          <a:off x="0" y="0"/>
                          <a:ext cx="5143500" cy="1722120"/>
                        </a:xfrm>
                        <a:prstGeom prst="rect">
                          <a:avLst/>
                        </a:prstGeom>
                        <a:noFill/>
                        <a:ln w="9525" cap="flat" cmpd="sng">
                          <a:solidFill>
                            <a:srgbClr val="000000"/>
                          </a:solidFill>
                          <a:prstDash val="solid"/>
                          <a:miter/>
                          <a:headEnd type="none" w="med" len="med"/>
                          <a:tailEnd type="none" w="med" len="med"/>
                        </a:ln>
                      </wps:spPr>
                      <wps:txbx>
                        <w:txbxContent>
                          <w:p w14:paraId="0C2339DC">
                            <w:pPr>
                              <w:rPr>
                                <w:kern w:val="1"/>
                              </w:rPr>
                            </w:pPr>
                            <w:r>
                              <w:rPr>
                                <w:kern w:val="1"/>
                              </w:rPr>
                              <w:t xml:space="preserve">备注：                                                                 </w:t>
                            </w:r>
                          </w:p>
                          <w:p w14:paraId="74874C0E">
                            <w:pPr>
                              <w:rPr>
                                <w:kern w:val="1"/>
                                <w:u w:val="single"/>
                              </w:rPr>
                            </w:pPr>
                            <w:r>
                              <w:rPr>
                                <w:rFonts w:hint="eastAsia"/>
                                <w:kern w:val="1"/>
                              </w:rPr>
                              <w:t xml:space="preserve"> </w:t>
                            </w:r>
                          </w:p>
                          <w:p w14:paraId="60AEC47C">
                            <w:pPr>
                              <w:rPr>
                                <w:kern w:val="1"/>
                                <w:u w:val="single"/>
                              </w:rPr>
                            </w:pPr>
                            <w:r>
                              <w:rPr>
                                <w:kern w:val="1"/>
                                <w:u w:val="single"/>
                              </w:rPr>
                              <w:t xml:space="preserve"> </w:t>
                            </w:r>
                          </w:p>
                          <w:p w14:paraId="4D87C8D6">
                            <w:pPr>
                              <w:rPr>
                                <w:kern w:val="1"/>
                                <w:u w:val="single"/>
                              </w:rPr>
                            </w:pPr>
                            <w:r>
                              <w:rPr>
                                <w:kern w:val="1"/>
                                <w:u w:val="single"/>
                              </w:rPr>
                              <w:t xml:space="preserve">                                                           </w:t>
                            </w:r>
                          </w:p>
                          <w:p w14:paraId="5E8B114E">
                            <w:pPr>
                              <w:rPr>
                                <w:kern w:val="1"/>
                                <w:u w:val="single"/>
                              </w:rPr>
                            </w:pPr>
                            <w:r>
                              <w:rPr>
                                <w:kern w:val="1"/>
                              </w:rPr>
                              <w:t xml:space="preserve"> </w:t>
                            </w:r>
                            <w:r>
                              <w:rPr>
                                <w:kern w:val="1"/>
                                <w:u w:val="single"/>
                              </w:rPr>
                              <w:t xml:space="preserve">                                                                      </w:t>
                            </w:r>
                          </w:p>
                          <w:p w14:paraId="277C5E23">
                            <w:pPr>
                              <w:rPr>
                                <w:kern w:val="1"/>
                                <w:u w:val="single"/>
                              </w:rPr>
                            </w:pPr>
                            <w:r>
                              <w:rPr>
                                <w:kern w:val="1"/>
                              </w:rPr>
                              <w:t xml:space="preserve"> </w:t>
                            </w:r>
                            <w:r>
                              <w:rPr>
                                <w:kern w:val="1"/>
                                <w:u w:val="single"/>
                              </w:rPr>
                              <w:t xml:space="preserve">                                                                      </w:t>
                            </w:r>
                          </w:p>
                          <w:p w14:paraId="1C280D66"/>
                        </w:txbxContent>
                      </wps:txbx>
                      <wps:bodyPr wrap="square" upright="1"/>
                    </wps:wsp>
                  </a:graphicData>
                </a:graphic>
              </wp:anchor>
            </w:drawing>
          </mc:Choice>
          <mc:Fallback>
            <w:pict>
              <v:shape id="文本框1" o:spid="_x0000_s1026" o:spt="202" type="#_x0000_t202" style="position:absolute;left:0pt;margin-left:25.7pt;margin-top:6.85pt;height:135.6pt;width:405pt;z-index:251664384;mso-width-relative:page;mso-height-relative:page;" filled="f" stroked="t" coordsize="21600,21600" o:allowincell="f" o:gfxdata="UEsDBAoAAAAAAIdO4kAAAAAAAAAAAAAAAAAEAAAAZHJzL1BLAwQUAAAACACHTuJADpa7F9YAAAAJ&#10;AQAADwAAAGRycy9kb3ducmV2LnhtbE2PS1PDMAyE78zwHzxihht1HqVJQ5weKNwhFLg6sZpkiOVM&#10;7D7g16Oe4Kjd1epTuTnbURxx9oMjBfEiAoHUOjNQp2D39nyXg/BBk9GjI1TwjR421fVVqQvjTvSK&#10;xzp0gkvIF1pBH8JUSOnbHq32Czchsbd3s9WBx7mTZtYnLrejTKJoJa0eiC/0esLHHtuv+mAZI/nc&#10;pduXGrNMN+n26ed9vf8Ylbq9iaMHEAHP4S8MF3zegYqZGncg48Wo4D5ecpL1NAPBfr66CI2CJF+u&#10;QVal/P9B9QtQSwMEFAAAAAgAh07iQJNGKwsQAgAAHAQAAA4AAABkcnMvZTJvRG9jLnhtbK1TS5LT&#10;MBDdU8UdVNoTx4bwScWZKgjDhgKqBg6gyLKtKv2QlNi5ANyAFRv2c66cgyc5k4FhkwVeyC1163W/&#10;163V1agV2QsfpDU1LWdzSoThtpGmq+mXz9dPXlISIjMNU9aImh5EoFfrx49Wg1uKyvZWNcITgJiw&#10;HFxN+xjdsigC74VmYWadMHC21msWsfVd0Xg2AF2roprPnxeD9Y3zlosQcLqZnPSE6C8BtG0rudhY&#10;vtPCxAnVC8UiKIVeukDXudq2FTx+bNsgIlE1BdOYVySBvU1rsV6xZeeZ6yU/lcAuKeEBJ82kQdIz&#10;1IZFRnZe/gOlJfc22DbOuNXFRCQrAhbl/IE2Nz1zInOB1MGdRQ//D5Z/2H/yRDY1rSpKDNPo+PHH&#10;9+PP2+Ovb2WSZ3Bhiagbh7g4vrYjhubuPOAwsR5br9MffAj8EPdwFleMkXAcLspnTxdzuDh85Yuq&#10;Kqssf3F/3fkQ3wmrSTJq6tG9LCrbvw8RpSD0LiRlM/ZaKpU7qAwZavpqUS2AzzCVLaYBpnZgFkyX&#10;YYJVsklX0uXgu+0b5cmepcnIX2KFFH+FpXwbFvopLrummdEyCp9z94I1b01D4sFBPINHQ1MxWjSU&#10;KIE3lqwcGZlUl0SiCGVQS5J+kjhZcdyOgEnm1jYHtGPA3ILe1x3zyLlzXnY9dMvtyZcxNJnSacDT&#10;VP65zynuH/X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6WuxfWAAAACQEAAA8AAAAAAAAAAQAg&#10;AAAAIgAAAGRycy9kb3ducmV2LnhtbFBLAQIUABQAAAAIAIdO4kCTRisLEAIAABwEAAAOAAAAAAAA&#10;AAEAIAAAACUBAABkcnMvZTJvRG9jLnhtbFBLBQYAAAAABgAGAFkBAACnBQAAAAA=&#10;">
                <v:fill on="f" focussize="0,0"/>
                <v:stroke color="#000000" joinstyle="miter"/>
                <v:imagedata o:title=""/>
                <o:lock v:ext="edit" aspectratio="f"/>
                <v:textbox>
                  <w:txbxContent>
                    <w:p w14:paraId="0C2339DC">
                      <w:pPr>
                        <w:rPr>
                          <w:kern w:val="1"/>
                        </w:rPr>
                      </w:pPr>
                      <w:r>
                        <w:rPr>
                          <w:kern w:val="1"/>
                        </w:rPr>
                        <w:t xml:space="preserve">备注：                                                                 </w:t>
                      </w:r>
                    </w:p>
                    <w:p w14:paraId="74874C0E">
                      <w:pPr>
                        <w:rPr>
                          <w:kern w:val="1"/>
                          <w:u w:val="single"/>
                        </w:rPr>
                      </w:pPr>
                      <w:r>
                        <w:rPr>
                          <w:rFonts w:hint="eastAsia"/>
                          <w:kern w:val="1"/>
                        </w:rPr>
                        <w:t xml:space="preserve"> </w:t>
                      </w:r>
                    </w:p>
                    <w:p w14:paraId="60AEC47C">
                      <w:pPr>
                        <w:rPr>
                          <w:kern w:val="1"/>
                          <w:u w:val="single"/>
                        </w:rPr>
                      </w:pPr>
                      <w:r>
                        <w:rPr>
                          <w:kern w:val="1"/>
                          <w:u w:val="single"/>
                        </w:rPr>
                        <w:t xml:space="preserve"> </w:t>
                      </w:r>
                    </w:p>
                    <w:p w14:paraId="4D87C8D6">
                      <w:pPr>
                        <w:rPr>
                          <w:kern w:val="1"/>
                          <w:u w:val="single"/>
                        </w:rPr>
                      </w:pPr>
                      <w:r>
                        <w:rPr>
                          <w:kern w:val="1"/>
                          <w:u w:val="single"/>
                        </w:rPr>
                        <w:t xml:space="preserve">                                                           </w:t>
                      </w:r>
                    </w:p>
                    <w:p w14:paraId="5E8B114E">
                      <w:pPr>
                        <w:rPr>
                          <w:kern w:val="1"/>
                          <w:u w:val="single"/>
                        </w:rPr>
                      </w:pPr>
                      <w:r>
                        <w:rPr>
                          <w:kern w:val="1"/>
                        </w:rPr>
                        <w:t xml:space="preserve"> </w:t>
                      </w:r>
                      <w:r>
                        <w:rPr>
                          <w:kern w:val="1"/>
                          <w:u w:val="single"/>
                        </w:rPr>
                        <w:t xml:space="preserve">                                                                      </w:t>
                      </w:r>
                    </w:p>
                    <w:p w14:paraId="277C5E23">
                      <w:pPr>
                        <w:rPr>
                          <w:kern w:val="1"/>
                          <w:u w:val="single"/>
                        </w:rPr>
                      </w:pPr>
                      <w:r>
                        <w:rPr>
                          <w:kern w:val="1"/>
                        </w:rPr>
                        <w:t xml:space="preserve"> </w:t>
                      </w:r>
                      <w:r>
                        <w:rPr>
                          <w:kern w:val="1"/>
                          <w:u w:val="single"/>
                        </w:rPr>
                        <w:t xml:space="preserve">                                                                      </w:t>
                      </w:r>
                    </w:p>
                    <w:p w14:paraId="1C280D66"/>
                  </w:txbxContent>
                </v:textbox>
              </v:shape>
            </w:pict>
          </mc:Fallback>
        </mc:AlternateContent>
      </w:r>
    </w:p>
    <w:p w14:paraId="37583278">
      <w:pPr>
        <w:spacing w:line="360" w:lineRule="auto"/>
        <w:rPr>
          <w:rFonts w:ascii="宋体" w:hAnsi="宋体" w:cs="宋体"/>
          <w:kern w:val="1"/>
          <w:sz w:val="24"/>
          <w:szCs w:val="24"/>
        </w:rPr>
      </w:pPr>
    </w:p>
    <w:p w14:paraId="0DD5F2E6">
      <w:pPr>
        <w:spacing w:line="360" w:lineRule="auto"/>
        <w:rPr>
          <w:rFonts w:ascii="宋体" w:hAnsi="宋体" w:cs="宋体"/>
          <w:kern w:val="1"/>
          <w:sz w:val="24"/>
          <w:szCs w:val="24"/>
        </w:rPr>
      </w:pPr>
    </w:p>
    <w:p w14:paraId="0C1A42C1">
      <w:pPr>
        <w:spacing w:line="360" w:lineRule="auto"/>
        <w:rPr>
          <w:rFonts w:ascii="宋体" w:hAnsi="宋体" w:cs="宋体"/>
          <w:kern w:val="1"/>
          <w:sz w:val="24"/>
          <w:szCs w:val="24"/>
        </w:rPr>
      </w:pPr>
    </w:p>
    <w:p w14:paraId="0CDC1AF7">
      <w:pPr>
        <w:spacing w:line="360" w:lineRule="auto"/>
        <w:rPr>
          <w:rFonts w:ascii="宋体" w:hAnsi="宋体" w:cs="宋体"/>
          <w:kern w:val="1"/>
          <w:sz w:val="24"/>
          <w:szCs w:val="24"/>
        </w:rPr>
      </w:pPr>
    </w:p>
    <w:p w14:paraId="5EB69EA0">
      <w:pPr>
        <w:spacing w:line="360" w:lineRule="auto"/>
        <w:rPr>
          <w:rFonts w:ascii="宋体" w:hAnsi="宋体" w:cs="宋体"/>
          <w:kern w:val="1"/>
          <w:sz w:val="24"/>
          <w:szCs w:val="24"/>
        </w:rPr>
      </w:pPr>
      <w:r>
        <w:rPr>
          <w:rFonts w:ascii="宋体" w:hAnsi="宋体" w:cs="宋体"/>
          <w:kern w:val="1"/>
          <w:sz w:val="24"/>
          <w:szCs w:val="24"/>
        </w:rPr>
        <w:t xml:space="preserve">    </w:t>
      </w:r>
    </w:p>
    <w:p w14:paraId="1C19FEDE">
      <w:pPr>
        <w:spacing w:line="360" w:lineRule="auto"/>
        <w:rPr>
          <w:rFonts w:ascii="宋体" w:hAnsi="宋体" w:cs="宋体"/>
          <w:kern w:val="1"/>
          <w:sz w:val="24"/>
          <w:szCs w:val="24"/>
        </w:rPr>
        <w:sectPr>
          <w:headerReference r:id="rId3" w:type="default"/>
          <w:footerReference r:id="rId4" w:type="default"/>
          <w:pgSz w:w="11906" w:h="16838"/>
          <w:pgMar w:top="1361" w:right="851" w:bottom="851" w:left="1418" w:header="794" w:footer="113" w:gutter="0"/>
          <w:cols w:space="720" w:num="1"/>
        </w:sectPr>
      </w:pPr>
      <w:r>
        <w:rPr>
          <w:rFonts w:ascii="宋体" w:hAnsi="宋体" w:cs="宋体"/>
          <w:kern w:val="1"/>
          <w:sz w:val="24"/>
          <w:szCs w:val="24"/>
        </w:rPr>
        <w:t xml:space="preserve">       </w:t>
      </w:r>
    </w:p>
    <w:p w14:paraId="3B58DD95">
      <w:pPr>
        <w:spacing w:line="360" w:lineRule="auto"/>
        <w:rPr>
          <w:rFonts w:ascii="楷体" w:hAnsi="楷体" w:eastAsia="楷体"/>
          <w:sz w:val="24"/>
          <w:szCs w:val="24"/>
        </w:rPr>
      </w:pPr>
    </w:p>
    <w:p w14:paraId="13F39931">
      <w:pPr>
        <w:spacing w:line="600" w:lineRule="exact"/>
        <w:rPr>
          <w:b/>
          <w:sz w:val="28"/>
          <w:szCs w:val="28"/>
        </w:rPr>
      </w:pPr>
      <w:r>
        <w:rPr>
          <w:rFonts w:hint="eastAsia"/>
          <w:b/>
          <w:sz w:val="28"/>
          <w:szCs w:val="28"/>
        </w:rPr>
        <w:t>联系人：赵子辰</w:t>
      </w:r>
    </w:p>
    <w:p w14:paraId="20600FFE">
      <w:pPr>
        <w:spacing w:line="600" w:lineRule="exact"/>
        <w:rPr>
          <w:b/>
          <w:sz w:val="28"/>
          <w:szCs w:val="28"/>
        </w:rPr>
      </w:pPr>
      <w:r>
        <w:rPr>
          <w:rFonts w:hint="eastAsia"/>
          <w:b/>
          <w:sz w:val="28"/>
          <w:szCs w:val="28"/>
        </w:rPr>
        <w:t>联系电话：15639086007</w:t>
      </w:r>
    </w:p>
    <w:p w14:paraId="45939F5F">
      <w:pPr>
        <w:spacing w:line="600" w:lineRule="exact"/>
        <w:rPr>
          <w:b/>
          <w:sz w:val="28"/>
          <w:szCs w:val="28"/>
        </w:rPr>
      </w:pPr>
      <w:r>
        <w:rPr>
          <w:rFonts w:hint="eastAsia"/>
          <w:b/>
          <w:sz w:val="28"/>
          <w:szCs w:val="28"/>
        </w:rPr>
        <w:t>联系邮箱：</w:t>
      </w:r>
      <w:r>
        <w:rPr>
          <w:rFonts w:hint="eastAsia"/>
          <w:b/>
          <w:sz w:val="28"/>
          <w:szCs w:val="28"/>
        </w:rPr>
        <w:fldChar w:fldCharType="begin"/>
      </w:r>
      <w:r>
        <w:rPr>
          <w:rFonts w:hint="eastAsia"/>
          <w:b/>
          <w:sz w:val="28"/>
          <w:szCs w:val="28"/>
        </w:rPr>
        <w:instrText xml:space="preserve"> HYPERLINK "mailto:213231943@seu.edu.cn" </w:instrText>
      </w:r>
      <w:r>
        <w:rPr>
          <w:rFonts w:hint="eastAsia"/>
          <w:b/>
          <w:sz w:val="28"/>
          <w:szCs w:val="28"/>
        </w:rPr>
        <w:fldChar w:fldCharType="separate"/>
      </w:r>
      <w:r>
        <w:rPr>
          <w:rStyle w:val="18"/>
          <w:rFonts w:hint="eastAsia"/>
          <w:b/>
          <w:color w:val="auto"/>
          <w:sz w:val="28"/>
          <w:szCs w:val="28"/>
          <w:u w:val="none"/>
        </w:rPr>
        <w:t>213231943@seu.edu.cn</w:t>
      </w:r>
      <w:r>
        <w:rPr>
          <w:rFonts w:hint="eastAsia"/>
          <w:b/>
          <w:sz w:val="28"/>
          <w:szCs w:val="28"/>
        </w:rPr>
        <w:fldChar w:fldCharType="end"/>
      </w:r>
    </w:p>
    <w:p w14:paraId="52757608">
      <w:pPr>
        <w:spacing w:line="600" w:lineRule="exact"/>
        <w:rPr>
          <w:b/>
          <w:sz w:val="28"/>
          <w:szCs w:val="28"/>
        </w:rPr>
      </w:pPr>
      <w:r>
        <w:rPr>
          <w:rFonts w:hint="eastAsia"/>
          <w:b/>
          <w:sz w:val="28"/>
          <w:szCs w:val="28"/>
        </w:rPr>
        <w:t xml:space="preserve">赵子辰：15639086007  </w:t>
      </w:r>
      <w:r>
        <w:fldChar w:fldCharType="begin"/>
      </w:r>
      <w:r>
        <w:instrText xml:space="preserve"> HYPERLINK "mailto:213231943@seu.edu.cn" </w:instrText>
      </w:r>
      <w:r>
        <w:fldChar w:fldCharType="separate"/>
      </w:r>
      <w:r>
        <w:rPr>
          <w:rStyle w:val="18"/>
          <w:rFonts w:hint="eastAsia"/>
          <w:b/>
          <w:color w:val="auto"/>
          <w:sz w:val="28"/>
          <w:szCs w:val="28"/>
          <w:u w:val="none"/>
        </w:rPr>
        <w:t>213231943@seu.edu.cn</w:t>
      </w:r>
      <w:r>
        <w:rPr>
          <w:rStyle w:val="18"/>
          <w:rFonts w:hint="eastAsia"/>
          <w:b/>
          <w:color w:val="auto"/>
          <w:sz w:val="28"/>
          <w:szCs w:val="28"/>
          <w:u w:val="none"/>
        </w:rPr>
        <w:fldChar w:fldCharType="end"/>
      </w:r>
      <w:r>
        <w:rPr>
          <w:rStyle w:val="18"/>
          <w:rFonts w:hint="eastAsia"/>
          <w:b/>
          <w:color w:val="auto"/>
          <w:sz w:val="28"/>
          <w:szCs w:val="28"/>
          <w:u w:val="none"/>
        </w:rPr>
        <w:t xml:space="preserve"> </w:t>
      </w:r>
      <w:r>
        <w:rPr>
          <w:rStyle w:val="18"/>
          <w:rFonts w:hint="eastAsia"/>
          <w:b/>
          <w:color w:val="auto"/>
          <w:sz w:val="28"/>
          <w:szCs w:val="28"/>
          <w:u w:val="none"/>
          <w:lang w:val="en-US" w:eastAsia="zh-CN"/>
        </w:rPr>
        <w:t>,</w:t>
      </w:r>
      <w:r>
        <w:rPr>
          <w:rFonts w:hint="eastAsia"/>
          <w:b/>
          <w:sz w:val="28"/>
          <w:szCs w:val="28"/>
        </w:rPr>
        <w:t>410881200502170179</w:t>
      </w:r>
    </w:p>
    <w:p w14:paraId="29F1E6FF">
      <w:pPr>
        <w:spacing w:line="600" w:lineRule="exact"/>
        <w:rPr>
          <w:b/>
          <w:sz w:val="28"/>
          <w:szCs w:val="28"/>
        </w:rPr>
      </w:pPr>
      <w:r>
        <w:rPr>
          <w:rFonts w:hint="eastAsia"/>
          <w:b/>
          <w:sz w:val="28"/>
          <w:szCs w:val="28"/>
        </w:rPr>
        <w:t xml:space="preserve">昝召朋：13173048176  </w:t>
      </w:r>
      <w:r>
        <w:fldChar w:fldCharType="begin"/>
      </w:r>
      <w:r>
        <w:instrText xml:space="preserve"> HYPERLINK "mailto:213232933@seu.edu.cn" </w:instrText>
      </w:r>
      <w:r>
        <w:fldChar w:fldCharType="separate"/>
      </w:r>
      <w:r>
        <w:rPr>
          <w:rStyle w:val="18"/>
          <w:rFonts w:hint="eastAsia"/>
          <w:b/>
          <w:color w:val="auto"/>
          <w:sz w:val="28"/>
          <w:szCs w:val="28"/>
          <w:u w:val="none"/>
        </w:rPr>
        <w:t>213232933@seu.edu.cn</w:t>
      </w:r>
      <w:r>
        <w:rPr>
          <w:rStyle w:val="18"/>
          <w:rFonts w:hint="eastAsia"/>
          <w:b/>
          <w:color w:val="auto"/>
          <w:sz w:val="28"/>
          <w:szCs w:val="28"/>
          <w:u w:val="none"/>
        </w:rPr>
        <w:fldChar w:fldCharType="end"/>
      </w:r>
      <w:r>
        <w:rPr>
          <w:rStyle w:val="18"/>
          <w:rFonts w:hint="eastAsia"/>
          <w:b/>
          <w:color w:val="auto"/>
          <w:sz w:val="28"/>
          <w:szCs w:val="28"/>
          <w:u w:val="none"/>
          <w:lang w:val="en-US" w:eastAsia="zh-CN"/>
        </w:rPr>
        <w:t>,</w:t>
      </w:r>
      <w:r>
        <w:rPr>
          <w:rFonts w:hint="eastAsia"/>
          <w:b/>
          <w:sz w:val="28"/>
          <w:szCs w:val="28"/>
        </w:rPr>
        <w:t xml:space="preserve"> 370126200412310232</w:t>
      </w:r>
    </w:p>
    <w:p w14:paraId="587A826D">
      <w:pPr>
        <w:spacing w:line="600" w:lineRule="exact"/>
        <w:rPr>
          <w:b/>
          <w:sz w:val="28"/>
          <w:szCs w:val="28"/>
        </w:rPr>
      </w:pPr>
      <w:r>
        <w:rPr>
          <w:rFonts w:hint="eastAsia"/>
          <w:b/>
          <w:sz w:val="28"/>
          <w:szCs w:val="28"/>
        </w:rPr>
        <w:t xml:space="preserve">刘博文：19037859533  </w:t>
      </w:r>
      <w:r>
        <w:fldChar w:fldCharType="begin"/>
      </w:r>
      <w:r>
        <w:instrText xml:space="preserve"> HYPERLINK "mailto:213231939@seu.edu.cn" </w:instrText>
      </w:r>
      <w:r>
        <w:fldChar w:fldCharType="separate"/>
      </w:r>
      <w:r>
        <w:rPr>
          <w:rStyle w:val="18"/>
          <w:rFonts w:hint="eastAsia"/>
          <w:b/>
          <w:color w:val="auto"/>
          <w:sz w:val="28"/>
          <w:szCs w:val="28"/>
          <w:u w:val="none"/>
        </w:rPr>
        <w:t>213231939@seu.edu.cn</w:t>
      </w:r>
      <w:r>
        <w:rPr>
          <w:rStyle w:val="18"/>
          <w:rFonts w:hint="eastAsia"/>
          <w:b/>
          <w:color w:val="auto"/>
          <w:sz w:val="28"/>
          <w:szCs w:val="28"/>
          <w:u w:val="none"/>
        </w:rPr>
        <w:fldChar w:fldCharType="end"/>
      </w:r>
      <w:r>
        <w:rPr>
          <w:rStyle w:val="18"/>
          <w:rFonts w:hint="eastAsia"/>
          <w:b/>
          <w:color w:val="auto"/>
          <w:sz w:val="28"/>
          <w:szCs w:val="28"/>
          <w:u w:val="none"/>
          <w:lang w:val="en-US" w:eastAsia="zh-CN"/>
        </w:rPr>
        <w:t>,</w:t>
      </w:r>
      <w:r>
        <w:rPr>
          <w:rStyle w:val="18"/>
          <w:rFonts w:hint="eastAsia"/>
          <w:b/>
          <w:color w:val="auto"/>
          <w:sz w:val="28"/>
          <w:szCs w:val="28"/>
          <w:u w:val="none"/>
        </w:rPr>
        <w:t xml:space="preserve"> 412726200512100416</w:t>
      </w:r>
    </w:p>
    <w:p w14:paraId="3269251A">
      <w:pPr>
        <w:spacing w:line="600" w:lineRule="exact"/>
        <w:rPr>
          <w:b/>
          <w:sz w:val="28"/>
          <w:szCs w:val="28"/>
        </w:rPr>
      </w:pPr>
      <w:r>
        <w:rPr>
          <w:rFonts w:hint="eastAsia"/>
          <w:b/>
          <w:sz w:val="28"/>
          <w:szCs w:val="28"/>
        </w:rPr>
        <w:t xml:space="preserve">曹睿：15161460762  </w:t>
      </w:r>
      <w:r>
        <w:fldChar w:fldCharType="begin"/>
      </w:r>
      <w:r>
        <w:instrText xml:space="preserve"> HYPERLINK "mailto:213222482@seu.edu.cn" </w:instrText>
      </w:r>
      <w:r>
        <w:fldChar w:fldCharType="separate"/>
      </w:r>
      <w:r>
        <w:rPr>
          <w:rStyle w:val="18"/>
          <w:rFonts w:hint="eastAsia"/>
          <w:b/>
          <w:color w:val="auto"/>
          <w:sz w:val="28"/>
          <w:szCs w:val="28"/>
          <w:u w:val="none"/>
        </w:rPr>
        <w:t>213222482@seu.edu.cn</w:t>
      </w:r>
      <w:r>
        <w:rPr>
          <w:rStyle w:val="18"/>
          <w:rFonts w:hint="eastAsia"/>
          <w:b/>
          <w:color w:val="auto"/>
          <w:sz w:val="28"/>
          <w:szCs w:val="28"/>
          <w:u w:val="none"/>
        </w:rPr>
        <w:fldChar w:fldCharType="end"/>
      </w:r>
      <w:r>
        <w:rPr>
          <w:rStyle w:val="18"/>
          <w:rFonts w:hint="eastAsia"/>
          <w:b/>
          <w:color w:val="auto"/>
          <w:sz w:val="28"/>
          <w:szCs w:val="28"/>
          <w:u w:val="none"/>
        </w:rPr>
        <w:t xml:space="preserve"> </w:t>
      </w:r>
      <w:r>
        <w:rPr>
          <w:rStyle w:val="18"/>
          <w:rFonts w:hint="eastAsia"/>
          <w:b/>
          <w:color w:val="auto"/>
          <w:sz w:val="28"/>
          <w:szCs w:val="28"/>
          <w:u w:val="none"/>
          <w:lang w:val="en-US" w:eastAsia="zh-CN"/>
        </w:rPr>
        <w:t>,</w:t>
      </w:r>
      <w:r>
        <w:rPr>
          <w:rStyle w:val="18"/>
          <w:rFonts w:hint="eastAsia"/>
          <w:b/>
          <w:color w:val="auto"/>
          <w:sz w:val="28"/>
          <w:szCs w:val="28"/>
          <w:u w:val="none"/>
        </w:rPr>
        <w:t>370214200406084021</w:t>
      </w:r>
    </w:p>
    <w:p w14:paraId="65D3AA67">
      <w:pPr>
        <w:spacing w:line="600" w:lineRule="exact"/>
        <w:rPr>
          <w:b/>
          <w:sz w:val="28"/>
          <w:szCs w:val="28"/>
        </w:rPr>
      </w:pPr>
      <w:r>
        <w:rPr>
          <w:rFonts w:hint="eastAsia"/>
          <w:b/>
          <w:sz w:val="28"/>
          <w:szCs w:val="28"/>
        </w:rPr>
        <w:t xml:space="preserve">陈梓超：18811866643  </w:t>
      </w:r>
      <w:r>
        <w:fldChar w:fldCharType="begin"/>
      </w:r>
      <w:r>
        <w:instrText xml:space="preserve"> HYPERLINK "mailto:zichaochen@seu.edu.cn" </w:instrText>
      </w:r>
      <w:r>
        <w:fldChar w:fldCharType="separate"/>
      </w:r>
      <w:r>
        <w:rPr>
          <w:rStyle w:val="18"/>
          <w:rFonts w:hint="eastAsia"/>
          <w:b/>
          <w:color w:val="auto"/>
          <w:sz w:val="28"/>
          <w:szCs w:val="28"/>
          <w:u w:val="none"/>
        </w:rPr>
        <w:t>zichaochen@seu.edu.cn</w:t>
      </w:r>
      <w:r>
        <w:rPr>
          <w:rStyle w:val="18"/>
          <w:rFonts w:hint="eastAsia"/>
          <w:b/>
          <w:color w:val="auto"/>
          <w:sz w:val="28"/>
          <w:szCs w:val="28"/>
          <w:u w:val="none"/>
        </w:rPr>
        <w:fldChar w:fldCharType="end"/>
      </w:r>
      <w:r>
        <w:rPr>
          <w:rFonts w:hint="eastAsia"/>
          <w:b/>
          <w:sz w:val="28"/>
          <w:szCs w:val="28"/>
        </w:rPr>
        <w:t xml:space="preserve"> </w:t>
      </w:r>
      <w:r>
        <w:rPr>
          <w:rFonts w:hint="eastAsia"/>
          <w:b/>
          <w:sz w:val="28"/>
          <w:szCs w:val="28"/>
          <w:lang w:val="en-US" w:eastAsia="zh-CN"/>
        </w:rPr>
        <w:t>,</w:t>
      </w:r>
      <w:r>
        <w:rPr>
          <w:rFonts w:hint="eastAsia"/>
          <w:b/>
          <w:sz w:val="28"/>
          <w:szCs w:val="28"/>
        </w:rPr>
        <w:t>445121200105154533</w:t>
      </w:r>
    </w:p>
    <w:p w14:paraId="58DE1662">
      <w:pPr>
        <w:spacing w:line="600" w:lineRule="exact"/>
        <w:rPr>
          <w:b/>
          <w:sz w:val="28"/>
          <w:szCs w:val="28"/>
        </w:rPr>
      </w:pPr>
      <w:r>
        <w:rPr>
          <w:rFonts w:hint="eastAsia"/>
          <w:b/>
          <w:sz w:val="28"/>
          <w:szCs w:val="28"/>
        </w:rPr>
        <w:t>吴文甲：1</w:t>
      </w:r>
      <w:r>
        <w:rPr>
          <w:b/>
          <w:sz w:val="28"/>
          <w:szCs w:val="28"/>
        </w:rPr>
        <w:t>3505192742   wjwu@seu.edu.cn</w:t>
      </w:r>
      <w:r>
        <w:rPr>
          <w:rFonts w:hint="eastAsia"/>
          <w:b/>
          <w:sz w:val="28"/>
          <w:szCs w:val="28"/>
          <w:lang w:val="en-US" w:eastAsia="zh-CN"/>
        </w:rPr>
        <w:t>,</w:t>
      </w:r>
      <w:r>
        <w:rPr>
          <w:b/>
          <w:sz w:val="28"/>
          <w:szCs w:val="28"/>
        </w:rPr>
        <w:t xml:space="preserve"> 32090219831121005X</w:t>
      </w:r>
    </w:p>
    <w:p w14:paraId="31084DE9">
      <w:pPr>
        <w:spacing w:line="360" w:lineRule="auto"/>
        <w:rPr>
          <w:rFonts w:ascii="楷体" w:hAnsi="楷体" w:eastAsia="楷体"/>
          <w:sz w:val="24"/>
          <w:szCs w:val="24"/>
        </w:rPr>
      </w:pPr>
    </w:p>
    <w:p w14:paraId="15CD8181">
      <w:pPr>
        <w:spacing w:line="360" w:lineRule="auto"/>
        <w:rPr>
          <w:rFonts w:ascii="楷体" w:hAnsi="楷体" w:eastAsia="楷体"/>
          <w:sz w:val="24"/>
          <w:szCs w:val="24"/>
        </w:rPr>
      </w:pPr>
    </w:p>
    <w:p w14:paraId="700781F5">
      <w:pPr>
        <w:spacing w:line="360" w:lineRule="auto"/>
        <w:rPr>
          <w:rFonts w:ascii="楷体" w:hAnsi="楷体" w:eastAsia="楷体"/>
          <w:sz w:val="24"/>
          <w:szCs w:val="24"/>
        </w:rPr>
      </w:pPr>
    </w:p>
    <w:p w14:paraId="6855AD71">
      <w:pPr>
        <w:spacing w:line="360" w:lineRule="auto"/>
        <w:rPr>
          <w:rFonts w:ascii="楷体" w:hAnsi="楷体" w:eastAsia="楷体"/>
          <w:sz w:val="24"/>
          <w:szCs w:val="24"/>
        </w:rPr>
      </w:pPr>
    </w:p>
    <w:p w14:paraId="1044B9DB">
      <w:pPr>
        <w:spacing w:line="360" w:lineRule="auto"/>
        <w:rPr>
          <w:rFonts w:ascii="楷体" w:hAnsi="楷体" w:eastAsia="楷体"/>
          <w:sz w:val="24"/>
          <w:szCs w:val="24"/>
        </w:rPr>
      </w:pPr>
    </w:p>
    <w:p w14:paraId="176B3026">
      <w:pPr>
        <w:spacing w:line="360" w:lineRule="auto"/>
        <w:ind w:firstLine="240" w:firstLineChars="100"/>
        <w:rPr>
          <w:rFonts w:ascii="楷体" w:hAnsi="楷体" w:eastAsia="楷体"/>
          <w:sz w:val="24"/>
          <w:szCs w:val="24"/>
        </w:rPr>
        <w:sectPr>
          <w:headerReference r:id="rId5" w:type="default"/>
          <w:footerReference r:id="rId6" w:type="default"/>
          <w:pgSz w:w="11906" w:h="16838"/>
          <w:pgMar w:top="1361" w:right="851" w:bottom="851" w:left="1418" w:header="794" w:footer="113" w:gutter="0"/>
          <w:cols w:space="425" w:num="1"/>
          <w:docGrid w:type="lines" w:linePitch="312" w:charSpace="0"/>
        </w:sectPr>
      </w:pPr>
      <w:r>
        <w:rPr>
          <w:rFonts w:hint="eastAsia" w:ascii="楷体" w:hAnsi="楷体" w:eastAsia="楷体"/>
          <w:sz w:val="24"/>
          <w:szCs w:val="24"/>
        </w:rPr>
        <w:t xml:space="preserve">    </w:t>
      </w:r>
    </w:p>
    <w:p w14:paraId="451E628C">
      <w:pPr>
        <w:spacing w:line="360" w:lineRule="auto"/>
        <w:ind w:firstLine="420"/>
        <w:jc w:val="left"/>
        <w:rPr>
          <w:rFonts w:ascii="楷体" w:hAnsi="楷体" w:eastAsia="楷体"/>
          <w:bCs/>
          <w:sz w:val="28"/>
          <w:szCs w:val="28"/>
        </w:rPr>
      </w:pPr>
      <w:r>
        <w:rPr>
          <w:rFonts w:hint="eastAsia" w:ascii="楷体" w:hAnsi="楷体" w:eastAsia="楷体"/>
          <w:bCs/>
          <w:sz w:val="28"/>
          <w:szCs w:val="28"/>
        </w:rPr>
        <w:t>本发明涉及物联网安全与无线设备身份识别的技术领域，公开了融合双帧载波频偏特征的LoRa终端识别方法，该方法首先利用软件无线电设备USRP采集并对LoRa终端发射的信号进行帧检测与解析；然后将同一设备连续发送两帧信号构造成连续双帧样本，通过同步、前导码提取、载波频偏估计与补偿以及幅度归一化信号预处理来提取表征设备本振频率偏差及短时频率漂移特性的连续双帧载波频偏特征；最后将所述特征输入由支持向量机、随机森林、线性判别分析和K近邻分类器构成的集成学习分类器中，通过静态权重与动态置信度联合加权实现多分类器协同决策，并结合双阈值拒识机制完成已注册设备身份识别及未知设备拒识。本发明能够提高LoRa设备身份识别的准确性、稳定性与鲁棒性并且降低未知设备误识风险，适用于资源受限条件下的LoRa网络安全接入场景。</w:t>
      </w:r>
    </w:p>
    <w:p w14:paraId="7291D03E">
      <w:pPr>
        <w:spacing w:line="360" w:lineRule="auto"/>
        <w:ind w:firstLine="240" w:firstLineChars="100"/>
        <w:rPr>
          <w:rFonts w:ascii="楷体" w:hAnsi="楷体" w:eastAsia="楷体"/>
          <w:sz w:val="24"/>
          <w:szCs w:val="24"/>
        </w:rPr>
        <w:sectPr>
          <w:headerReference r:id="rId7" w:type="default"/>
          <w:footerReference r:id="rId8" w:type="default"/>
          <w:pgSz w:w="11906" w:h="16838"/>
          <w:pgMar w:top="1361" w:right="851" w:bottom="851" w:left="1418" w:header="794" w:footer="113" w:gutter="0"/>
          <w:cols w:space="425" w:num="1"/>
          <w:docGrid w:type="lines" w:linePitch="312" w:charSpace="0"/>
        </w:sectPr>
      </w:pPr>
    </w:p>
    <w:p w14:paraId="6226B78A">
      <w:pPr>
        <w:spacing w:line="360" w:lineRule="auto"/>
        <w:rPr>
          <w:rFonts w:ascii="楷体" w:hAnsi="楷体" w:eastAsia="楷体" w:cs="宋体"/>
          <w:sz w:val="24"/>
          <w:szCs w:val="24"/>
        </w:rPr>
      </w:pPr>
      <w:r>
        <w:rPr>
          <w:rFonts w:hint="eastAsia" w:ascii="楷体" w:hAnsi="楷体" w:eastAsia="楷体"/>
          <w:sz w:val="28"/>
          <w:szCs w:val="28"/>
        </w:rPr>
        <w:t>1</w:t>
      </w:r>
      <w:r>
        <w:rPr>
          <w:rFonts w:hint="eastAsia" w:ascii="楷体" w:hAnsi="楷体" w:eastAsia="楷体"/>
          <w:sz w:val="28"/>
          <w:szCs w:val="28"/>
          <w:lang w:eastAsia="zh-CN"/>
        </w:rPr>
        <w:t>、</w:t>
      </w:r>
      <w:r>
        <w:rPr>
          <w:rFonts w:hint="eastAsia" w:ascii="楷体" w:hAnsi="楷体" w:eastAsia="楷体"/>
          <w:sz w:val="28"/>
          <w:szCs w:val="28"/>
        </w:rPr>
        <w:t>融合双帧载波频偏特征的LoRa终端识别方法，其特征在于，所述方法包括如下步骤：</w:t>
      </w:r>
    </w:p>
    <w:p w14:paraId="396A894A">
      <w:pPr>
        <w:spacing w:line="360" w:lineRule="auto"/>
        <w:ind w:firstLine="420"/>
        <w:rPr>
          <w:rFonts w:ascii="楷体" w:hAnsi="楷体" w:eastAsia="楷体"/>
          <w:bCs/>
          <w:sz w:val="28"/>
          <w:szCs w:val="28"/>
        </w:rPr>
      </w:pPr>
      <w:r>
        <w:rPr>
          <w:rFonts w:hint="eastAsia" w:ascii="楷体" w:hAnsi="楷体" w:eastAsia="楷体"/>
          <w:bCs/>
          <w:sz w:val="28"/>
          <w:szCs w:val="28"/>
        </w:rPr>
        <w:t>步骤（1）信号采集,利用软件无线电设备采集LoRa终端发射的无线信号，获得复数基带信号序列，并通过与本地参考Chirp信号相关检测实现LoRa帧起始位置确定与信号帧解析，</w:t>
      </w:r>
    </w:p>
    <w:p w14:paraId="66D9E30B">
      <w:pPr>
        <w:spacing w:line="360" w:lineRule="auto"/>
        <w:ind w:firstLine="420"/>
        <w:rPr>
          <w:rFonts w:ascii="楷体" w:hAnsi="楷体" w:eastAsia="楷体"/>
          <w:bCs/>
          <w:sz w:val="28"/>
          <w:szCs w:val="28"/>
        </w:rPr>
      </w:pPr>
      <w:r>
        <w:rPr>
          <w:rFonts w:hint="eastAsia" w:ascii="楷体" w:hAnsi="楷体" w:eastAsia="楷体"/>
          <w:bCs/>
          <w:sz w:val="28"/>
          <w:szCs w:val="28"/>
        </w:rPr>
        <w:t>步骤（2）连续双帧构造、信号预处理以及特征提取,将同一设备连续发送的两帧信号构成双帧样本，并对其进行同步、载波频偏估计与补偿及幅度归一化处理，提取双帧载波频偏及其均值和差分构成特征向量，</w:t>
      </w:r>
    </w:p>
    <w:p w14:paraId="6E8392E7">
      <w:pPr>
        <w:spacing w:line="360" w:lineRule="auto"/>
        <w:ind w:firstLine="420"/>
        <w:rPr>
          <w:rFonts w:ascii="楷体" w:hAnsi="楷体" w:eastAsia="楷体"/>
          <w:bCs/>
          <w:sz w:val="28"/>
          <w:szCs w:val="28"/>
        </w:rPr>
      </w:pPr>
      <w:r>
        <w:rPr>
          <w:rFonts w:hint="eastAsia" w:ascii="楷体" w:hAnsi="楷体" w:eastAsia="楷体"/>
          <w:bCs/>
          <w:sz w:val="28"/>
          <w:szCs w:val="28"/>
        </w:rPr>
        <w:t>步骤（3）集成学习识别,将特征向量输入多个基础分类器进行联合决策，并且基于分类器准确率和预测熵进行加权融合，结合置信度阈值实现设备身份识别及未知设备拒识。</w:t>
      </w:r>
    </w:p>
    <w:p w14:paraId="7C12BF23">
      <w:pPr>
        <w:pStyle w:val="25"/>
        <w:spacing w:line="360" w:lineRule="auto"/>
        <w:ind w:firstLine="0" w:firstLineChars="0"/>
        <w:rPr>
          <w:rFonts w:ascii="楷体" w:hAnsi="楷体" w:eastAsia="楷体"/>
          <w:sz w:val="28"/>
          <w:szCs w:val="28"/>
        </w:rPr>
      </w:pPr>
      <w:r>
        <w:rPr>
          <w:rFonts w:hint="eastAsia" w:ascii="楷体" w:hAnsi="楷体" w:eastAsia="楷体" w:cs="宋体"/>
          <w:sz w:val="28"/>
          <w:szCs w:val="28"/>
        </w:rPr>
        <w:t>2</w:t>
      </w:r>
      <w:r>
        <w:rPr>
          <w:rFonts w:hint="eastAsia" w:ascii="楷体" w:hAnsi="楷体" w:eastAsia="楷体" w:cs="宋体"/>
          <w:sz w:val="28"/>
          <w:szCs w:val="28"/>
          <w:lang w:eastAsia="zh-CN"/>
        </w:rPr>
        <w:t>、</w:t>
      </w:r>
      <w:r>
        <w:rPr>
          <w:rFonts w:hint="eastAsia" w:ascii="楷体" w:hAnsi="楷体" w:eastAsia="楷体" w:cs="宋体"/>
          <w:sz w:val="28"/>
          <w:szCs w:val="28"/>
        </w:rPr>
        <w:t>根据权利要求1所述的融合双帧载波频偏特征的LoRa终端识别方法</w:t>
      </w:r>
      <w:r>
        <w:rPr>
          <w:rFonts w:hint="eastAsia" w:ascii="楷体" w:hAnsi="楷体" w:eastAsia="楷体"/>
          <w:sz w:val="28"/>
          <w:szCs w:val="28"/>
        </w:rPr>
        <w:t>，其特征在于，所述步骤（1）具体包括：</w:t>
      </w:r>
    </w:p>
    <w:p w14:paraId="609F3195">
      <w:pPr>
        <w:numPr>
          <w:ilvl w:val="0"/>
          <w:numId w:val="1"/>
        </w:numPr>
        <w:spacing w:line="360" w:lineRule="auto"/>
        <w:ind w:firstLine="420"/>
        <w:rPr>
          <w:rFonts w:ascii="楷体" w:hAnsi="楷体" w:eastAsia="楷体"/>
          <w:sz w:val="28"/>
          <w:szCs w:val="28"/>
        </w:rPr>
      </w:pPr>
      <w:r>
        <w:rPr>
          <w:rFonts w:hint="eastAsia" w:ascii="楷体" w:hAnsi="楷体" w:eastAsia="楷体"/>
          <w:sz w:val="28"/>
          <w:szCs w:val="28"/>
        </w:rPr>
        <w:t xml:space="preserve">利用软件无线电设备 USRP 对 LoRa 终端发射的无线信号进行采集，在设定采样率 </w:t>
      </w:r>
      <m:oMath>
        <m:sSub>
          <m:sSubPr>
            <m:ctrlPr>
              <w:rPr>
                <w:rFonts w:ascii="Cambria Math" w:hAnsi="Cambria Math"/>
                <w:i/>
                <w:sz w:val="28"/>
                <w:szCs w:val="28"/>
              </w:rPr>
            </m:ctrlPr>
          </m:sSubPr>
          <m:e>
            <m:r>
              <m:rPr/>
              <w:rPr>
                <w:rFonts w:ascii="Cambria Math" w:hAnsi="Cambria Math"/>
                <w:sz w:val="28"/>
                <w:szCs w:val="28"/>
              </w:rPr>
              <m:t>f</m:t>
            </m:r>
            <m:ctrlPr>
              <w:rPr>
                <w:rFonts w:ascii="Cambria Math" w:hAnsi="Cambria Math"/>
                <w:i/>
                <w:sz w:val="28"/>
                <w:szCs w:val="28"/>
              </w:rPr>
            </m:ctrlPr>
          </m:e>
          <m:sub>
            <m:r>
              <m:rPr/>
              <w:rPr>
                <w:rFonts w:ascii="Cambria Math" w:hAnsi="Cambria Math"/>
                <w:sz w:val="28"/>
                <w:szCs w:val="28"/>
              </w:rPr>
              <m:t>s</m:t>
            </m:r>
            <m:ctrlPr>
              <w:rPr>
                <w:rFonts w:ascii="Cambria Math" w:hAnsi="Cambria Math"/>
                <w:i/>
                <w:sz w:val="28"/>
                <w:szCs w:val="28"/>
              </w:rPr>
            </m:ctrlPr>
          </m:sub>
        </m:sSub>
      </m:oMath>
      <w:r>
        <w:rPr>
          <w:rFonts w:hint="eastAsia" w:ascii="楷体" w:hAnsi="楷体" w:eastAsia="楷体"/>
          <w:sz w:val="28"/>
          <w:szCs w:val="28"/>
        </w:rPr>
        <w:t xml:space="preserve"> 下获得复数基带信号序列：</w:t>
      </w:r>
    </w:p>
    <w:p w14:paraId="20607E0E">
      <w:pPr>
        <w:spacing w:line="360" w:lineRule="auto"/>
        <w:ind w:firstLine="420"/>
      </w:pPr>
      <m:oMathPara>
        <m:oMath>
          <m:eqArr>
            <m:eqArrPr>
              <m:maxDist m:val="1"/>
              <m:ctrlPr>
                <w:rPr>
                  <w:rFonts w:ascii="Cambria Math" w:hAnsi="Cambria Math"/>
                </w:rPr>
              </m:ctrlPr>
            </m:eqArrPr>
            <m:e>
              <m:r>
                <m:rPr/>
                <w:rPr>
                  <w:rFonts w:ascii="Cambria Math" w:hAnsi="Cambria Math" w:eastAsia="楷体"/>
                  <w:sz w:val="28"/>
                </w:rPr>
                <m:t>r(n)=I(n)+jQ(n)</m:t>
              </m:r>
              <m:r>
                <m:rPr>
                  <m:sty m:val="p"/>
                </m:rPr>
                <w:rPr>
                  <w:rFonts w:ascii="Cambria Math" w:hAnsi="Cambria Math" w:eastAsia="楷体"/>
                  <w:sz w:val="28"/>
                </w:rPr>
                <m:t>#(1)</m:t>
              </m:r>
              <m:ctrlPr>
                <w:rPr>
                  <w:rFonts w:ascii="Cambria Math" w:hAnsi="Cambria Math"/>
                </w:rPr>
              </m:ctrlPr>
            </m:e>
          </m:eqArr>
        </m:oMath>
      </m:oMathPara>
    </w:p>
    <w:p w14:paraId="6BC9D695">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eastAsia="楷体"/>
            <w:sz w:val="28"/>
            <w:szCs w:val="28"/>
          </w:rPr>
          <m:t>I(n)</m:t>
        </m:r>
      </m:oMath>
      <w:r>
        <w:rPr>
          <w:rFonts w:hint="eastAsia" w:hAnsi="Cambria Math" w:eastAsia="楷体"/>
          <w:sz w:val="28"/>
          <w:szCs w:val="28"/>
        </w:rPr>
        <w:t xml:space="preserve"> </w:t>
      </w:r>
      <w:r>
        <w:rPr>
          <w:rFonts w:hint="eastAsia" w:ascii="楷体" w:hAnsi="楷体" w:eastAsia="楷体"/>
          <w:sz w:val="28"/>
          <w:szCs w:val="28"/>
        </w:rPr>
        <w:t>为同相分量，</w:t>
      </w:r>
      <m:oMath>
        <m:r>
          <m:rPr/>
          <w:rPr>
            <w:rFonts w:ascii="Cambria Math" w:hAnsi="Cambria Math" w:eastAsia="楷体"/>
            <w:sz w:val="28"/>
            <w:szCs w:val="28"/>
          </w:rPr>
          <m:t>Q(n)</m:t>
        </m:r>
      </m:oMath>
      <w:r>
        <w:rPr>
          <w:rFonts w:hint="eastAsia" w:hAnsi="Cambria Math" w:eastAsia="楷体"/>
          <w:sz w:val="28"/>
          <w:szCs w:val="28"/>
        </w:rPr>
        <w:t xml:space="preserve"> </w:t>
      </w:r>
      <w:r>
        <w:rPr>
          <w:rFonts w:hint="eastAsia" w:ascii="楷体" w:hAnsi="楷体" w:eastAsia="楷体"/>
          <w:sz w:val="28"/>
          <w:szCs w:val="28"/>
        </w:rPr>
        <w:t>为正交分量，</w:t>
      </w:r>
      <m:oMath>
        <m:r>
          <m:rPr/>
          <w:rPr>
            <w:rFonts w:ascii="Cambria Math" w:hAnsi="Cambria Math" w:eastAsia="楷体"/>
            <w:sz w:val="28"/>
            <w:szCs w:val="28"/>
          </w:rPr>
          <m:t>j</m:t>
        </m:r>
      </m:oMath>
      <w:r>
        <w:rPr>
          <w:rFonts w:hint="eastAsia"/>
        </w:rPr>
        <w:t xml:space="preserve"> </w:t>
      </w:r>
      <w:r>
        <w:rPr>
          <w:rFonts w:hint="eastAsia" w:ascii="楷体" w:hAnsi="楷体" w:eastAsia="楷体"/>
          <w:sz w:val="28"/>
          <w:szCs w:val="28"/>
        </w:rPr>
        <w:t>表示虚数单位</w:t>
      </w:r>
    </w:p>
    <w:p w14:paraId="52B84E7F">
      <w:pPr>
        <w:numPr>
          <w:ilvl w:val="0"/>
          <w:numId w:val="1"/>
        </w:numPr>
        <w:spacing w:line="360" w:lineRule="auto"/>
        <w:ind w:firstLine="420"/>
        <w:rPr>
          <w:rFonts w:ascii="楷体" w:hAnsi="楷体" w:eastAsia="楷体"/>
          <w:sz w:val="28"/>
          <w:szCs w:val="28"/>
        </w:rPr>
      </w:pPr>
      <w:r>
        <w:rPr>
          <w:rFonts w:hint="eastAsia" w:ascii="楷体" w:hAnsi="楷体" w:eastAsia="楷体"/>
          <w:sz w:val="28"/>
          <w:szCs w:val="28"/>
        </w:rPr>
        <w:t>对采集得到的连续信号进行 LoRa 帧检测，根据接收信号与本地参考 Chirp 信号的相关结果确定帧起始位置，从而解析出完整的 LoRa 信号帧。</w:t>
      </w:r>
    </w:p>
    <w:p w14:paraId="13CCD00B">
      <w:pPr>
        <w:pStyle w:val="25"/>
        <w:spacing w:line="360" w:lineRule="auto"/>
        <w:ind w:firstLine="0" w:firstLineChars="0"/>
        <w:rPr>
          <w:rFonts w:ascii="楷体" w:hAnsi="楷体" w:eastAsia="楷体"/>
          <w:sz w:val="28"/>
          <w:szCs w:val="28"/>
        </w:rPr>
      </w:pPr>
      <w:r>
        <w:rPr>
          <w:rFonts w:hint="eastAsia" w:ascii="楷体" w:hAnsi="楷体" w:eastAsia="楷体" w:cs="宋体"/>
          <w:sz w:val="28"/>
          <w:szCs w:val="28"/>
        </w:rPr>
        <w:t>3</w:t>
      </w:r>
      <w:r>
        <w:rPr>
          <w:rFonts w:hint="eastAsia" w:ascii="楷体" w:hAnsi="楷体" w:eastAsia="楷体" w:cs="宋体"/>
          <w:sz w:val="28"/>
          <w:szCs w:val="28"/>
          <w:lang w:eastAsia="zh-CN"/>
        </w:rPr>
        <w:t>、</w:t>
      </w:r>
      <w:r>
        <w:rPr>
          <w:rFonts w:hint="eastAsia" w:ascii="楷体" w:hAnsi="楷体" w:eastAsia="楷体" w:cs="宋体"/>
          <w:sz w:val="28"/>
          <w:szCs w:val="28"/>
        </w:rPr>
        <w:t>根据权利要求1所述的融合双帧载波频偏特征的LoRa终端识别方法</w:t>
      </w:r>
      <w:r>
        <w:rPr>
          <w:rFonts w:hint="eastAsia" w:ascii="楷体" w:hAnsi="楷体" w:eastAsia="楷体"/>
          <w:sz w:val="28"/>
          <w:szCs w:val="28"/>
        </w:rPr>
        <w:t>，其特征在于，所述步骤（2）具体包括：</w:t>
      </w:r>
    </w:p>
    <w:p w14:paraId="7A89218B">
      <w:pPr>
        <w:numPr>
          <w:ilvl w:val="0"/>
          <w:numId w:val="2"/>
        </w:numPr>
        <w:spacing w:line="360" w:lineRule="auto"/>
        <w:ind w:firstLine="420"/>
        <w:rPr>
          <w:rFonts w:ascii="楷体" w:hAnsi="楷体" w:eastAsia="楷体"/>
          <w:sz w:val="28"/>
          <w:szCs w:val="28"/>
        </w:rPr>
      </w:pPr>
      <w:r>
        <w:rPr>
          <w:rFonts w:hint="eastAsia" w:ascii="楷体" w:hAnsi="楷体" w:eastAsia="楷体"/>
          <w:sz w:val="28"/>
          <w:szCs w:val="28"/>
        </w:rPr>
        <w:t>在获得单个 LoRa 信号帧后，将同一设备按时间顺序连续发送的两帧信号组合构成一个连续双帧样本，通过构造连续双帧样本，使双帧在近似一致的短时信道条件下保留设备同源硬件特性，为后续射频指纹特征提取提供基础，</w:t>
      </w:r>
    </w:p>
    <w:p w14:paraId="576033D1">
      <w:pPr>
        <w:numPr>
          <w:ilvl w:val="0"/>
          <w:numId w:val="2"/>
        </w:numPr>
        <w:spacing w:line="360" w:lineRule="auto"/>
        <w:ind w:firstLine="420"/>
        <w:rPr>
          <w:rFonts w:ascii="楷体" w:hAnsi="楷体" w:eastAsia="楷体"/>
          <w:sz w:val="28"/>
          <w:szCs w:val="28"/>
        </w:rPr>
      </w:pPr>
      <w:r>
        <w:rPr>
          <w:rFonts w:hint="eastAsia" w:ascii="楷体" w:hAnsi="楷体" w:eastAsia="楷体"/>
          <w:sz w:val="28"/>
          <w:szCs w:val="28"/>
        </w:rPr>
        <w:t>对连续双帧信号分别进行同步、载波频偏估计与补偿以及幅度归一化处理，得到时间对齐、频偏补偿并幅度归一化后的标准化信号序列，以减小接收增益波动和环境变化对后续特征提取的影响，</w:t>
      </w:r>
    </w:p>
    <w:p w14:paraId="4935B1A4">
      <w:pPr>
        <w:numPr>
          <w:ilvl w:val="0"/>
          <w:numId w:val="2"/>
        </w:numPr>
        <w:spacing w:line="360" w:lineRule="auto"/>
        <w:ind w:firstLine="420"/>
        <w:rPr>
          <w:rFonts w:ascii="楷体" w:hAnsi="楷体" w:eastAsia="楷体"/>
          <w:sz w:val="28"/>
          <w:szCs w:val="28"/>
        </w:rPr>
      </w:pPr>
      <w:r>
        <w:rPr>
          <w:rFonts w:hint="eastAsia" w:ascii="楷体" w:hAnsi="楷体" w:eastAsia="楷体"/>
          <w:sz w:val="28"/>
          <w:szCs w:val="28"/>
        </w:rPr>
        <w:t xml:space="preserve">在完成信号预处理后，分别对连续接收到的第一帧信号和第二帧信号进行载波频偏估计，得到对应的频偏估计值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 xml:space="preserve">和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；基于频偏估计值构建构建连续双帧频偏特征向量：</w:t>
      </w:r>
    </w:p>
    <w:p w14:paraId="03A6CA1A">
      <w:pPr>
        <w:spacing w:line="360" w:lineRule="auto"/>
        <w:ind w:left="420"/>
        <w:rPr>
          <w:rFonts w:hAnsi="Cambria Math"/>
          <w:sz w:val="28"/>
        </w:rPr>
      </w:pPr>
      <m:oMathPara>
        <m:oMath>
          <m:eqArr>
            <m:eqArrPr>
              <m:maxDist m:val="1"/>
              <m:ctrlPr>
                <w:rPr>
                  <w:rFonts w:ascii="Cambria Math" w:hAnsi="Cambria Math"/>
                  <w:sz w:val="28"/>
                </w:rPr>
              </m:ctrlPr>
            </m:eqArrPr>
            <m:e>
              <m:sSub>
                <m:sSubPr>
                  <m:ctrlPr>
                    <w:rPr>
                      <w:rFonts w:ascii="Cambria Math" w:hAnsi="Cambria Math"/>
                      <w:sz w:val="28"/>
                    </w:rPr>
                  </m:ctrlPr>
                </m:sSubPr>
                <m:e>
                  <m:r>
                    <m:rPr/>
                    <w:rPr>
                      <w:rFonts w:ascii="Cambria Math" w:hAnsi="Cambria Math"/>
                      <w:sz w:val="28"/>
                    </w:rPr>
                    <m:t>f</m:t>
                  </m:r>
                  <m:ctrlPr>
                    <w:rPr>
                      <w:rFonts w:ascii="Cambria Math" w:hAnsi="Cambria Math"/>
                      <w:sz w:val="28"/>
                    </w:rPr>
                  </m:ctrlPr>
                </m:e>
                <m:sub>
                  <m:r>
                    <m:rPr/>
                    <w:rPr>
                      <w:rFonts w:ascii="Cambria Math" w:hAnsi="Cambria Math"/>
                      <w:sz w:val="28"/>
                    </w:rPr>
                    <m:t>cfo</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r>
                <m:rPr>
                  <m:sty m:val="p"/>
                </m:rPr>
                <w:rPr>
                  <w:rFonts w:ascii="Cambria Math" w:hAnsi="Cambria Math"/>
                  <w:sz w:val="28"/>
                </w:rPr>
                <m:t>#(2)</m:t>
              </m:r>
              <m:ctrlPr>
                <w:rPr>
                  <w:rFonts w:ascii="Cambria Math" w:hAnsi="Cambria Math"/>
                  <w:sz w:val="28"/>
                </w:rPr>
              </m:ctrlPr>
            </m:e>
          </m:eqArr>
        </m:oMath>
      </m:oMathPara>
    </w:p>
    <w:p w14:paraId="2532427C">
      <w:pPr>
        <w:spacing w:line="360" w:lineRule="auto"/>
        <w:ind w:firstLine="420"/>
        <w:rPr>
          <w:rFonts w:ascii="楷体" w:hAnsi="楷体" w:eastAsia="楷体"/>
          <w:sz w:val="28"/>
          <w:szCs w:val="28"/>
        </w:rPr>
      </w:pPr>
      <w:r>
        <w:rPr>
          <w:rFonts w:hint="eastAsia" w:ascii="楷体" w:hAnsi="楷体" w:eastAsia="楷体"/>
          <w:sz w:val="28"/>
          <w:szCs w:val="28"/>
        </w:rPr>
        <w:t>其中：</w:t>
      </w:r>
    </w:p>
    <w:p w14:paraId="5DB4DD06">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hAnsi="Cambria Math"/>
          <w:sz w:val="28"/>
          <w:szCs w:val="28"/>
        </w:rPr>
        <w:t xml:space="preserve"> </w:t>
      </w:r>
      <w:r>
        <w:rPr>
          <w:rFonts w:hint="eastAsia" w:ascii="楷体" w:hAnsi="楷体" w:eastAsia="楷体"/>
          <w:sz w:val="28"/>
          <w:szCs w:val="28"/>
        </w:rPr>
        <w:t>表示第一帧信号的载波频偏估计值；</w:t>
      </w:r>
    </w:p>
    <w:p w14:paraId="74608D45">
      <w:pPr>
        <w:pStyle w:val="10"/>
        <w:widowControl/>
        <w:spacing w:line="360" w:lineRule="auto"/>
        <w:ind w:firstLine="420"/>
        <w:rPr>
          <w:rFonts w:ascii="楷体" w:hAnsi="楷体" w:eastAsia="楷体"/>
          <w:sz w:val="28"/>
          <w:szCs w:val="28"/>
        </w:rPr>
      </w:pP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表示第二帧信号的载波频偏估计值；</w:t>
      </w:r>
    </w:p>
    <w:p w14:paraId="502BB850">
      <w:pPr>
        <w:pStyle w:val="10"/>
        <w:widowControl/>
        <w:spacing w:line="360" w:lineRule="auto"/>
        <w:ind w:firstLine="420"/>
        <w:rPr>
          <w:rFonts w:ascii="楷体" w:hAnsi="楷体" w:eastAsia="楷体"/>
          <w:sz w:val="28"/>
          <w:szCs w:val="28"/>
        </w:rPr>
      </w:pPr>
      <m:oMath>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oMath>
      <w:r>
        <w:rPr>
          <w:rFonts w:hint="eastAsia" w:hAnsi="Cambria Math"/>
          <w:sz w:val="28"/>
        </w:rPr>
        <w:t xml:space="preserve"> </w:t>
      </w:r>
      <w:r>
        <w:rPr>
          <w:rFonts w:hint="eastAsia" w:ascii="楷体" w:hAnsi="楷体" w:eastAsia="楷体"/>
          <w:sz w:val="28"/>
          <w:szCs w:val="28"/>
        </w:rPr>
        <w:t>表示连续双帧频偏的均值特征，用于抑制随机噪声干扰；</w:t>
      </w:r>
    </w:p>
    <w:p w14:paraId="00EC2126">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ascii="楷体" w:hAnsi="楷体" w:eastAsia="楷体"/>
          <w:sz w:val="28"/>
          <w:szCs w:val="28"/>
        </w:rPr>
        <w:t xml:space="preserve"> 表示连续双帧间的频偏差分特征，用于刻画设备在短时间连续发射过程中的频率漂移特性；</w:t>
      </w:r>
    </w:p>
    <w:p w14:paraId="4FDA1B48">
      <w:pPr>
        <w:pStyle w:val="10"/>
        <w:widowControl/>
        <w:spacing w:line="360" w:lineRule="auto"/>
        <w:ind w:firstLine="420"/>
        <w:rPr>
          <w:rFonts w:ascii="楷体" w:hAnsi="楷体" w:eastAsia="楷体"/>
          <w:sz w:val="28"/>
          <w:szCs w:val="28"/>
        </w:rPr>
      </w:pPr>
      <w:r>
        <w:rPr>
          <w:rFonts w:hint="eastAsia" w:ascii="楷体" w:hAnsi="楷体" w:eastAsia="楷体"/>
          <w:sz w:val="28"/>
          <w:szCs w:val="28"/>
        </w:rPr>
        <w:t>连续双帧频偏特征向量用于表征 LoRa 设备本振频率偏差特性以及连续发射状态下的频率稳定性差异，并作为设备射频指纹特征输入后续分类识别模块。</w:t>
      </w:r>
    </w:p>
    <w:p w14:paraId="3BCEC570">
      <w:pPr>
        <w:spacing w:line="360" w:lineRule="auto"/>
        <w:rPr>
          <w:rFonts w:ascii="楷体" w:hAnsi="楷体" w:eastAsia="楷体" w:cs="宋体"/>
          <w:sz w:val="24"/>
          <w:szCs w:val="24"/>
        </w:rPr>
      </w:pPr>
      <w:r>
        <w:rPr>
          <w:rFonts w:hint="eastAsia" w:ascii="楷体" w:hAnsi="楷体" w:eastAsia="楷体"/>
          <w:bCs/>
          <w:sz w:val="28"/>
          <w:szCs w:val="28"/>
        </w:rPr>
        <w:t>4</w:t>
      </w:r>
      <w:r>
        <w:rPr>
          <w:rFonts w:hint="eastAsia" w:ascii="楷体" w:hAnsi="楷体" w:eastAsia="楷体"/>
          <w:bCs/>
          <w:sz w:val="28"/>
          <w:szCs w:val="28"/>
          <w:lang w:eastAsia="zh-CN"/>
        </w:rPr>
        <w:t>、</w:t>
      </w:r>
      <w:r>
        <w:rPr>
          <w:rFonts w:hint="eastAsia" w:ascii="楷体" w:hAnsi="楷体" w:eastAsia="楷体"/>
          <w:bCs/>
          <w:sz w:val="28"/>
          <w:szCs w:val="28"/>
        </w:rPr>
        <w:t>根据权利要求1所述的融合双帧载波频偏特征的LoRa终端识别方法</w:t>
      </w:r>
      <w:r>
        <w:rPr>
          <w:rFonts w:hint="eastAsia" w:ascii="楷体" w:hAnsi="楷体" w:eastAsia="楷体"/>
          <w:sz w:val="28"/>
          <w:szCs w:val="28"/>
        </w:rPr>
        <w:t>，其特征在于，所述步骤（3）具体包括：</w:t>
      </w:r>
    </w:p>
    <w:p w14:paraId="2EB790A3">
      <w:pPr>
        <w:numPr>
          <w:ilvl w:val="0"/>
          <w:numId w:val="3"/>
        </w:numPr>
        <w:spacing w:line="360" w:lineRule="auto"/>
        <w:ind w:firstLine="420"/>
        <w:rPr>
          <w:rFonts w:ascii="楷体" w:hAnsi="楷体" w:eastAsia="楷体"/>
          <w:sz w:val="28"/>
          <w:szCs w:val="28"/>
        </w:rPr>
      </w:pPr>
      <w:r>
        <w:rPr>
          <w:rFonts w:hint="eastAsia" w:ascii="楷体" w:hAnsi="楷体" w:eastAsia="楷体"/>
          <w:sz w:val="28"/>
          <w:szCs w:val="28"/>
        </w:rPr>
        <w:t>基础分类器训练：以步骤（23）输出的融合指纹特征向量F为输入，选取支持向量机（SVM）、随机森林（RF）、线性判别分析（LDA）和K近邻（KNN）共4个异构基础分类器，在训练集上独立训练，使各分类器均能输出设备类别的后验概率向量，</w:t>
      </w:r>
    </w:p>
    <w:p w14:paraId="6EF465B4">
      <w:pPr>
        <w:numPr>
          <w:ilvl w:val="0"/>
          <w:numId w:val="3"/>
        </w:numPr>
        <w:spacing w:line="360" w:lineRule="auto"/>
        <w:ind w:firstLine="420"/>
        <w:rPr>
          <w:rFonts w:ascii="楷体" w:hAnsi="楷体" w:eastAsia="楷体"/>
          <w:sz w:val="28"/>
          <w:szCs w:val="28"/>
        </w:rPr>
      </w:pPr>
      <w:r>
        <w:rPr>
          <w:rFonts w:hint="eastAsia" w:ascii="楷体" w:hAnsi="楷体" w:eastAsia="楷体"/>
          <w:sz w:val="28"/>
          <w:szCs w:val="28"/>
        </w:rPr>
        <w:t>静态权重与动态置信度联合估计：以各基础分类器在验证集上的识别准确率确定静态基权重；以各分类器当前预测输出的熵值计算动态置信因子，熵值越低表明预测越确定；将静态基权重与动态置信因子归一化乘积作为最终联合权重，</w:t>
      </w:r>
    </w:p>
    <w:p w14:paraId="41804CF4">
      <w:pPr>
        <w:numPr>
          <w:ilvl w:val="0"/>
          <w:numId w:val="3"/>
        </w:numPr>
        <w:spacing w:line="360" w:lineRule="auto"/>
        <w:ind w:firstLine="420"/>
        <w:rPr>
          <w:rFonts w:ascii="楷体" w:hAnsi="楷体" w:eastAsia="楷体"/>
          <w:sz w:val="28"/>
          <w:szCs w:val="28"/>
        </w:rPr>
      </w:pPr>
      <w:r>
        <w:rPr>
          <w:rFonts w:hint="eastAsia" w:ascii="楷体" w:hAnsi="楷体" w:eastAsia="楷体"/>
          <w:sz w:val="28"/>
          <w:szCs w:val="28"/>
        </w:rPr>
        <w:t>加权概率融合与设备身份输出：对4个分类器输出的后验概率按联合权重加权求和，得到集成后验概率：</w:t>
      </w:r>
    </w:p>
    <w:p w14:paraId="3B64CEB2">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m:sty m:val="p"/>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#(3)</m:t>
              </m:r>
              <m:ctrlPr>
                <w:rPr>
                  <w:rFonts w:ascii="Cambria Math" w:hAnsi="Cambria Math"/>
                  <w:sz w:val="28"/>
                  <w:szCs w:val="28"/>
                </w:rPr>
              </m:ctrlPr>
            </m:e>
          </m:eqArr>
        </m:oMath>
      </m:oMathPara>
    </w:p>
    <w:p w14:paraId="76DA9A0F">
      <w:pPr>
        <w:spacing w:line="360" w:lineRule="auto"/>
        <w:jc w:val="center"/>
        <w:rPr>
          <w:rFonts w:ascii="楷体" w:hAnsi="楷体" w:eastAsia="楷体" w:cs="楷体"/>
          <w:sz w:val="28"/>
          <w:szCs w:val="28"/>
        </w:rPr>
      </w:pPr>
      <w:r>
        <w:rPr>
          <w:rFonts w:hint="eastAsia" w:ascii="楷体" w:hAnsi="楷体" w:eastAsia="楷体" w:cs="楷体"/>
          <w:sz w:val="28"/>
          <w:szCs w:val="28"/>
        </w:rPr>
        <w:t>其中，F 为当前待识别样本的特征向量；c 为候选设备类别标识，取值范围为 {1, 2, …, C}，C 为训练集中的设备总数；K 为基础分类器的个数（本实施例中 K=4，</w:t>
      </w:r>
    </w:p>
    <w:p w14:paraId="26A734FE">
      <w:pPr>
        <w:spacing w:line="360" w:lineRule="auto"/>
        <w:rPr>
          <w:rFonts w:ascii="楷体" w:hAnsi="楷体" w:eastAsia="楷体"/>
          <w:sz w:val="28"/>
          <w:szCs w:val="28"/>
        </w:rPr>
      </w:pPr>
      <w:r>
        <w:rPr>
          <w:rFonts w:hint="eastAsia" w:ascii="楷体" w:hAnsi="楷体" w:eastAsia="楷体" w:cs="楷体"/>
          <w:sz w:val="28"/>
          <w:szCs w:val="28"/>
        </w:rPr>
        <w:t>分别为 SVM、随机森林、LDA 和 KNN）；</w:t>
      </w:r>
      <m:oMath>
        <m:sSub>
          <m:sSubPr>
            <m:ctrlPr>
              <w:rPr>
                <w:rFonts w:ascii="Cambria Math" w:hAnsi="Cambria Math" w:eastAsia="楷体"/>
                <w:sz w:val="28"/>
              </w:rPr>
            </m:ctrlPr>
          </m:sSubPr>
          <m:e>
            <m:r>
              <m:rPr/>
              <w:rPr>
                <w:rFonts w:ascii="Cambria Math" w:hAnsi="Cambria Math" w:eastAsia="楷体"/>
                <w:sz w:val="28"/>
              </w:rPr>
              <m:t>α</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sz w:val="28"/>
          <w:szCs w:val="28"/>
        </w:rPr>
        <w:t xml:space="preserve">为第 k 个分类器的联合权重，满足 </w:t>
      </w:r>
      <m:oMath>
        <m:r>
          <m:rPr>
            <m:sty m:val="p"/>
          </m:rPr>
          <w:rPr>
            <w:rFonts w:ascii="Cambria Math" w:hAnsi="Cambria Math" w:eastAsia="楷体"/>
            <w:sz w:val="28"/>
          </w:rPr>
          <m:t>Σ</m:t>
        </m:r>
        <m:sSub>
          <m:sSubPr>
            <m:ctrlPr>
              <w:rPr>
                <w:rFonts w:ascii="Cambria Math" w:hAnsi="Cambria Math" w:eastAsia="楷体"/>
                <w:sz w:val="28"/>
              </w:rPr>
            </m:ctrlPr>
          </m:sSubPr>
          <m:e>
            <m:r>
              <m:rPr/>
              <w:rPr>
                <w:rFonts w:ascii="Cambria Math" w:hAnsi="Cambria Math" w:eastAsia="楷体"/>
                <w:sz w:val="28"/>
              </w:rPr>
              <m:t>α</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sz w:val="28"/>
          <w:szCs w:val="28"/>
        </w:rPr>
        <w:t>=1；</w:t>
      </w:r>
      <m:oMath>
        <m:sSub>
          <m:sSubPr>
            <m:ctrlPr>
              <w:rPr>
                <w:rFonts w:ascii="Cambria Math" w:hAnsi="Cambria Math" w:eastAsia="楷体"/>
                <w:sz w:val="28"/>
              </w:rPr>
            </m:ctrlPr>
          </m:sSubPr>
          <m:e>
            <m:r>
              <m:rPr/>
              <w:rPr>
                <w:rFonts w:ascii="Cambria Math" w:hAnsi="Cambria Math" w:eastAsia="楷体"/>
                <w:sz w:val="28"/>
              </w:rPr>
              <m:t>P</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(c|F)</m:t>
        </m:r>
      </m:oMath>
      <w:r>
        <w:rPr>
          <w:rFonts w:hint="eastAsia" w:ascii="楷体" w:hAnsi="楷体" w:eastAsia="楷体" w:cs="楷体"/>
          <w:sz w:val="28"/>
          <w:szCs w:val="28"/>
        </w:rPr>
        <w:t xml:space="preserve"> 为第 k 个分类器对样本 F 属于类别 c 的后验率估计；</w:t>
      </w:r>
      <m:oMath>
        <m:r>
          <m:rPr/>
          <w:rPr>
            <w:rFonts w:ascii="Cambria Math" w:hAnsi="Cambria Math" w:eastAsia="楷体"/>
            <w:sz w:val="28"/>
          </w:rPr>
          <m:t>P(c|F)</m:t>
        </m:r>
      </m:oMath>
      <w:r>
        <w:rPr>
          <w:rFonts w:hint="eastAsia" w:ascii="楷体" w:hAnsi="楷体" w:eastAsia="楷体" w:cs="楷体"/>
          <w:sz w:val="28"/>
          <w:szCs w:val="28"/>
        </w:rPr>
        <w:t xml:space="preserve"> 为集成后的后验概率。</w:t>
      </w:r>
    </w:p>
    <w:p w14:paraId="1E411047">
      <w:pPr>
        <w:spacing w:line="360" w:lineRule="auto"/>
        <w:rPr>
          <w:rFonts w:ascii="楷体" w:hAnsi="楷体" w:eastAsia="楷体"/>
          <w:sz w:val="28"/>
          <w:szCs w:val="28"/>
        </w:rPr>
      </w:pPr>
      <w:r>
        <w:rPr>
          <w:rFonts w:hint="eastAsia" w:ascii="楷体" w:hAnsi="楷体" w:eastAsia="楷体"/>
          <w:sz w:val="28"/>
          <w:szCs w:val="28"/>
        </w:rPr>
        <w:t>集成后验概率综合了所有基础分类器对各类别的判断，并按可靠性进行了差异化加权，有效降低了单一分类器失误对最终结果的影响，取集成后验概率最大的设备类别作为识别输出：</w:t>
      </w:r>
    </w:p>
    <w:p w14:paraId="0DD0E201">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ĉ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p(c|F)#(4)</m:t>
              </m:r>
              <m:ctrlPr>
                <w:rPr>
                  <w:rFonts w:ascii="Cambria Math" w:hAnsi="Cambria Math"/>
                  <w:sz w:val="28"/>
                  <w:szCs w:val="28"/>
                </w:rPr>
              </m:ctrlPr>
            </m:e>
          </m:eqArr>
        </m:oMath>
      </m:oMathPara>
    </w:p>
    <w:p w14:paraId="54F231CA">
      <w:pPr>
        <w:numPr>
          <w:ilvl w:val="0"/>
          <w:numId w:val="3"/>
        </w:numPr>
        <w:spacing w:line="360" w:lineRule="auto"/>
        <w:ind w:firstLine="420"/>
        <w:rPr>
          <w:rFonts w:ascii="楷体" w:hAnsi="楷体" w:eastAsia="楷体"/>
          <w:sz w:val="28"/>
          <w:szCs w:val="28"/>
        </w:rPr>
      </w:pPr>
      <w:r>
        <w:rPr>
          <w:rFonts w:hint="eastAsia" w:ascii="楷体" w:hAnsi="楷体" w:eastAsia="楷体"/>
          <w:sz w:val="28"/>
          <w:szCs w:val="28"/>
        </w:rPr>
        <w:t>基于置信度的未知设备拒识机制：计算集成后验概率向量的最大概率值与次大概率值之差，构成类间置信差；若最大集成后验概率低于预设绝对门限，或类间置信差低于预设相对门限，则判定为未知设备或非法接入；否则输出设备身份标识。</w:t>
      </w:r>
    </w:p>
    <w:p w14:paraId="1BF037DD">
      <w:pPr>
        <w:spacing w:line="360" w:lineRule="auto"/>
        <w:rPr>
          <w:rFonts w:ascii="楷体" w:hAnsi="楷体" w:eastAsia="楷体"/>
          <w:sz w:val="28"/>
          <w:szCs w:val="28"/>
        </w:rPr>
      </w:pPr>
      <w:r>
        <w:rPr>
          <w:rFonts w:hint="eastAsia" w:ascii="楷体" w:hAnsi="楷体" w:eastAsia="楷体" w:cs="宋体"/>
          <w:sz w:val="28"/>
          <w:szCs w:val="28"/>
        </w:rPr>
        <w:t>5</w:t>
      </w:r>
      <w:r>
        <w:rPr>
          <w:rFonts w:hint="eastAsia" w:ascii="楷体" w:hAnsi="楷体" w:eastAsia="楷体" w:cs="宋体"/>
          <w:sz w:val="28"/>
          <w:szCs w:val="28"/>
          <w:lang w:eastAsia="zh-CN"/>
        </w:rPr>
        <w:t>、</w:t>
      </w:r>
      <w:r>
        <w:rPr>
          <w:rFonts w:hint="eastAsia" w:ascii="楷体" w:hAnsi="楷体" w:eastAsia="楷体" w:cs="宋体"/>
          <w:sz w:val="28"/>
          <w:szCs w:val="28"/>
        </w:rPr>
        <w:t>根据权利要求4所述的</w:t>
      </w:r>
      <w:r>
        <w:rPr>
          <w:rFonts w:hint="eastAsia" w:ascii="楷体" w:hAnsi="楷体" w:eastAsia="楷体"/>
          <w:bCs/>
          <w:sz w:val="28"/>
          <w:szCs w:val="28"/>
        </w:rPr>
        <w:t>融合双帧载波频偏特征的LoRa终端识别方法</w:t>
      </w:r>
      <w:r>
        <w:rPr>
          <w:rFonts w:hint="eastAsia" w:ascii="楷体" w:hAnsi="楷体" w:eastAsia="楷体" w:cs="宋体"/>
          <w:sz w:val="28"/>
          <w:szCs w:val="28"/>
        </w:rPr>
        <w:t>，其特征在于，所述步骤（31）基础分类器训练具体包括：</w:t>
      </w:r>
    </w:p>
    <w:p w14:paraId="0F4532F5">
      <w:pPr>
        <w:numPr>
          <w:ilvl w:val="0"/>
          <w:numId w:val="4"/>
        </w:numPr>
        <w:spacing w:line="360" w:lineRule="auto"/>
        <w:rPr>
          <w:rFonts w:ascii="楷体" w:hAnsi="楷体" w:eastAsia="楷体"/>
          <w:sz w:val="28"/>
          <w:szCs w:val="28"/>
        </w:rPr>
      </w:pPr>
      <w:r>
        <w:rPr>
          <w:rFonts w:hint="eastAsia" w:ascii="楷体" w:hAnsi="楷体" w:eastAsia="楷体"/>
          <w:sz w:val="28"/>
          <w:szCs w:val="28"/>
        </w:rPr>
        <w:t>支持向量机（SVM），采用径向基核函数建立非线性决策边界，通过Platt缩放将决策函数值转换为后验概率，适合高维小样本分类，</w:t>
      </w:r>
    </w:p>
    <w:p w14:paraId="0B6E80CC">
      <w:pPr>
        <w:numPr>
          <w:ilvl w:val="0"/>
          <w:numId w:val="4"/>
        </w:numPr>
        <w:spacing w:line="360" w:lineRule="auto"/>
        <w:rPr>
          <w:rFonts w:ascii="楷体" w:hAnsi="楷体" w:eastAsia="楷体"/>
          <w:sz w:val="28"/>
          <w:szCs w:val="28"/>
        </w:rPr>
      </w:pPr>
      <w:r>
        <w:rPr>
          <w:rFonts w:hint="eastAsia" w:ascii="楷体" w:hAnsi="楷体" w:eastAsia="楷体"/>
          <w:sz w:val="28"/>
          <w:szCs w:val="28"/>
        </w:rPr>
        <w:t>随机森林（RF），由多棵决策树通过Bagging集成构成，以各类别票数比例输出后验概率，对噪声与特征波动具有良好鲁棒性，</w:t>
      </w:r>
    </w:p>
    <w:p w14:paraId="1973A0CD">
      <w:pPr>
        <w:numPr>
          <w:ilvl w:val="0"/>
          <w:numId w:val="4"/>
        </w:numPr>
        <w:spacing w:line="360" w:lineRule="auto"/>
        <w:rPr>
          <w:rFonts w:ascii="楷体" w:hAnsi="楷体" w:eastAsia="楷体"/>
          <w:sz w:val="28"/>
          <w:szCs w:val="28"/>
        </w:rPr>
      </w:pPr>
      <w:r>
        <w:rPr>
          <w:rFonts w:hint="eastAsia" w:ascii="楷体" w:hAnsi="楷体" w:eastAsia="楷体"/>
          <w:sz w:val="28"/>
          <w:szCs w:val="28"/>
        </w:rPr>
        <w:t>线性判别分析（LDA），构建最大化类间散度与类内散度之比的线性投影，基于高斯后验概率进行分类，计算开销低且可解释性强，</w:t>
      </w:r>
    </w:p>
    <w:p w14:paraId="421F6D3B">
      <w:pPr>
        <w:numPr>
          <w:ilvl w:val="0"/>
          <w:numId w:val="4"/>
        </w:numPr>
        <w:spacing w:line="360" w:lineRule="auto"/>
        <w:rPr>
          <w:rFonts w:ascii="楷体" w:hAnsi="楷体" w:eastAsia="楷体" w:cs="宋体"/>
          <w:sz w:val="28"/>
          <w:szCs w:val="28"/>
        </w:rPr>
      </w:pPr>
      <w:r>
        <w:rPr>
          <w:rFonts w:hint="eastAsia" w:ascii="楷体" w:hAnsi="楷体" w:eastAsia="楷体"/>
          <w:sz w:val="28"/>
          <w:szCs w:val="28"/>
        </w:rPr>
        <w:t>K近邻分类器（KNN），采用马氏距离度量，以最近邻样本的类别分布估计后验概率，有效保留局部特征分布信息。上述四种分类器学习范式各异，保证了集成框架的多样性，有效降低各分类器共同出错的概率。</w:t>
      </w:r>
    </w:p>
    <w:p w14:paraId="48BE8AB8">
      <w:pPr>
        <w:spacing w:line="360" w:lineRule="auto"/>
        <w:rPr>
          <w:rFonts w:ascii="楷体" w:hAnsi="楷体" w:eastAsia="楷体"/>
          <w:sz w:val="28"/>
          <w:szCs w:val="28"/>
        </w:rPr>
      </w:pPr>
      <w:r>
        <w:rPr>
          <w:rFonts w:hint="eastAsia" w:ascii="楷体" w:hAnsi="楷体" w:eastAsia="楷体" w:cs="宋体"/>
          <w:sz w:val="28"/>
          <w:szCs w:val="28"/>
        </w:rPr>
        <w:t>6</w:t>
      </w:r>
      <w:r>
        <w:rPr>
          <w:rFonts w:hint="eastAsia" w:ascii="楷体" w:hAnsi="楷体" w:eastAsia="楷体" w:cs="宋体"/>
          <w:sz w:val="28"/>
          <w:szCs w:val="28"/>
          <w:lang w:eastAsia="zh-CN"/>
        </w:rPr>
        <w:t>、</w:t>
      </w:r>
      <w:r>
        <w:rPr>
          <w:rFonts w:hint="eastAsia" w:ascii="楷体" w:hAnsi="楷体" w:eastAsia="楷体" w:cs="宋体"/>
          <w:sz w:val="28"/>
          <w:szCs w:val="28"/>
        </w:rPr>
        <w:t>根据权利要求4所述的</w:t>
      </w:r>
      <w:r>
        <w:rPr>
          <w:rFonts w:hint="eastAsia" w:ascii="楷体" w:hAnsi="楷体" w:eastAsia="楷体"/>
          <w:bCs/>
          <w:sz w:val="28"/>
          <w:szCs w:val="28"/>
        </w:rPr>
        <w:t>融合双帧载波频偏特征的LoRa终端识别方法</w:t>
      </w:r>
      <w:r>
        <w:rPr>
          <w:rFonts w:hint="eastAsia" w:ascii="楷体" w:hAnsi="楷体" w:eastAsia="楷体" w:cs="宋体"/>
          <w:sz w:val="28"/>
          <w:szCs w:val="28"/>
        </w:rPr>
        <w:t>，其特征在于，</w:t>
      </w:r>
      <w:r>
        <w:rPr>
          <w:rFonts w:hint="eastAsia" w:ascii="楷体" w:hAnsi="楷体" w:eastAsia="楷体"/>
          <w:sz w:val="28"/>
          <w:szCs w:val="28"/>
        </w:rPr>
        <w:t>所述步骤（32）静态权重与动态置信度联合估计具体包括：</w:t>
      </w:r>
    </w:p>
    <w:p w14:paraId="3DC45FB9">
      <w:pPr>
        <w:numPr>
          <w:ilvl w:val="0"/>
          <w:numId w:val="5"/>
        </w:numPr>
        <w:spacing w:line="360" w:lineRule="auto"/>
        <w:rPr>
          <w:rFonts w:ascii="楷体" w:hAnsi="楷体" w:eastAsia="楷体"/>
          <w:sz w:val="28"/>
          <w:szCs w:val="28"/>
        </w:rPr>
      </w:pPr>
      <w:r>
        <w:rPr>
          <w:rFonts w:hint="eastAsia" w:ascii="楷体" w:hAnsi="楷体" w:eastAsia="楷体"/>
          <w:sz w:val="28"/>
          <w:szCs w:val="28"/>
        </w:rPr>
        <w:t>静态基权重计算：假设第k个分类器在验证集上的设备识别准确率为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，其静态基权重定义为：</w:t>
      </w:r>
    </w:p>
    <w:p w14:paraId="1A71B1C6">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4</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#(5)</m:t>
              </m:r>
              <m:ctrlPr>
                <w:rPr>
                  <w:rFonts w:ascii="Cambria Math" w:hAnsi="Cambria Math"/>
                  <w:sz w:val="28"/>
                  <w:szCs w:val="28"/>
                </w:rPr>
              </m:ctrlPr>
            </m:e>
          </m:eqArr>
        </m:oMath>
      </m:oMathPara>
    </w:p>
    <w:p w14:paraId="5BEE875E">
      <w:pPr>
        <w:spacing w:line="360" w:lineRule="auto"/>
        <w:rPr>
          <w:rFonts w:ascii="楷体" w:hAnsi="楷体"/>
          <w:sz w:val="28"/>
          <w:szCs w:val="28"/>
        </w:rPr>
      </w:pPr>
      <w:r>
        <w:rPr>
          <w:rFonts w:hint="eastAsia" w:ascii="楷体" w:hAnsi="楷体" w:eastAsia="楷体"/>
          <w:sz w:val="28"/>
          <w:szCs w:val="28"/>
        </w:rPr>
        <w:t>静态基权重反映了各分类器在训练阶段的综合判别能力，</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w:t>
      </w:r>
      <w:r>
        <w:rPr>
          <w:rFonts w:eastAsia="楷体"/>
          <w:sz w:val="28"/>
          <w:szCs w:val="28"/>
        </w:rPr>
        <w:t>j</w:t>
      </w:r>
      <w:r>
        <w:rPr>
          <w:rFonts w:hint="eastAsia" w:ascii="楷体" w:hAnsi="楷体" w:eastAsia="楷体"/>
          <w:sz w:val="28"/>
          <w:szCs w:val="28"/>
        </w:rPr>
        <w:t>个分类器单独的识别准确率，</w:t>
      </w:r>
      <m:oMath>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hint="eastAsia" w:hAnsi="Cambria Math"/>
            <w:sz w:val="28"/>
            <w:szCs w:val="28"/>
          </w:rPr>
          <m:t xml:space="preserve"> </m:t>
        </m:r>
      </m:oMath>
      <w:r>
        <w:rPr>
          <w:rFonts w:hint="eastAsia" w:ascii="楷体" w:hAnsi="楷体" w:eastAsia="楷体" w:cs="楷体"/>
          <w:color w:val="141413"/>
          <w:sz w:val="28"/>
          <w:szCs w:val="28"/>
          <w:shd w:val="clear" w:color="auto" w:fill="FFFFFF"/>
        </w:rPr>
        <w:t xml:space="preserve"> 为第 k 个分类器的静态基权重，由</w:t>
      </w:r>
      <m:oMath>
        <m:sSub>
          <m:sSubPr>
            <m:ctrlPr>
              <w:rPr>
                <w:rFonts w:ascii="Cambria Math" w:hAnsi="Cambria Math" w:eastAsia="楷体"/>
                <w:sz w:val="28"/>
              </w:rPr>
            </m:ctrlPr>
          </m:sSubPr>
          <m:e>
            <m:r>
              <m:rPr/>
              <w:rPr>
                <w:rFonts w:ascii="Cambria Math" w:hAnsi="Cambria Math" w:eastAsia="楷体"/>
                <w:sz w:val="28"/>
              </w:rPr>
              <m:t>A</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color w:val="141413"/>
          <w:sz w:val="28"/>
          <w:szCs w:val="28"/>
          <w:shd w:val="clear" w:color="auto" w:fill="FFFFFF"/>
        </w:rPr>
        <w:t xml:space="preserve"> 与所有分类器准确率之和的比值确定，满足归一化条件 </w:t>
      </w:r>
      <m:oMath>
        <m:sSubSup>
          <m:sSubSupPr>
            <m:ctrlPr>
              <w:rPr>
                <w:rFonts w:ascii="Cambria Math" w:hAnsi="Cambria Math" w:eastAsia="楷体"/>
                <w:sz w:val="28"/>
              </w:rPr>
            </m:ctrlPr>
          </m:sSubSupPr>
          <m:e>
            <m:r>
              <m:rPr>
                <m:sty m:val="p"/>
              </m:rPr>
              <w:rPr>
                <w:rFonts w:ascii="Cambria Math" w:hAnsi="Cambria Math" w:eastAsia="楷体"/>
                <w:sz w:val="28"/>
              </w:rPr>
              <m:t>Σ</m:t>
            </m:r>
            <m:ctrlPr>
              <w:rPr>
                <w:rFonts w:ascii="Cambria Math" w:hAnsi="Cambria Math" w:eastAsia="楷体"/>
                <w:sz w:val="28"/>
              </w:rPr>
            </m:ctrlPr>
          </m:e>
          <m:sub>
            <m:r>
              <m:rPr/>
              <w:rPr>
                <w:rFonts w:ascii="Cambria Math" w:hAnsi="Cambria Math" w:eastAsia="楷体"/>
                <w:sz w:val="28"/>
              </w:rPr>
              <m:t>k=1</m:t>
            </m:r>
            <m:ctrlPr>
              <w:rPr>
                <w:rFonts w:ascii="Cambria Math" w:hAnsi="Cambria Math" w:eastAsia="楷体"/>
                <w:sz w:val="28"/>
              </w:rPr>
            </m:ctrlPr>
          </m:sub>
          <m:sup>
            <m:r>
              <m:rPr/>
              <w:rPr>
                <w:rFonts w:ascii="Cambria Math" w:hAnsi="Cambria Math" w:eastAsia="楷体"/>
                <w:sz w:val="28"/>
              </w:rPr>
              <m:t>4</m:t>
            </m:r>
            <m:ctrlPr>
              <w:rPr>
                <w:rFonts w:ascii="Cambria Math" w:hAnsi="Cambria Math" w:eastAsia="楷体"/>
                <w:sz w:val="28"/>
              </w:rPr>
            </m:ctrlPr>
          </m:sup>
        </m:sSubSup>
        <m:sSubSup>
          <m:sSubSupPr>
            <m:ctrlPr>
              <w:rPr>
                <w:rFonts w:ascii="Cambria Math" w:hAnsi="Cambria Math" w:eastAsia="楷体"/>
                <w:sz w:val="28"/>
              </w:rPr>
            </m:ctrlPr>
          </m:sSubSupPr>
          <m:e>
            <m:r>
              <m:rPr/>
              <w:rPr>
                <w:rFonts w:ascii="Cambria Math" w:hAnsi="Cambria Math" w:eastAsia="楷体"/>
                <w:sz w:val="28"/>
              </w:rPr>
              <m:t>α</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up>
            <m:r>
              <m:rPr/>
              <w:rPr>
                <w:rFonts w:ascii="Cambria Math" w:hAnsi="Cambria Math" w:eastAsia="楷体"/>
                <w:sz w:val="28"/>
              </w:rPr>
              <m:t>(0)</m:t>
            </m:r>
            <m:ctrlPr>
              <w:rPr>
                <w:rFonts w:ascii="Cambria Math" w:hAnsi="Cambria Math" w:eastAsia="楷体"/>
                <w:sz w:val="28"/>
              </w:rPr>
            </m:ctrlPr>
          </m:sup>
        </m:sSubSup>
        <m:r>
          <m:rPr/>
          <w:rPr>
            <w:rFonts w:ascii="Cambria Math" w:hAnsi="Cambria Math" w:eastAsia="楷体"/>
            <w:sz w:val="28"/>
          </w:rPr>
          <m:t>=1</m:t>
        </m:r>
      </m:oMath>
      <w:r>
        <w:rPr>
          <w:rFonts w:hint="eastAsia" w:ascii="楷体" w:hAnsi="楷体" w:eastAsia="楷体" w:cs="楷体"/>
          <w:color w:val="141413"/>
          <w:sz w:val="28"/>
          <w:szCs w:val="28"/>
          <w:shd w:val="clear" w:color="auto" w:fill="FFFFFF"/>
        </w:rPr>
        <w:t>，其值越大表明该分类器在验证集上的整体判别能力越强。</w:t>
      </w:r>
    </w:p>
    <w:p w14:paraId="7C034EDF">
      <w:pPr>
        <w:numPr>
          <w:ilvl w:val="0"/>
          <w:numId w:val="5"/>
        </w:numPr>
        <w:spacing w:line="360" w:lineRule="auto"/>
        <w:rPr>
          <w:rFonts w:ascii="楷体" w:hAnsi="楷体" w:eastAsia="楷体"/>
          <w:sz w:val="28"/>
          <w:szCs w:val="28"/>
        </w:rPr>
      </w:pPr>
      <w:r>
        <w:rPr>
          <w:rFonts w:hint="eastAsia" w:ascii="楷体" w:hAnsi="楷体" w:eastAsia="楷体"/>
          <w:sz w:val="28"/>
          <w:szCs w:val="28"/>
        </w:rPr>
        <w:t>预测熵计算：第k个分类器对当前输入样本F输出后验概率向量，计算其预测熵：</w:t>
      </w:r>
    </w:p>
    <w:p w14:paraId="7A17B603">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#(6)</m:t>
              </m:r>
              <m:ctrlPr>
                <w:rPr>
                  <w:rFonts w:ascii="Cambria Math" w:hAnsi="Cambria Math"/>
                  <w:sz w:val="28"/>
                  <w:szCs w:val="28"/>
                </w:rPr>
              </m:ctrlPr>
            </m:e>
          </m:eqArr>
        </m:oMath>
      </m:oMathPara>
    </w:p>
    <w:p w14:paraId="1F502858">
      <w:pPr>
        <w:spacing w:line="360" w:lineRule="auto"/>
        <w:rPr>
          <w:rFonts w:ascii="楷体" w:hAnsi="楷体" w:eastAsia="楷体"/>
          <w:sz w:val="28"/>
          <w:szCs w:val="28"/>
        </w:rPr>
      </w:pPr>
      <w:r>
        <w:rPr>
          <w:rFonts w:hint="eastAsia" w:ascii="楷体" w:hAnsi="楷体" w:eastAsia="楷体"/>
          <w:sz w:val="28"/>
          <w:szCs w:val="28"/>
        </w:rPr>
        <w:t xml:space="preserve">其中M为已注册设备类别总数，预测熵 </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越小，表明分类器对某类别的置信越集中；越大则说明判断较为模糊，应赋予较低权重，</w:t>
      </w:r>
    </w:p>
    <w:p w14:paraId="7FFF0612">
      <w:pPr>
        <w:numPr>
          <w:ilvl w:val="0"/>
          <w:numId w:val="5"/>
        </w:numPr>
        <w:spacing w:line="360" w:lineRule="auto"/>
        <w:rPr>
          <w:rFonts w:ascii="楷体" w:hAnsi="楷体" w:eastAsia="楷体"/>
          <w:sz w:val="28"/>
          <w:szCs w:val="28"/>
        </w:rPr>
      </w:pPr>
      <w:r>
        <w:rPr>
          <w:rFonts w:hint="eastAsia" w:ascii="楷体" w:hAnsi="楷体" w:eastAsia="楷体"/>
          <w:sz w:val="28"/>
          <w:szCs w:val="28"/>
        </w:rPr>
        <w:t>动态置信因子计算：</w:t>
      </w:r>
    </w:p>
    <w:p w14:paraId="29C490F6">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)#(7)</m:t>
              </m:r>
              <m:ctrlPr>
                <w:rPr>
                  <w:rFonts w:ascii="Cambria Math" w:hAnsi="Cambria Math"/>
                  <w:sz w:val="28"/>
                  <w:szCs w:val="28"/>
                </w:rPr>
              </m:ctrlPr>
            </m:e>
          </m:eqArr>
        </m:oMath>
      </m:oMathPara>
    </w:p>
    <w:p w14:paraId="5B07CBBB">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sz w:val="28"/>
            <w:szCs w:val="28"/>
          </w:rPr>
          <m:t>γ</m:t>
        </m:r>
        <m:r>
          <m:rPr/>
          <w:rPr>
            <w:rFonts w:ascii="Cambria Math" w:hAnsi="Cambria Math" w:cs="Cambria Math"/>
            <w:sz w:val="28"/>
            <w:szCs w:val="28"/>
          </w:rPr>
          <m:t>&gt;</m:t>
        </m:r>
        <m:r>
          <m:rPr/>
          <w:rPr>
            <w:rFonts w:ascii="Cambria Math" w:hAnsi="Cambria Math"/>
            <w:sz w:val="28"/>
            <w:szCs w:val="28"/>
          </w:rPr>
          <m:t>0</m:t>
        </m:r>
      </m:oMath>
      <w:r>
        <w:rPr>
          <w:rFonts w:hint="eastAsia" w:hAnsi="Cambria Math"/>
          <w:sz w:val="28"/>
          <w:szCs w:val="28"/>
        </w:rPr>
        <w:t xml:space="preserve"> </w:t>
      </w:r>
      <w:r>
        <w:rPr>
          <w:rFonts w:hint="eastAsia" w:ascii="楷体" w:hAnsi="楷体" w:eastAsia="楷体"/>
          <w:sz w:val="28"/>
          <w:szCs w:val="28"/>
        </w:rPr>
        <w:t>为超参数，控制置信因子对熵值的敏感程度，</w:t>
      </w:r>
    </w:p>
    <w:p w14:paraId="20A672E0">
      <w:pPr>
        <w:numPr>
          <w:ilvl w:val="0"/>
          <w:numId w:val="5"/>
        </w:numPr>
        <w:spacing w:line="360" w:lineRule="auto"/>
        <w:rPr>
          <w:rFonts w:ascii="楷体" w:hAnsi="楷体" w:eastAsia="楷体"/>
          <w:sz w:val="28"/>
          <w:szCs w:val="28"/>
        </w:rPr>
      </w:pPr>
      <w:r>
        <w:rPr>
          <w:rFonts w:hint="eastAsia" w:ascii="楷体" w:hAnsi="楷体" w:eastAsia="楷体"/>
          <w:sz w:val="28"/>
          <w:szCs w:val="28"/>
        </w:rPr>
        <w:t>联合权重归一化：</w:t>
      </w:r>
    </w:p>
    <w:p w14:paraId="620A5977">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#(8)</m:t>
              </m:r>
              <m:ctrlPr>
                <w:rPr>
                  <w:rFonts w:ascii="Cambria Math" w:hAnsi="Cambria Math"/>
                  <w:sz w:val="28"/>
                  <w:szCs w:val="28"/>
                </w:rPr>
              </m:ctrlPr>
            </m:e>
          </m:eqArr>
        </m:oMath>
      </m:oMathPara>
    </w:p>
    <w:p w14:paraId="0E0C0CBA">
      <w:pPr>
        <w:spacing w:line="360" w:lineRule="auto"/>
        <w:rPr>
          <w:rFonts w:ascii="楷体" w:hAnsi="楷体" w:eastAsia="楷体"/>
          <w:sz w:val="28"/>
          <w:szCs w:val="28"/>
        </w:rPr>
      </w:pPr>
      <w:r>
        <w:rPr>
          <w:rFonts w:hint="eastAsia" w:ascii="楷体" w:hAnsi="楷体" w:eastAsia="楷体"/>
          <w:sz w:val="28"/>
          <w:szCs w:val="28"/>
        </w:rPr>
        <w:t xml:space="preserve">联合权重 </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同时考虑了分类器的历史准确率（静态稳健性）与当前样本的预测确定性（动态置信度），使权重分配兼顾全局与局部信息。</w:t>
      </w:r>
      <w:r>
        <w:rPr>
          <w:rFonts w:hint="eastAsia" w:ascii="楷体" w:hAnsi="楷体" w:eastAsia="楷体" w:cs="楷体"/>
          <w:color w:val="141413"/>
          <w:sz w:val="28"/>
          <w:szCs w:val="28"/>
          <w:shd w:val="clear" w:color="auto" w:fill="FFFFFF"/>
        </w:rPr>
        <w:t>其中，</w:t>
      </w:r>
      <m:oMath>
        <m:sSubSup>
          <m:sSubSupPr>
            <m:ctrlPr>
              <w:rPr>
                <w:rFonts w:ascii="Cambria Math" w:hAnsi="Cambria Math" w:eastAsia="楷体"/>
                <w:sz w:val="28"/>
              </w:rPr>
            </m:ctrlPr>
          </m:sSubSupPr>
          <m:e>
            <m:r>
              <m:rPr/>
              <w:rPr>
                <w:rFonts w:ascii="Cambria Math" w:hAnsi="Cambria Math" w:eastAsia="楷体"/>
                <w:sz w:val="28"/>
              </w:rPr>
              <m:t>α</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up>
            <m:r>
              <m:rPr/>
              <w:rPr>
                <w:rFonts w:ascii="Cambria Math" w:hAnsi="Cambria Math" w:eastAsia="楷体"/>
                <w:sz w:val="28"/>
              </w:rPr>
              <m:t>(0)</m:t>
            </m:r>
            <m:ctrlPr>
              <w:rPr>
                <w:rFonts w:ascii="Cambria Math" w:hAnsi="Cambria Math" w:eastAsia="楷体"/>
                <w:sz w:val="28"/>
              </w:rPr>
            </m:ctrlPr>
          </m:sup>
        </m:sSubSup>
      </m:oMath>
      <w:r>
        <w:rPr>
          <w:rFonts w:hint="eastAsia" w:ascii="楷体" w:hAnsi="楷体" w:eastAsia="楷体" w:cs="楷体"/>
          <w:color w:val="141413"/>
          <w:sz w:val="28"/>
          <w:szCs w:val="28"/>
          <w:shd w:val="clear" w:color="auto" w:fill="FFFFFF"/>
        </w:rPr>
        <w:t xml:space="preserve"> 为第 k 个分类器的静态基权重（由验证集准确率确定），</w:t>
      </w:r>
      <m:oMath>
        <m:sSub>
          <m:sSubPr>
            <m:ctrlPr>
              <w:rPr>
                <w:rFonts w:ascii="Cambria Math" w:hAnsi="Cambria Math" w:eastAsia="楷体"/>
                <w:sz w:val="28"/>
              </w:rPr>
            </m:ctrlPr>
          </m:sSubPr>
          <m:e>
            <m:r>
              <m:rPr/>
              <w:rPr>
                <w:rFonts w:ascii="Cambria Math" w:hAnsi="Cambria Math" w:eastAsia="楷体"/>
                <w:sz w:val="28"/>
              </w:rPr>
              <m:t>β</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m:t>
        </m:r>
        <m:r>
          <m:rPr>
            <m:sty m:val="p"/>
          </m:rPr>
          <w:rPr>
            <w:rFonts w:ascii="Cambria Math" w:hAnsi="Cambria Math" w:eastAsia="楷体"/>
            <w:sz w:val="28"/>
          </w:rPr>
          <m:t>exp</m:t>
        </m:r>
        <m:r>
          <m:rPr/>
          <w:rPr>
            <w:rFonts w:ascii="Cambria Math" w:hAnsi="Cambria Math" w:eastAsia="楷体"/>
            <w:sz w:val="28"/>
          </w:rPr>
          <m:t>(−γ</m:t>
        </m:r>
        <m:r>
          <m:rPr>
            <m:sty m:val="p"/>
          </m:rPr>
          <w:rPr>
            <w:rFonts w:ascii="Cambria Math" w:hAnsi="Cambria Math" w:eastAsia="楷体"/>
            <w:sz w:val="28"/>
          </w:rPr>
          <m:t>·</m:t>
        </m:r>
        <m:sSub>
          <m:sSubPr>
            <m:ctrlPr>
              <w:rPr>
                <w:rFonts w:ascii="Cambria Math" w:hAnsi="Cambria Math" w:eastAsia="楷体"/>
                <w:sz w:val="28"/>
              </w:rPr>
            </m:ctrlPr>
          </m:sSubPr>
          <m:e>
            <m:r>
              <m:rPr/>
              <w:rPr>
                <w:rFonts w:ascii="Cambria Math" w:hAnsi="Cambria Math" w:eastAsia="楷体"/>
                <w:sz w:val="28"/>
              </w:rPr>
              <m:t>H</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m:t>
        </m:r>
      </m:oMath>
      <w:r>
        <w:rPr>
          <w:rFonts w:hint="eastAsia" w:ascii="楷体" w:hAnsi="楷体" w:eastAsia="楷体" w:cs="楷体"/>
          <w:color w:val="141413"/>
          <w:sz w:val="28"/>
          <w:szCs w:val="28"/>
          <w:shd w:val="clear" w:color="auto" w:fill="FFFFFF"/>
        </w:rPr>
        <w:t xml:space="preserve"> 为其动态置信因子（</w:t>
      </w:r>
      <m:oMath>
        <m:sSub>
          <m:sSubPr>
            <m:ctrlPr>
              <w:rPr>
                <w:rFonts w:ascii="Cambria Math" w:hAnsi="Cambria Math" w:eastAsia="楷体"/>
                <w:sz w:val="28"/>
              </w:rPr>
            </m:ctrlPr>
          </m:sSubPr>
          <m:e>
            <m:r>
              <m:rPr/>
              <w:rPr>
                <w:rFonts w:ascii="Cambria Math" w:hAnsi="Cambria Math" w:eastAsia="楷体"/>
                <w:sz w:val="28"/>
              </w:rPr>
              <m:t>H</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color w:val="141413"/>
          <w:sz w:val="28"/>
          <w:szCs w:val="28"/>
          <w:shd w:val="clear" w:color="auto" w:fill="FFFFFF"/>
        </w:rPr>
        <w:t xml:space="preserve"> 为后验概率向量的信息熵，</w:t>
      </w:r>
      <m:oMath>
        <m:r>
          <m:rPr>
            <m:sty m:val="p"/>
          </m:rPr>
          <w:rPr>
            <w:rFonts w:hint="eastAsia" w:ascii="Cambria Math" w:hAnsi="Cambria Math" w:eastAsia="楷体" w:cs="楷体"/>
            <w:color w:val="141413"/>
            <w:sz w:val="28"/>
            <w:szCs w:val="28"/>
            <w:shd w:val="clear" w:color="auto" w:fill="FFFFFF"/>
          </w:rPr>
          <m:t xml:space="preserve">γ </m:t>
        </m:r>
      </m:oMath>
      <w:r>
        <w:rPr>
          <w:rFonts w:hint="eastAsia" w:ascii="楷体" w:hAnsi="楷体" w:eastAsia="楷体" w:cs="楷体"/>
          <w:color w:val="141413"/>
          <w:sz w:val="28"/>
          <w:szCs w:val="28"/>
          <w:shd w:val="clear" w:color="auto" w:fill="FFFFFF"/>
        </w:rPr>
        <w:t xml:space="preserve">&gt; 0 为温度超参数），K 为基础分类器的总数，分母 </w:t>
      </w:r>
      <m:oMath>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oMath>
      <w:r>
        <w:rPr>
          <w:rFonts w:hint="eastAsia" w:ascii="楷体" w:hAnsi="楷体" w:eastAsia="楷体" w:cs="楷体"/>
          <w:color w:val="141413"/>
          <w:sz w:val="28"/>
          <w:szCs w:val="28"/>
          <w:shd w:val="clear" w:color="auto" w:fill="FFFFFF"/>
        </w:rPr>
        <w:t>为归一化项，j 为分类器索引变量，其遍历所有 K 个基础分类器；</w:t>
      </w:r>
      <m:oMath>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oMath>
      <w:r>
        <w:rPr>
          <w:rFonts w:hint="eastAsia" w:ascii="楷体" w:hAnsi="楷体" w:eastAsia="楷体" w:cs="楷体"/>
          <w:color w:val="141413"/>
          <w:sz w:val="28"/>
          <w:szCs w:val="28"/>
          <w:shd w:val="clear" w:color="auto" w:fill="FFFFFF"/>
        </w:rPr>
        <w:t>表征第 j 个分类器针对当前样本的综合贡献度，既融合了其在验证集上的历史判别能力（静态），也融合了其对当前样本预测的确定性程度（动态）。</w:t>
      </w:r>
    </w:p>
    <w:p w14:paraId="77C10343">
      <w:pPr>
        <w:spacing w:line="360" w:lineRule="auto"/>
        <w:rPr>
          <w:rFonts w:ascii="楷体" w:hAnsi="楷体" w:eastAsia="楷体"/>
          <w:sz w:val="28"/>
          <w:szCs w:val="28"/>
        </w:rPr>
      </w:pPr>
      <w:r>
        <w:rPr>
          <w:rFonts w:hint="eastAsia" w:ascii="楷体" w:hAnsi="楷体" w:eastAsia="楷体" w:cs="宋体"/>
          <w:sz w:val="28"/>
          <w:szCs w:val="28"/>
        </w:rPr>
        <w:t>7</w:t>
      </w:r>
      <w:r>
        <w:rPr>
          <w:rFonts w:hint="eastAsia" w:ascii="楷体" w:hAnsi="楷体" w:eastAsia="楷体" w:cs="宋体"/>
          <w:sz w:val="28"/>
          <w:szCs w:val="28"/>
          <w:lang w:eastAsia="zh-CN"/>
        </w:rPr>
        <w:t>、</w:t>
      </w:r>
      <w:r>
        <w:rPr>
          <w:rFonts w:hint="eastAsia" w:ascii="楷体" w:hAnsi="楷体" w:eastAsia="楷体" w:cs="宋体"/>
          <w:sz w:val="28"/>
          <w:szCs w:val="28"/>
        </w:rPr>
        <w:t>根据权利要求4所述的</w:t>
      </w:r>
      <w:r>
        <w:rPr>
          <w:rFonts w:hint="eastAsia" w:ascii="楷体" w:hAnsi="楷体" w:eastAsia="楷体"/>
          <w:bCs/>
          <w:sz w:val="28"/>
          <w:szCs w:val="28"/>
        </w:rPr>
        <w:t>融合双帧载波频偏特征的LoRa终端识别方法</w:t>
      </w:r>
      <w:r>
        <w:rPr>
          <w:rFonts w:hint="eastAsia" w:ascii="楷体" w:hAnsi="楷体" w:eastAsia="楷体" w:cs="宋体"/>
          <w:sz w:val="28"/>
          <w:szCs w:val="28"/>
        </w:rPr>
        <w:t>，其特征在于，</w:t>
      </w:r>
      <w:r>
        <w:rPr>
          <w:rFonts w:hint="eastAsia" w:ascii="楷体" w:hAnsi="楷体" w:eastAsia="楷体"/>
          <w:sz w:val="28"/>
          <w:szCs w:val="28"/>
        </w:rPr>
        <w:t>所述步骤（34）基于置信度的未知设备拒识机制具体包括：</w:t>
      </w:r>
    </w:p>
    <w:p w14:paraId="26CF85E4">
      <w:pPr>
        <w:numPr>
          <w:ilvl w:val="0"/>
          <w:numId w:val="6"/>
        </w:numPr>
        <w:spacing w:line="360" w:lineRule="auto"/>
        <w:rPr>
          <w:rFonts w:ascii="楷体" w:hAnsi="楷体" w:eastAsia="楷体"/>
          <w:sz w:val="28"/>
          <w:szCs w:val="28"/>
        </w:rPr>
      </w:pPr>
      <w:r>
        <w:rPr>
          <w:rFonts w:hint="eastAsia" w:ascii="楷体" w:hAnsi="楷体" w:eastAsia="楷体"/>
          <w:sz w:val="28"/>
          <w:szCs w:val="28"/>
        </w:rPr>
        <w:t>为实现对未知设备和非法接入的有效判别，在输出设备身份之前对集成后验概率进行双阈值拒识检验，定义类间置信差：</w:t>
      </w:r>
    </w:p>
    <w:p w14:paraId="73A11BD0">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Δp = p(ĉ|F)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c≠ĉ</m:t>
                  </m:r>
                  <m:ctrlPr>
                    <w:rPr>
                      <w:rFonts w:ascii="Cambria Math" w:hAnsi="Cambria Math"/>
                      <w:i/>
                      <w:sz w:val="28"/>
                      <w:szCs w:val="28"/>
                    </w:rPr>
                  </m:ctrlPr>
                </m:sub>
              </m:sSub>
              <m:r>
                <m:rPr>
                  <m:sty m:val="p"/>
                </m:rPr>
                <w:rPr>
                  <w:rFonts w:ascii="Cambria Math" w:hAnsi="Cambria Math"/>
                  <w:sz w:val="28"/>
                  <w:szCs w:val="28"/>
                </w:rPr>
                <m:t xml:space="preserve"> p(c|F)#(9)</m:t>
              </m:r>
              <m:ctrlPr>
                <w:rPr>
                  <w:rFonts w:ascii="Cambria Math" w:hAnsi="Cambria Math"/>
                  <w:sz w:val="28"/>
                  <w:szCs w:val="28"/>
                </w:rPr>
              </m:ctrlPr>
            </m:e>
          </m:eqArr>
        </m:oMath>
      </m:oMathPara>
    </w:p>
    <w:p w14:paraId="34C0493D">
      <w:pPr>
        <w:spacing w:line="360" w:lineRule="auto"/>
        <w:rPr>
          <w:rFonts w:ascii="楷体" w:hAnsi="楷体" w:eastAsia="楷体"/>
          <w:sz w:val="28"/>
          <w:szCs w:val="28"/>
        </w:rPr>
      </w:pPr>
      <w:r>
        <w:rPr>
          <w:rFonts w:hint="eastAsia" w:ascii="楷体" w:hAnsi="楷体" w:eastAsia="楷体"/>
          <w:sz w:val="28"/>
          <w:szCs w:val="28"/>
        </w:rPr>
        <w:t xml:space="preserve">类间置信差 </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度量最优类别相对于次优类别的置信优势，反映识别结果的区分度，</w:t>
      </w:r>
      <w:r>
        <w:rPr>
          <w:rFonts w:hint="eastAsia" w:ascii="楷体" w:hAnsi="楷体" w:eastAsia="楷体" w:cs="楷体"/>
          <w:color w:val="141413"/>
          <w:sz w:val="28"/>
          <w:szCs w:val="28"/>
          <w:shd w:val="clear" w:color="auto" w:fill="FFFFFF"/>
        </w:rPr>
        <w:t>其中，F 为当前样本的连续双帧载波频偏特征向量，</w:t>
      </w:r>
      <m:oMath>
        <m:r>
          <m:rPr/>
          <w:rPr>
            <w:rFonts w:ascii="Cambria Math" w:hAnsi="Cambria Math" w:eastAsia="楷体"/>
            <w:sz w:val="28"/>
          </w:rPr>
          <m:t>p(c|F)</m:t>
        </m:r>
      </m:oMath>
      <w:r>
        <w:rPr>
          <w:rFonts w:hint="eastAsia" w:ascii="楷体" w:hAnsi="楷体" w:eastAsia="楷体" w:cs="楷体"/>
          <w:color w:val="141413"/>
          <w:sz w:val="28"/>
          <w:szCs w:val="28"/>
          <w:shd w:val="clear" w:color="auto" w:fill="FFFFFF"/>
        </w:rPr>
        <w:t xml:space="preserve"> 为经公式 (7) 加权融合后得到的集成后验概率，</w:t>
      </w:r>
      <m:oMath>
        <m:r>
          <m:rPr>
            <m:sty m:val="p"/>
          </m:rPr>
          <w:rPr>
            <w:rFonts w:ascii="Cambria Math" w:hAnsi="Cambria Math" w:eastAsia="楷体"/>
            <w:sz w:val="28"/>
          </w:rPr>
          <m:t>ĉ</m:t>
        </m:r>
        <m:r>
          <m:rPr/>
          <w:rPr>
            <w:rFonts w:ascii="Cambria Math" w:hAnsi="Cambria Math" w:eastAsia="楷体"/>
            <w:sz w:val="28"/>
          </w:rPr>
          <m:t>=argma</m:t>
        </m:r>
        <m:sSub>
          <m:sSubPr>
            <m:ctrlPr>
              <w:rPr>
                <w:rFonts w:ascii="Cambria Math" w:hAnsi="Cambria Math" w:eastAsia="楷体"/>
                <w:sz w:val="28"/>
              </w:rPr>
            </m:ctrlPr>
          </m:sSubPr>
          <m:e>
            <m:r>
              <m:rPr/>
              <w:rPr>
                <w:rFonts w:ascii="Cambria Math" w:hAnsi="Cambria Math" w:eastAsia="楷体"/>
                <w:sz w:val="28"/>
              </w:rPr>
              <m:t>x</m:t>
            </m:r>
            <m:ctrlPr>
              <w:rPr>
                <w:rFonts w:ascii="Cambria Math" w:hAnsi="Cambria Math" w:eastAsia="楷体"/>
                <w:sz w:val="28"/>
              </w:rPr>
            </m:ctrlPr>
          </m:e>
          <m:sub>
            <m:r>
              <m:rPr/>
              <w:rPr>
                <w:rFonts w:ascii="Cambria Math" w:hAnsi="Cambria Math" w:eastAsia="楷体"/>
                <w:sz w:val="28"/>
              </w:rPr>
              <m:t>c</m:t>
            </m:r>
            <m:ctrlPr>
              <w:rPr>
                <w:rFonts w:ascii="Cambria Math" w:hAnsi="Cambria Math" w:eastAsia="楷体"/>
                <w:sz w:val="28"/>
              </w:rPr>
            </m:ctrlPr>
          </m:sub>
        </m:sSub>
        <m:r>
          <m:rPr/>
          <w:rPr>
            <w:rFonts w:ascii="Cambria Math" w:hAnsi="Cambria Math" w:eastAsia="楷体"/>
            <w:sz w:val="28"/>
          </w:rPr>
          <m:t>p(c|F)</m:t>
        </m:r>
      </m:oMath>
      <w:r>
        <w:rPr>
          <w:rFonts w:hint="eastAsia" w:ascii="楷体" w:hAnsi="楷体" w:eastAsia="楷体" w:cs="楷体"/>
          <w:color w:val="141413"/>
          <w:sz w:val="28"/>
          <w:szCs w:val="28"/>
          <w:shd w:val="clear" w:color="auto" w:fill="FFFFFF"/>
        </w:rPr>
        <w:t xml:space="preserve"> 为最优类别，</w:t>
      </w:r>
      <m:oMath>
        <m:r>
          <m:rPr/>
          <w:rPr>
            <w:rFonts w:ascii="Cambria Math" w:hAnsi="Cambria Math" w:eastAsia="楷体"/>
            <w:sz w:val="28"/>
          </w:rPr>
          <m:t>p(</m:t>
        </m:r>
        <m:r>
          <m:rPr>
            <m:sty m:val="p"/>
          </m:rPr>
          <w:rPr>
            <w:rFonts w:ascii="Cambria Math" w:hAnsi="Cambria Math" w:eastAsia="楷体"/>
            <w:sz w:val="28"/>
          </w:rPr>
          <m:t>ĉ</m:t>
        </m:r>
        <m:r>
          <m:rPr/>
          <w:rPr>
            <w:rFonts w:ascii="Cambria Math" w:hAnsi="Cambria Math" w:eastAsia="楷体"/>
            <w:sz w:val="28"/>
          </w:rPr>
          <m:t>|F)</m:t>
        </m:r>
      </m:oMath>
      <w:r>
        <w:rPr>
          <w:rFonts w:hint="eastAsia" w:ascii="楷体" w:hAnsi="楷体" w:eastAsia="楷体" w:cs="楷体"/>
          <w:color w:val="141413"/>
          <w:sz w:val="28"/>
          <w:szCs w:val="28"/>
          <w:shd w:val="clear" w:color="auto" w:fill="FFFFFF"/>
        </w:rPr>
        <w:t xml:space="preserve"> 为最大集成后验概率，</w:t>
      </w:r>
      <m:oMath>
        <m:r>
          <m:rPr/>
          <w:rPr>
            <w:rFonts w:ascii="Cambria Math" w:hAnsi="Cambria Math" w:eastAsia="楷体"/>
            <w:sz w:val="28"/>
          </w:rPr>
          <m:t>ma</m:t>
        </m:r>
        <m:sSub>
          <m:sSubPr>
            <m:ctrlPr>
              <w:rPr>
                <w:rFonts w:ascii="Cambria Math" w:hAnsi="Cambria Math" w:eastAsia="楷体"/>
                <w:sz w:val="28"/>
              </w:rPr>
            </m:ctrlPr>
          </m:sSubPr>
          <m:e>
            <m:r>
              <m:rPr/>
              <w:rPr>
                <w:rFonts w:ascii="Cambria Math" w:hAnsi="Cambria Math" w:eastAsia="楷体"/>
                <w:sz w:val="28"/>
              </w:rPr>
              <m:t>x</m:t>
            </m:r>
            <m:ctrlPr>
              <w:rPr>
                <w:rFonts w:ascii="Cambria Math" w:hAnsi="Cambria Math" w:eastAsia="楷体"/>
                <w:sz w:val="28"/>
              </w:rPr>
            </m:ctrlPr>
          </m:e>
          <m:sub>
            <m:r>
              <m:rPr/>
              <w:rPr>
                <w:rFonts w:ascii="Cambria Math" w:hAnsi="Cambria Math" w:eastAsia="楷体"/>
                <w:sz w:val="28"/>
              </w:rPr>
              <m:t>c≠</m:t>
            </m:r>
            <m:r>
              <m:rPr>
                <m:sty m:val="p"/>
              </m:rPr>
              <w:rPr>
                <w:rFonts w:ascii="Cambria Math" w:hAnsi="Cambria Math" w:eastAsia="楷体"/>
                <w:sz w:val="28"/>
              </w:rPr>
              <m:t>ĉ</m:t>
            </m:r>
            <m:ctrlPr>
              <w:rPr>
                <w:rFonts w:ascii="Cambria Math" w:hAnsi="Cambria Math" w:eastAsia="楷体"/>
                <w:sz w:val="28"/>
              </w:rPr>
            </m:ctrlPr>
          </m:sub>
        </m:sSub>
        <m:r>
          <m:rPr/>
          <w:rPr>
            <w:rFonts w:ascii="Cambria Math" w:hAnsi="Cambria Math" w:eastAsia="楷体"/>
            <w:sz w:val="28"/>
          </w:rPr>
          <m:t>p(c|F)</m:t>
        </m:r>
      </m:oMath>
      <w:r>
        <w:rPr>
          <w:rFonts w:hint="eastAsia" w:ascii="楷体" w:hAnsi="楷体" w:eastAsia="楷体" w:cs="楷体"/>
          <w:color w:val="141413"/>
          <w:sz w:val="28"/>
          <w:szCs w:val="28"/>
          <w:shd w:val="clear" w:color="auto" w:fill="FFFFFF"/>
        </w:rPr>
        <w:t xml:space="preserve"> 为次优类别的后验概率；</w:t>
      </w:r>
      <m:oMath>
        <m:r>
          <m:rPr>
            <m:sty m:val="p"/>
          </m:rPr>
          <w:rPr>
            <w:rFonts w:ascii="Cambria Math" w:hAnsi="Cambria Math" w:eastAsia="楷体"/>
            <w:sz w:val="28"/>
          </w:rPr>
          <m:t>Δ</m:t>
        </m:r>
        <m:r>
          <m:rPr/>
          <w:rPr>
            <w:rFonts w:ascii="Cambria Math" w:hAnsi="Cambria Math" w:eastAsia="楷体"/>
            <w:sz w:val="28"/>
          </w:rPr>
          <m:t>p∈[0,1]</m:t>
        </m:r>
      </m:oMath>
      <w:r>
        <w:rPr>
          <w:rFonts w:hint="eastAsia" w:ascii="楷体" w:hAnsi="楷体" w:eastAsia="楷体" w:cs="楷体"/>
          <w:color w:val="141413"/>
          <w:sz w:val="28"/>
          <w:szCs w:val="28"/>
          <w:shd w:val="clear" w:color="auto" w:fill="FFFFFF"/>
        </w:rPr>
        <w:t>，其值越大表明识别结果越可靠，越小则样本越可能属于未知设备或非法接入。</w:t>
      </w:r>
    </w:p>
    <w:p w14:paraId="3F6DA054">
      <w:pPr>
        <w:numPr>
          <w:ilvl w:val="0"/>
          <w:numId w:val="6"/>
        </w:numPr>
        <w:spacing w:line="360" w:lineRule="auto"/>
        <w:rPr>
          <w:rFonts w:ascii="楷体" w:hAnsi="楷体" w:eastAsia="楷体"/>
          <w:sz w:val="28"/>
          <w:szCs w:val="28"/>
        </w:rPr>
      </w:pPr>
      <w:r>
        <w:rPr>
          <w:rFonts w:hint="eastAsia" w:ascii="楷体" w:hAnsi="楷体" w:eastAsia="楷体"/>
          <w:sz w:val="28"/>
          <w:szCs w:val="28"/>
        </w:rPr>
        <w:t xml:space="preserve">拒识判决规则：若满足以下任一条件，则将当前样本判定为未知设备或非法接入：（i）绝对置信条件不满足，即 </w:t>
      </w:r>
      <m:oMath>
        <m:r>
          <m:rPr>
            <m:sty m:val="p"/>
          </m:rPr>
          <w:rPr>
            <w:rFonts w:hint="eastAsia" w:ascii="Cambria Math" w:hAnsi="Cambria Math" w:eastAsia="楷体"/>
            <w:sz w:val="28"/>
            <w:szCs w:val="28"/>
          </w:rPr>
          <m:t>p(ĉ|F)</m:t>
        </m:r>
      </m:oMath>
      <w:r>
        <w:rPr>
          <w:rFonts w:hint="eastAsia" w:hAnsi="Cambria Math" w:eastAsia="楷体"/>
          <w:sz w:val="28"/>
          <w:szCs w:val="28"/>
        </w:rPr>
        <w:t xml:space="preserve"> </w:t>
      </w:r>
      <w:r>
        <w:rPr>
          <w:rFonts w:hint="eastAsia" w:ascii="楷体" w:hAnsi="楷体" w:eastAsia="楷体"/>
          <w:sz w:val="28"/>
          <w:szCs w:val="28"/>
        </w:rPr>
        <w:t xml:space="preserve">小于预设绝对门限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1</m:t>
            </m:r>
            <m:ctrlPr>
              <w:rPr>
                <w:rFonts w:ascii="Cambria Math" w:hAnsi="Cambria Math"/>
                <w:i/>
                <w:sz w:val="28"/>
                <w:szCs w:val="28"/>
              </w:rPr>
            </m:ctrlPr>
          </m:sub>
        </m:sSub>
      </m:oMath>
      <w:r>
        <w:rPr>
          <w:rFonts w:hint="eastAsia" w:ascii="楷体" w:hAnsi="楷体" w:eastAsia="楷体"/>
          <w:sz w:val="28"/>
          <w:szCs w:val="28"/>
        </w:rPr>
        <w:t xml:space="preserve">；（ii）相对置信条件不满足，即 </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 xml:space="preserve">小于预设相对门限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 xml:space="preserve">，若两个条件均满足，则输出设备身份标识 </w:t>
      </w:r>
      <m:oMath>
        <m:r>
          <m:rPr>
            <m:sty m:val="p"/>
          </m:rPr>
          <w:rPr>
            <w:rFonts w:ascii="Cambria Math" w:hAnsi="Cambria Math"/>
            <w:sz w:val="28"/>
            <w:szCs w:val="28"/>
          </w:rPr>
          <m:t>ĉ</m:t>
        </m:r>
      </m:oMath>
      <w:r>
        <w:rPr>
          <w:rFonts w:hint="eastAsia" w:ascii="楷体" w:hAnsi="楷体" w:eastAsia="楷体"/>
          <w:sz w:val="28"/>
          <w:szCs w:val="28"/>
        </w:rPr>
        <w:t>，双阈值机制从绝对置信度与类间区分度两个维度联合判断，相比单阈值方案对未知设备的拒识能力更强，误识率更低。</w:t>
      </w:r>
    </w:p>
    <w:p w14:paraId="2225ED69">
      <w:pPr>
        <w:pStyle w:val="26"/>
        <w:shd w:val="clear" w:color="auto" w:fill="FFFFFF"/>
        <w:spacing w:before="0" w:beforeAutospacing="0" w:after="0" w:afterAutospacing="0" w:line="360" w:lineRule="auto"/>
        <w:rPr>
          <w:rFonts w:ascii="楷体" w:hAnsi="楷体" w:eastAsia="楷体"/>
          <w:sz w:val="28"/>
          <w:szCs w:val="28"/>
        </w:rPr>
      </w:pPr>
      <w:bookmarkStart w:id="0" w:name="OLE_LINK10"/>
      <w:bookmarkStart w:id="1" w:name="_Hlk218844332"/>
      <w:r>
        <w:rPr>
          <w:rFonts w:hint="eastAsia" w:ascii="楷体" w:hAnsi="楷体" w:eastAsia="楷体"/>
          <w:sz w:val="28"/>
          <w:szCs w:val="28"/>
        </w:rPr>
        <w:t>8</w:t>
      </w:r>
      <w:r>
        <w:rPr>
          <w:rFonts w:hint="eastAsia" w:ascii="楷体" w:hAnsi="楷体" w:eastAsia="楷体"/>
          <w:sz w:val="28"/>
          <w:szCs w:val="28"/>
          <w:lang w:eastAsia="zh-CN"/>
        </w:rPr>
        <w:t>、</w:t>
      </w:r>
      <w:r>
        <w:rPr>
          <w:rFonts w:hint="eastAsia" w:ascii="楷体" w:hAnsi="楷体" w:eastAsia="楷体"/>
          <w:sz w:val="28"/>
          <w:szCs w:val="28"/>
        </w:rPr>
        <w:t>一种电子设备，包括存储器、处理器及存储在所述存储器上并可在所述处理器上运行的计算机程序，其特征在于，所述处理器执行所述程序时实现如上述权利要求1至7中的任意一项所述的</w:t>
      </w:r>
      <w:r>
        <w:rPr>
          <w:rFonts w:hint="eastAsia" w:ascii="楷体" w:hAnsi="楷体" w:eastAsia="楷体"/>
          <w:bCs/>
          <w:sz w:val="28"/>
          <w:szCs w:val="28"/>
        </w:rPr>
        <w:t>融合双帧载波频偏特征的LoRa终端识别方法</w:t>
      </w:r>
      <w:r>
        <w:rPr>
          <w:rFonts w:hint="eastAsia" w:ascii="楷体" w:hAnsi="楷体" w:eastAsia="楷体"/>
          <w:sz w:val="28"/>
          <w:szCs w:val="28"/>
        </w:rPr>
        <w:t>。</w:t>
      </w:r>
    </w:p>
    <w:p w14:paraId="190E49D4">
      <w:pPr>
        <w:spacing w:line="360" w:lineRule="auto"/>
        <w:jc w:val="left"/>
        <w:rPr>
          <w:rFonts w:ascii="楷体" w:hAnsi="楷体" w:eastAsia="楷体"/>
          <w:sz w:val="28"/>
          <w:szCs w:val="28"/>
        </w:rPr>
      </w:pPr>
      <w:r>
        <w:rPr>
          <w:rFonts w:hint="eastAsia" w:ascii="楷体" w:hAnsi="楷体" w:eastAsia="楷体"/>
          <w:sz w:val="28"/>
          <w:szCs w:val="28"/>
        </w:rPr>
        <w:t>9</w:t>
      </w:r>
      <w:r>
        <w:rPr>
          <w:rFonts w:hint="eastAsia" w:ascii="楷体" w:hAnsi="楷体" w:eastAsia="楷体"/>
          <w:sz w:val="28"/>
          <w:szCs w:val="28"/>
          <w:lang w:eastAsia="zh-CN"/>
        </w:rPr>
        <w:t>、</w:t>
      </w:r>
      <w:r>
        <w:rPr>
          <w:rFonts w:hint="eastAsia" w:ascii="楷体" w:hAnsi="楷体" w:eastAsia="楷体"/>
          <w:sz w:val="28"/>
          <w:szCs w:val="28"/>
        </w:rPr>
        <w:t>一种计算机可读存储介质，其上存储有计算机指令，其特征在于，该计算机指令被处理器执行时实现如权利要求1-</w:t>
      </w:r>
      <w:r>
        <w:rPr>
          <w:rFonts w:ascii="楷体" w:hAnsi="楷体" w:eastAsia="楷体"/>
          <w:sz w:val="28"/>
          <w:szCs w:val="28"/>
        </w:rPr>
        <w:t>7</w:t>
      </w:r>
      <w:r>
        <w:rPr>
          <w:rFonts w:hint="eastAsia" w:ascii="楷体" w:hAnsi="楷体" w:eastAsia="楷体"/>
          <w:sz w:val="28"/>
          <w:szCs w:val="28"/>
        </w:rPr>
        <w:t>中任一项所述的</w:t>
      </w:r>
      <w:bookmarkEnd w:id="0"/>
      <w:r>
        <w:rPr>
          <w:rFonts w:hint="eastAsia" w:ascii="楷体" w:hAnsi="楷体" w:eastAsia="楷体"/>
          <w:bCs/>
          <w:sz w:val="28"/>
          <w:szCs w:val="28"/>
        </w:rPr>
        <w:t>融合双帧载波频偏特征的LoRa终端识别方法</w:t>
      </w:r>
      <w:r>
        <w:rPr>
          <w:rFonts w:hint="eastAsia" w:ascii="楷体" w:hAnsi="楷体" w:eastAsia="楷体" w:cs="宋体"/>
          <w:sz w:val="28"/>
          <w:szCs w:val="28"/>
        </w:rPr>
        <w:t>。</w:t>
      </w:r>
    </w:p>
    <w:bookmarkEnd w:id="1"/>
    <w:p w14:paraId="1EBA181D">
      <w:pPr>
        <w:spacing w:line="360" w:lineRule="auto"/>
        <w:ind w:left="420"/>
        <w:rPr>
          <w:rFonts w:ascii="楷体" w:hAnsi="楷体" w:eastAsia="楷体"/>
          <w:sz w:val="28"/>
          <w:szCs w:val="28"/>
        </w:rPr>
      </w:pPr>
    </w:p>
    <w:p w14:paraId="0BD0691C">
      <w:pPr>
        <w:spacing w:line="360" w:lineRule="auto"/>
        <w:ind w:firstLine="700" w:firstLineChars="250"/>
        <w:rPr>
          <w:rFonts w:ascii="楷体" w:hAnsi="楷体" w:eastAsia="楷体"/>
          <w:sz w:val="28"/>
          <w:szCs w:val="28"/>
        </w:rPr>
      </w:pPr>
    </w:p>
    <w:p w14:paraId="523F608B">
      <w:pPr>
        <w:spacing w:line="360" w:lineRule="auto"/>
        <w:ind w:firstLine="700" w:firstLineChars="250"/>
        <w:rPr>
          <w:rFonts w:ascii="楷体" w:hAnsi="楷体" w:eastAsia="楷体"/>
          <w:sz w:val="28"/>
          <w:szCs w:val="28"/>
        </w:rPr>
        <w:sectPr>
          <w:headerReference r:id="rId9" w:type="default"/>
          <w:pgSz w:w="11906" w:h="16838"/>
          <w:pgMar w:top="1418" w:right="851" w:bottom="851" w:left="1418" w:header="851" w:footer="113" w:gutter="0"/>
          <w:pgNumType w:start="1"/>
          <w:cols w:space="425" w:num="1"/>
          <w:docGrid w:type="lines" w:linePitch="312" w:charSpace="0"/>
        </w:sectPr>
      </w:pPr>
    </w:p>
    <w:p w14:paraId="096851B9">
      <w:pPr>
        <w:spacing w:line="360" w:lineRule="auto"/>
        <w:ind w:firstLine="280" w:firstLineChars="100"/>
        <w:jc w:val="center"/>
        <w:rPr>
          <w:rFonts w:ascii="楷体" w:hAnsi="楷体" w:eastAsia="楷体"/>
          <w:sz w:val="28"/>
          <w:szCs w:val="28"/>
        </w:rPr>
      </w:pPr>
      <w:r>
        <w:rPr>
          <w:rFonts w:hint="eastAsia" w:ascii="楷体" w:hAnsi="楷体" w:eastAsia="楷体"/>
          <w:sz w:val="28"/>
          <w:szCs w:val="28"/>
        </w:rPr>
        <w:t>融合双帧载波频偏特征的LoRa终端识别方法</w:t>
      </w:r>
    </w:p>
    <w:p w14:paraId="26C96152">
      <w:pPr>
        <w:spacing w:line="360" w:lineRule="auto"/>
        <w:rPr>
          <w:rFonts w:ascii="楷体" w:hAnsi="楷体" w:eastAsia="楷体"/>
          <w:sz w:val="28"/>
          <w:szCs w:val="28"/>
        </w:rPr>
      </w:pPr>
    </w:p>
    <w:p w14:paraId="7CB8DF8D">
      <w:pPr>
        <w:spacing w:line="360" w:lineRule="auto"/>
        <w:rPr>
          <w:rFonts w:ascii="楷体" w:hAnsi="楷体" w:eastAsia="楷体"/>
          <w:b/>
          <w:sz w:val="28"/>
          <w:szCs w:val="28"/>
        </w:rPr>
      </w:pPr>
      <w:r>
        <w:rPr>
          <w:rFonts w:hint="eastAsia" w:ascii="楷体" w:hAnsi="楷体" w:eastAsia="楷体"/>
          <w:b/>
          <w:sz w:val="28"/>
          <w:szCs w:val="28"/>
        </w:rPr>
        <w:t>技术领域</w:t>
      </w:r>
    </w:p>
    <w:p w14:paraId="399CD275">
      <w:pPr>
        <w:spacing w:line="360" w:lineRule="auto"/>
        <w:ind w:firstLine="420"/>
        <w:rPr>
          <w:sz w:val="28"/>
          <w:szCs w:val="28"/>
        </w:rPr>
      </w:pPr>
      <w:r>
        <w:rPr>
          <w:rFonts w:hint="eastAsia" w:ascii="楷体" w:hAnsi="楷体" w:eastAsia="楷体"/>
          <w:sz w:val="28"/>
          <w:szCs w:val="28"/>
        </w:rPr>
        <w:t>本发明属于物联网安全技术领域，具体涉及一种基于射频指纹（Radio Frequency Fingerprinting, RFF）的LoRa设备身份识别方法，尤其适用于资源受限、信道时变的低功耗广域网（LPWAN）场景。</w:t>
      </w:r>
      <w:r>
        <w:rPr>
          <w:sz w:val="28"/>
          <w:szCs w:val="28"/>
        </w:rPr>
        <w:t xml:space="preserve"> </w:t>
      </w:r>
    </w:p>
    <w:p w14:paraId="59D4B05F">
      <w:pPr>
        <w:spacing w:line="360" w:lineRule="auto"/>
      </w:pPr>
      <w:r>
        <w:rPr>
          <w:rFonts w:hint="eastAsia" w:ascii="楷体" w:hAnsi="楷体" w:eastAsia="楷体"/>
          <w:b/>
          <w:sz w:val="28"/>
          <w:szCs w:val="28"/>
        </w:rPr>
        <w:t>背景技术</w:t>
      </w:r>
    </w:p>
    <w:p w14:paraId="384B1802">
      <w:pPr>
        <w:spacing w:line="360" w:lineRule="auto"/>
        <w:ind w:firstLine="420"/>
        <w:rPr>
          <w:rFonts w:ascii="楷体" w:hAnsi="楷体" w:eastAsia="楷体"/>
          <w:sz w:val="28"/>
          <w:szCs w:val="28"/>
        </w:rPr>
      </w:pPr>
      <w:r>
        <w:rPr>
          <w:rFonts w:hint="eastAsia" w:ascii="楷体" w:hAnsi="楷体" w:eastAsia="楷体"/>
          <w:sz w:val="28"/>
          <w:szCs w:val="28"/>
        </w:rPr>
        <w:t>伴随着物联网领域的迅猛扩张，凭借传输距离远、能耗低以及开放源代码等显著特性，LoRa技术确立了其在低功耗广域网络中的关键地位，并在环境监控、智能计量以及资产管理追踪等诸多领域得到了大规模普及。</w:t>
      </w:r>
    </w:p>
    <w:p w14:paraId="32996D5F">
      <w:pPr>
        <w:spacing w:line="360" w:lineRule="auto"/>
        <w:ind w:firstLine="420"/>
        <w:rPr>
          <w:rFonts w:ascii="楷体" w:hAnsi="楷体" w:eastAsia="楷体"/>
          <w:sz w:val="28"/>
          <w:szCs w:val="28"/>
        </w:rPr>
      </w:pPr>
      <w:r>
        <w:rPr>
          <w:rFonts w:hint="eastAsia" w:ascii="楷体" w:hAnsi="楷体" w:eastAsia="楷体"/>
          <w:sz w:val="28"/>
          <w:szCs w:val="28"/>
        </w:rPr>
        <w:t>不过，LoRa网络的大规模应用也引发了不容忽视的安全危机，诸如隐蔽信道入侵、信标欺骗攻击等手段，给物联网体系的运行安全和稳定性造成了极大隐患。类似MAC地址这类的软件标识极易遭到篡改、克隆或伪造，无法有效支撑高可信设备的接入标准；尽管加密认证机制能增强安全防护，但其往往伴随着额外的算力与存储资源消耗，这对于追求低成本、低能耗且资源受限的LoRa终端设备而言十分不利。</w:t>
      </w:r>
    </w:p>
    <w:p w14:paraId="48BB2D2F">
      <w:pPr>
        <w:spacing w:line="360" w:lineRule="auto"/>
        <w:ind w:firstLine="420"/>
        <w:rPr>
          <w:rFonts w:ascii="楷体" w:hAnsi="楷体" w:eastAsia="楷体"/>
          <w:sz w:val="28"/>
          <w:szCs w:val="28"/>
        </w:rPr>
      </w:pPr>
      <w:r>
        <w:rPr>
          <w:rFonts w:hint="eastAsia" w:ascii="楷体" w:hAnsi="楷体" w:eastAsia="楷体"/>
          <w:sz w:val="28"/>
          <w:szCs w:val="28"/>
        </w:rPr>
        <w:t>射频指纹识别技术利用无线设备硬件固有的物理层差异进行身份认证，具有难以伪造、无需修改上层协议、实现开销低等优势，因此成为LoRa设备安全认证的重要研究方向。现有射频指纹识别方法主要分为两类：</w:t>
      </w:r>
    </w:p>
    <w:p w14:paraId="428281B6">
      <w:pPr>
        <w:spacing w:line="360" w:lineRule="auto"/>
        <w:ind w:firstLine="420"/>
        <w:rPr>
          <w:rFonts w:ascii="楷体" w:hAnsi="楷体" w:eastAsia="楷体"/>
          <w:sz w:val="28"/>
          <w:szCs w:val="28"/>
        </w:rPr>
      </w:pPr>
      <w:r>
        <w:rPr>
          <w:rFonts w:hint="eastAsia" w:ascii="楷体" w:hAnsi="楷体" w:eastAsia="楷体"/>
          <w:sz w:val="28"/>
          <w:szCs w:val="28"/>
        </w:rPr>
        <w:t>基于深度学习的方法：利用卷积神经网络或循环神经网络自动提取指纹特征。该类方法存在以下不足：（1）对信道时变性敏感，跨时间采集时识别准确率显著下降；（2）模型可解释性差，难以满足专利申报对技术原理清晰性的要求；（3）训练计算开销大，不适合频繁更新的物联网场景。</w:t>
      </w:r>
    </w:p>
    <w:p w14:paraId="63456C5F">
      <w:pPr>
        <w:spacing w:line="360" w:lineRule="auto"/>
        <w:ind w:firstLine="420"/>
        <w:rPr>
          <w:rFonts w:ascii="楷体" w:hAnsi="楷体" w:eastAsia="楷体"/>
          <w:sz w:val="28"/>
          <w:szCs w:val="28"/>
        </w:rPr>
      </w:pPr>
      <w:r>
        <w:rPr>
          <w:rFonts w:hint="eastAsia" w:ascii="楷体" w:hAnsi="楷体" w:eastAsia="楷体"/>
          <w:sz w:val="28"/>
          <w:szCs w:val="28"/>
        </w:rPr>
        <w:t>基于特征工程的方法：利用载波频率偏移、相位噪声等物理层特征进行设备识别。该类方法具有实现简单和可解释性较好的优点。然而，现有基于特征工程的方法仍存在以下不足：（1）单帧特征容易受到噪声和瞬时信道扰动影响，稳定性不足；（2）载波频率偏移易随温度和本振状态变化而漂移，单独使用时区分能力有限；（3）现有判别方式多采用简单分类器，缺少对未知设备和复杂场景误识别的有效抑制。</w:t>
      </w:r>
    </w:p>
    <w:p w14:paraId="2982B5B7">
      <w:pPr>
        <w:spacing w:line="360" w:lineRule="auto"/>
        <w:ind w:firstLine="420"/>
        <w:rPr>
          <w:rFonts w:ascii="楷体" w:hAnsi="楷体" w:eastAsia="楷体"/>
          <w:sz w:val="28"/>
          <w:szCs w:val="28"/>
        </w:rPr>
      </w:pPr>
      <w:r>
        <w:rPr>
          <w:rFonts w:hint="eastAsia" w:ascii="楷体" w:hAnsi="楷体" w:eastAsia="楷体"/>
          <w:sz w:val="28"/>
          <w:szCs w:val="28"/>
        </w:rPr>
        <w:t>在基于特征工程的研究中，根据信号特征的时间稳定性，现有研究通常将其分为两类：稳态特征指那些在较长时间尺度上保持相对稳定的硬件指纹；半稳态特征则指那些在短时间内相对稳定、但在更长时段可能发生变化的硬件特征。基于这一分类，差分相邻双帧射频指纹为已有技术被提出，该方法利用相邻双帧之间的差分相位噪声作为主要指纹特征。</w:t>
      </w:r>
    </w:p>
    <w:p w14:paraId="60987C26">
      <w:pPr>
        <w:spacing w:line="360" w:lineRule="auto"/>
        <w:ind w:firstLine="420"/>
        <w:rPr>
          <w:rFonts w:ascii="楷体" w:hAnsi="楷体" w:eastAsia="楷体"/>
          <w:sz w:val="28"/>
          <w:szCs w:val="28"/>
        </w:rPr>
      </w:pPr>
      <w:r>
        <w:rPr>
          <w:rFonts w:hint="eastAsia" w:ascii="楷体" w:hAnsi="楷体" w:eastAsia="楷体"/>
          <w:sz w:val="28"/>
          <w:szCs w:val="28"/>
        </w:rPr>
        <w:t>特别需要指出的是，以差分相邻双帧射频指纹为代表的已有双帧方法虽然利用了相邻帧的硬件相关性，但其技术方案主要依赖单一差分逻辑提取指纹特征，在复杂干扰环境下，无法根据实时信道质量和信号状态自适应调整差分策略，限制了其在复杂物联网场景下的鲁棒性。</w:t>
      </w:r>
    </w:p>
    <w:p w14:paraId="2225F604">
      <w:pPr>
        <w:spacing w:line="360" w:lineRule="auto"/>
        <w:ind w:firstLine="420"/>
        <w:jc w:val="left"/>
        <w:rPr>
          <w:rFonts w:ascii="楷体" w:hAnsi="楷体" w:eastAsia="楷体"/>
          <w:sz w:val="28"/>
          <w:szCs w:val="28"/>
        </w:rPr>
      </w:pPr>
      <w:r>
        <w:rPr>
          <w:rFonts w:hint="eastAsia" w:ascii="楷体" w:hAnsi="楷体" w:eastAsia="楷体"/>
          <w:sz w:val="28"/>
          <w:szCs w:val="28"/>
        </w:rPr>
        <w:t>针对上述问题，本发明提出一种融合双帧载波频偏特征以及集成学习的LoRa终端识别方法，克服了单一差分逻辑在复杂干扰下鲁棒性不足的缺陷，同时使用集成学习，不同类型分类器的决策边界互补，组合后覆盖更复杂的指纹空间，进一步提升了识别的准确性和稳定性。</w:t>
      </w:r>
    </w:p>
    <w:p w14:paraId="323FB6BD">
      <w:pPr>
        <w:spacing w:line="360" w:lineRule="auto"/>
        <w:rPr>
          <w:rFonts w:ascii="楷体" w:hAnsi="楷体" w:eastAsia="楷体"/>
          <w:b/>
          <w:sz w:val="28"/>
          <w:szCs w:val="28"/>
        </w:rPr>
      </w:pPr>
      <w:r>
        <w:rPr>
          <w:rFonts w:hint="eastAsia" w:ascii="楷体" w:hAnsi="楷体" w:eastAsia="楷体"/>
          <w:b/>
          <w:sz w:val="28"/>
          <w:szCs w:val="28"/>
        </w:rPr>
        <w:t>发明内容</w:t>
      </w:r>
    </w:p>
    <w:p w14:paraId="7F25D521">
      <w:pPr>
        <w:spacing w:line="360" w:lineRule="auto"/>
        <w:ind w:firstLine="420"/>
        <w:rPr>
          <w:rFonts w:ascii="楷体" w:hAnsi="楷体" w:eastAsia="楷体"/>
          <w:bCs/>
          <w:sz w:val="28"/>
          <w:szCs w:val="28"/>
        </w:rPr>
      </w:pPr>
      <w:r>
        <w:rPr>
          <w:rFonts w:hint="eastAsia" w:ascii="楷体" w:hAnsi="楷体" w:eastAsia="楷体"/>
          <w:bCs/>
          <w:sz w:val="28"/>
          <w:szCs w:val="28"/>
        </w:rPr>
        <w:t>本发明涉及无线通信设备身份识别技术领域，具体提出一种融合双帧载波频偏特征的LoRa终端识别方法。该方法通过构造同一终端连续发送的双帧LoRa信号，提取融合载波频偏特征，并结合信号预处理、集成学习分类及双阈值拒识机制，实现对已注册LoRa终端的高可靠身份识别以及对未知终端的有效拒识。相比现有技术，本发明能够有效抑制信道环境变化与接收增益波动带来的影响，提高识别的稳定性与鲁棒性，适用于资源受限条件下的LoRa网络安全接入场景。</w:t>
      </w:r>
    </w:p>
    <w:p w14:paraId="25AE60A0">
      <w:pPr>
        <w:spacing w:line="360" w:lineRule="auto"/>
        <w:ind w:firstLine="420"/>
        <w:rPr>
          <w:rFonts w:ascii="楷体" w:hAnsi="楷体" w:eastAsia="楷体"/>
          <w:bCs/>
          <w:sz w:val="28"/>
          <w:szCs w:val="28"/>
        </w:rPr>
      </w:pPr>
      <w:r>
        <w:rPr>
          <w:rFonts w:hint="eastAsia" w:ascii="楷体" w:hAnsi="楷体" w:eastAsia="楷体"/>
          <w:bCs/>
          <w:sz w:val="28"/>
          <w:szCs w:val="28"/>
        </w:rPr>
        <w:t>本发明提出融合双帧载波频偏特征的LoRa终端识别方法，该方法包括：</w:t>
      </w:r>
    </w:p>
    <w:p w14:paraId="16304E46">
      <w:pPr>
        <w:spacing w:line="360" w:lineRule="auto"/>
        <w:ind w:firstLine="420"/>
        <w:rPr>
          <w:rFonts w:ascii="楷体" w:hAnsi="楷体" w:eastAsia="楷体"/>
          <w:bCs/>
          <w:sz w:val="28"/>
          <w:szCs w:val="28"/>
        </w:rPr>
      </w:pPr>
      <w:r>
        <w:rPr>
          <w:rFonts w:hint="eastAsia" w:ascii="楷体" w:hAnsi="楷体" w:eastAsia="楷体"/>
          <w:bCs/>
          <w:sz w:val="28"/>
          <w:szCs w:val="28"/>
        </w:rPr>
        <w:t>步骤（1）信号采集,利用软件无线电设备采集LoRa终端发射的无线信号，获得复数基带信号序列，并通过与本地参考Chirp信号相关检测实现LoRa帧起始位置确定与信号帧解析。</w:t>
      </w:r>
    </w:p>
    <w:p w14:paraId="68666A33">
      <w:pPr>
        <w:spacing w:line="360" w:lineRule="auto"/>
        <w:ind w:firstLine="420"/>
        <w:rPr>
          <w:rFonts w:ascii="楷体" w:hAnsi="楷体" w:eastAsia="楷体"/>
          <w:bCs/>
          <w:sz w:val="28"/>
          <w:szCs w:val="28"/>
        </w:rPr>
      </w:pPr>
      <w:r>
        <w:rPr>
          <w:rFonts w:hint="eastAsia" w:ascii="楷体" w:hAnsi="楷体" w:eastAsia="楷体"/>
          <w:bCs/>
          <w:sz w:val="28"/>
          <w:szCs w:val="28"/>
        </w:rPr>
        <w:t>步骤（2）连续双帧构造、信号预处理以及特征提取,将同一设备连续发送的两帧信号构成双帧样本，并对其进行同步、载波频偏估计与补偿及幅度归一化处理，提取双帧载波频偏及其均值和差分构成特征向量。</w:t>
      </w:r>
    </w:p>
    <w:p w14:paraId="05F3761B">
      <w:pPr>
        <w:spacing w:line="360" w:lineRule="auto"/>
        <w:ind w:firstLine="420"/>
        <w:rPr>
          <w:rFonts w:ascii="楷体" w:hAnsi="楷体" w:eastAsia="楷体"/>
          <w:bCs/>
          <w:sz w:val="28"/>
          <w:szCs w:val="28"/>
        </w:rPr>
      </w:pPr>
      <w:r>
        <w:rPr>
          <w:rFonts w:hint="eastAsia" w:ascii="楷体" w:hAnsi="楷体" w:eastAsia="楷体"/>
          <w:bCs/>
          <w:sz w:val="28"/>
          <w:szCs w:val="28"/>
        </w:rPr>
        <w:t>步骤（3）集成学习识别,将所述特征向量输入多个基础分类器进行联合决策，并基于分类器准确率和预测熵进行加权融合，结合置信度阈值实现设备身份识别及未知设备拒识。</w:t>
      </w:r>
    </w:p>
    <w:p w14:paraId="0EA9BBBA">
      <w:pPr>
        <w:spacing w:line="360" w:lineRule="auto"/>
        <w:ind w:firstLine="420"/>
        <w:rPr>
          <w:rFonts w:ascii="楷体" w:hAnsi="楷体" w:eastAsia="楷体"/>
          <w:sz w:val="28"/>
          <w:szCs w:val="28"/>
        </w:rPr>
      </w:pPr>
      <w:r>
        <w:rPr>
          <w:rFonts w:hint="eastAsia" w:ascii="楷体" w:hAnsi="楷体" w:eastAsia="楷体"/>
          <w:sz w:val="28"/>
          <w:szCs w:val="28"/>
        </w:rPr>
        <w:t>进一步的，所述步骤（1）具体包括：</w:t>
      </w:r>
    </w:p>
    <w:p w14:paraId="0DBFE481">
      <w:pPr>
        <w:numPr>
          <w:ilvl w:val="0"/>
          <w:numId w:val="7"/>
        </w:numPr>
        <w:spacing w:line="360" w:lineRule="auto"/>
        <w:ind w:firstLine="420"/>
        <w:rPr>
          <w:rFonts w:ascii="楷体" w:hAnsi="楷体" w:eastAsia="楷体"/>
          <w:sz w:val="28"/>
          <w:szCs w:val="28"/>
        </w:rPr>
      </w:pPr>
      <w:r>
        <w:rPr>
          <w:rFonts w:hint="eastAsia" w:ascii="楷体" w:hAnsi="楷体" w:eastAsia="楷体"/>
          <w:sz w:val="28"/>
          <w:szCs w:val="28"/>
        </w:rPr>
        <w:t xml:space="preserve">利用软件无线电设备 USRP 对 LoRa 终端发射的无线信号进行采集，在设定采样率 </w:t>
      </w:r>
      <m:oMath>
        <m:sSub>
          <m:sSubPr>
            <m:ctrlPr>
              <w:rPr>
                <w:rFonts w:ascii="Cambria Math" w:hAnsi="Cambria Math"/>
                <w:i/>
                <w:sz w:val="28"/>
                <w:szCs w:val="28"/>
              </w:rPr>
            </m:ctrlPr>
          </m:sSubPr>
          <m:e>
            <m:r>
              <m:rPr/>
              <w:rPr>
                <w:rFonts w:ascii="Cambria Math" w:hAnsi="Cambria Math"/>
                <w:sz w:val="28"/>
                <w:szCs w:val="28"/>
              </w:rPr>
              <m:t>f</m:t>
            </m:r>
            <m:ctrlPr>
              <w:rPr>
                <w:rFonts w:ascii="Cambria Math" w:hAnsi="Cambria Math"/>
                <w:i/>
                <w:sz w:val="28"/>
                <w:szCs w:val="28"/>
              </w:rPr>
            </m:ctrlPr>
          </m:e>
          <m:sub>
            <m:r>
              <m:rPr/>
              <w:rPr>
                <w:rFonts w:ascii="Cambria Math" w:hAnsi="Cambria Math"/>
                <w:sz w:val="28"/>
                <w:szCs w:val="28"/>
              </w:rPr>
              <m:t>s</m:t>
            </m:r>
            <m:ctrlPr>
              <w:rPr>
                <w:rFonts w:ascii="Cambria Math" w:hAnsi="Cambria Math"/>
                <w:i/>
                <w:sz w:val="28"/>
                <w:szCs w:val="28"/>
              </w:rPr>
            </m:ctrlPr>
          </m:sub>
        </m:sSub>
      </m:oMath>
      <w:r>
        <w:rPr>
          <w:rFonts w:hint="eastAsia" w:ascii="楷体" w:hAnsi="楷体" w:eastAsia="楷体"/>
          <w:sz w:val="28"/>
          <w:szCs w:val="28"/>
        </w:rPr>
        <w:t xml:space="preserve"> 下获得复数基带信号序列：</w:t>
      </w:r>
    </w:p>
    <w:p w14:paraId="69D0F55B">
      <w:pPr>
        <w:spacing w:line="360" w:lineRule="auto"/>
        <w:ind w:firstLine="420"/>
        <w:rPr>
          <w:rFonts w:hAnsi="Cambria Math" w:eastAsia="楷体"/>
          <w:sz w:val="28"/>
          <w:szCs w:val="28"/>
        </w:rPr>
      </w:pPr>
      <m:oMathPara>
        <m:oMath>
          <m:eqArr>
            <m:eqArrPr>
              <m:maxDist m:val="1"/>
              <m:ctrlPr>
                <w:rPr>
                  <w:rFonts w:ascii="Cambria Math" w:hAnsi="Cambria Math" w:eastAsia="楷体"/>
                  <w:sz w:val="28"/>
                  <w:szCs w:val="28"/>
                </w:rPr>
              </m:ctrlPr>
            </m:eqArrPr>
            <m:e>
              <m:r>
                <m:rPr/>
                <w:rPr>
                  <w:rFonts w:ascii="Cambria Math" w:hAnsi="Cambria Math" w:eastAsia="楷体"/>
                  <w:sz w:val="28"/>
                </w:rPr>
                <m:t>r(n)=I(n)+jQ(n)</m:t>
              </m:r>
              <m:r>
                <m:rPr>
                  <m:sty m:val="p"/>
                </m:rPr>
                <w:rPr>
                  <w:rFonts w:ascii="Cambria Math" w:hAnsi="Cambria Math" w:eastAsia="楷体"/>
                  <w:sz w:val="28"/>
                  <w:szCs w:val="28"/>
                </w:rPr>
                <m:t>#(1)</m:t>
              </m:r>
              <m:ctrlPr>
                <w:rPr>
                  <w:rFonts w:ascii="Cambria Math" w:hAnsi="Cambria Math" w:eastAsia="楷体"/>
                  <w:sz w:val="28"/>
                  <w:szCs w:val="28"/>
                </w:rPr>
              </m:ctrlPr>
            </m:e>
          </m:eqArr>
        </m:oMath>
      </m:oMathPara>
    </w:p>
    <w:p w14:paraId="0E085614">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eastAsia="楷体"/>
            <w:sz w:val="28"/>
            <w:szCs w:val="28"/>
          </w:rPr>
          <m:t>I(n)</m:t>
        </m:r>
      </m:oMath>
      <w:r>
        <w:rPr>
          <w:rFonts w:hint="eastAsia" w:hAnsi="Cambria Math" w:eastAsia="楷体"/>
          <w:sz w:val="28"/>
          <w:szCs w:val="28"/>
        </w:rPr>
        <w:t xml:space="preserve"> </w:t>
      </w:r>
      <w:r>
        <w:rPr>
          <w:rFonts w:hint="eastAsia" w:ascii="楷体" w:hAnsi="楷体" w:eastAsia="楷体"/>
          <w:sz w:val="28"/>
          <w:szCs w:val="28"/>
        </w:rPr>
        <w:t>为同相分量，</w:t>
      </w:r>
      <m:oMath>
        <m:r>
          <m:rPr/>
          <w:rPr>
            <w:rFonts w:ascii="Cambria Math" w:hAnsi="Cambria Math" w:eastAsia="楷体"/>
            <w:sz w:val="28"/>
            <w:szCs w:val="28"/>
          </w:rPr>
          <m:t>Q(n)</m:t>
        </m:r>
      </m:oMath>
      <w:r>
        <w:rPr>
          <w:rFonts w:hint="eastAsia" w:hAnsi="Cambria Math" w:eastAsia="楷体"/>
          <w:sz w:val="28"/>
          <w:szCs w:val="28"/>
        </w:rPr>
        <w:t xml:space="preserve"> </w:t>
      </w:r>
      <w:r>
        <w:rPr>
          <w:rFonts w:hint="eastAsia" w:ascii="楷体" w:hAnsi="楷体" w:eastAsia="楷体"/>
          <w:sz w:val="28"/>
          <w:szCs w:val="28"/>
        </w:rPr>
        <w:t>为正交分量。</w:t>
      </w:r>
    </w:p>
    <w:p w14:paraId="270423C2">
      <w:pPr>
        <w:numPr>
          <w:ilvl w:val="0"/>
          <w:numId w:val="7"/>
        </w:numPr>
        <w:spacing w:line="360" w:lineRule="auto"/>
        <w:ind w:firstLine="420"/>
        <w:rPr>
          <w:rFonts w:ascii="楷体" w:hAnsi="楷体" w:eastAsia="楷体"/>
          <w:sz w:val="28"/>
          <w:szCs w:val="28"/>
        </w:rPr>
      </w:pPr>
      <w:r>
        <w:rPr>
          <w:rFonts w:hint="eastAsia" w:ascii="楷体" w:hAnsi="楷体" w:eastAsia="楷体"/>
          <w:sz w:val="28"/>
          <w:szCs w:val="28"/>
        </w:rPr>
        <w:t>对采集得到的连续信号进行 LoRa 帧检测，根据接收信号与本地参考 Chirp 信号的相关结果确定帧起始位置，从而解析出完整的 LoRa 信号帧。</w:t>
      </w:r>
    </w:p>
    <w:p w14:paraId="4C78DC6C">
      <w:pPr>
        <w:spacing w:line="360" w:lineRule="auto"/>
        <w:ind w:firstLine="420"/>
        <w:rPr>
          <w:rFonts w:ascii="楷体" w:hAnsi="楷体" w:eastAsia="楷体"/>
          <w:sz w:val="28"/>
          <w:szCs w:val="28"/>
        </w:rPr>
      </w:pPr>
      <w:r>
        <w:rPr>
          <w:rFonts w:hint="eastAsia" w:ascii="楷体" w:hAnsi="楷体" w:eastAsia="楷体"/>
          <w:sz w:val="28"/>
          <w:szCs w:val="28"/>
        </w:rPr>
        <w:t>进一步的，所述步骤（2）具体包括：</w:t>
      </w:r>
    </w:p>
    <w:p w14:paraId="505ABA47">
      <w:pPr>
        <w:numPr>
          <w:ilvl w:val="0"/>
          <w:numId w:val="8"/>
        </w:numPr>
        <w:spacing w:line="360" w:lineRule="auto"/>
        <w:ind w:firstLine="420"/>
        <w:rPr>
          <w:rFonts w:ascii="楷体" w:hAnsi="楷体" w:eastAsia="楷体"/>
          <w:sz w:val="28"/>
          <w:szCs w:val="28"/>
        </w:rPr>
      </w:pPr>
      <w:r>
        <w:rPr>
          <w:rFonts w:hint="eastAsia" w:ascii="楷体" w:hAnsi="楷体" w:eastAsia="楷体"/>
          <w:sz w:val="28"/>
          <w:szCs w:val="28"/>
        </w:rPr>
        <w:t>在获得单个 LoRa 信号帧后，将同一设备按时间顺序连续发送的两帧信号组合构成一个连续双帧样本。通过构造连续双帧样本，使双帧在近似一致的短时信道条件下保留设备同源硬件特性，为后续射频指纹特征提取提供基础。</w:t>
      </w:r>
    </w:p>
    <w:p w14:paraId="4B7A9EC6">
      <w:pPr>
        <w:numPr>
          <w:ilvl w:val="0"/>
          <w:numId w:val="8"/>
        </w:numPr>
        <w:spacing w:line="360" w:lineRule="auto"/>
        <w:ind w:firstLine="420"/>
        <w:rPr>
          <w:rFonts w:ascii="楷体" w:hAnsi="楷体" w:eastAsia="楷体"/>
          <w:sz w:val="28"/>
          <w:szCs w:val="28"/>
        </w:rPr>
      </w:pPr>
      <w:r>
        <w:rPr>
          <w:rFonts w:hint="eastAsia" w:ascii="楷体" w:hAnsi="楷体" w:eastAsia="楷体"/>
          <w:sz w:val="28"/>
          <w:szCs w:val="28"/>
        </w:rPr>
        <w:t>对连续双帧信号分别进行同步、载波频偏估计与补偿以及幅度归一化处理，得到时间对齐、频偏补偿并幅度归一化后的标准化信号序列，以减小接收增益波动和环境变化对后续特征提取的影响。</w:t>
      </w:r>
    </w:p>
    <w:p w14:paraId="260D6A26">
      <w:pPr>
        <w:numPr>
          <w:ilvl w:val="0"/>
          <w:numId w:val="8"/>
        </w:numPr>
        <w:spacing w:line="360" w:lineRule="auto"/>
        <w:ind w:firstLine="420"/>
        <w:rPr>
          <w:rFonts w:ascii="楷体" w:hAnsi="楷体" w:eastAsia="楷体"/>
          <w:sz w:val="28"/>
          <w:szCs w:val="28"/>
        </w:rPr>
      </w:pPr>
      <w:r>
        <w:rPr>
          <w:rFonts w:hint="eastAsia" w:ascii="楷体" w:hAnsi="楷体" w:eastAsia="楷体"/>
          <w:sz w:val="28"/>
          <w:szCs w:val="28"/>
        </w:rPr>
        <w:t xml:space="preserve">在完成信号预处理后，分别对连续接收到的第一帧信号和第二帧信号进行载波频偏估计，得到对应的频偏估计值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 xml:space="preserve">和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；基于所述频偏估计值构建构建连续双帧频偏特征向量：</w:t>
      </w:r>
    </w:p>
    <w:p w14:paraId="6C48FFC9">
      <w:pPr>
        <w:spacing w:line="360" w:lineRule="auto"/>
        <w:ind w:left="420"/>
        <w:rPr>
          <w:rFonts w:hAnsi="Cambria Math"/>
          <w:sz w:val="28"/>
        </w:rPr>
      </w:pPr>
      <m:oMathPara>
        <m:oMath>
          <m:eqArr>
            <m:eqArrPr>
              <m:maxDist m:val="1"/>
              <m:ctrlPr>
                <w:rPr>
                  <w:rFonts w:ascii="Cambria Math" w:hAnsi="Cambria Math"/>
                  <w:sz w:val="28"/>
                </w:rPr>
              </m:ctrlPr>
            </m:eqArrPr>
            <m:e>
              <m:sSub>
                <m:sSubPr>
                  <m:ctrlPr>
                    <w:rPr>
                      <w:rFonts w:ascii="Cambria Math" w:hAnsi="Cambria Math"/>
                      <w:sz w:val="28"/>
                    </w:rPr>
                  </m:ctrlPr>
                </m:sSubPr>
                <m:e>
                  <m:r>
                    <m:rPr/>
                    <w:rPr>
                      <w:rFonts w:ascii="Cambria Math" w:hAnsi="Cambria Math"/>
                      <w:sz w:val="28"/>
                    </w:rPr>
                    <m:t>f</m:t>
                  </m:r>
                  <m:ctrlPr>
                    <w:rPr>
                      <w:rFonts w:ascii="Cambria Math" w:hAnsi="Cambria Math"/>
                      <w:sz w:val="28"/>
                    </w:rPr>
                  </m:ctrlPr>
                </m:e>
                <m:sub>
                  <m:r>
                    <m:rPr/>
                    <w:rPr>
                      <w:rFonts w:ascii="Cambria Math" w:hAnsi="Cambria Math"/>
                      <w:sz w:val="28"/>
                    </w:rPr>
                    <m:t>cfo</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r>
                <m:rPr>
                  <m:sty m:val="p"/>
                </m:rPr>
                <w:rPr>
                  <w:rFonts w:ascii="Cambria Math" w:hAnsi="Cambria Math"/>
                  <w:sz w:val="28"/>
                </w:rPr>
                <m:t>#(2)</m:t>
              </m:r>
              <m:ctrlPr>
                <w:rPr>
                  <w:rFonts w:ascii="Cambria Math" w:hAnsi="Cambria Math"/>
                  <w:sz w:val="28"/>
                </w:rPr>
              </m:ctrlPr>
            </m:e>
          </m:eqArr>
        </m:oMath>
      </m:oMathPara>
    </w:p>
    <w:p w14:paraId="12BCA67D">
      <w:pPr>
        <w:spacing w:line="360" w:lineRule="auto"/>
        <w:ind w:firstLine="420"/>
        <w:rPr>
          <w:rFonts w:ascii="楷体" w:hAnsi="楷体" w:eastAsia="楷体"/>
          <w:sz w:val="28"/>
          <w:szCs w:val="28"/>
        </w:rPr>
      </w:pPr>
      <w:r>
        <w:rPr>
          <w:rFonts w:hint="eastAsia" w:ascii="楷体" w:hAnsi="楷体" w:eastAsia="楷体"/>
          <w:sz w:val="28"/>
          <w:szCs w:val="28"/>
        </w:rPr>
        <w:t>其中：</w:t>
      </w:r>
    </w:p>
    <w:p w14:paraId="7187E039">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hAnsi="Cambria Math"/>
          <w:sz w:val="28"/>
          <w:szCs w:val="28"/>
        </w:rPr>
        <w:t xml:space="preserve"> </w:t>
      </w:r>
      <w:r>
        <w:rPr>
          <w:rFonts w:hint="eastAsia" w:ascii="楷体" w:hAnsi="楷体" w:eastAsia="楷体"/>
          <w:sz w:val="28"/>
          <w:szCs w:val="28"/>
        </w:rPr>
        <w:t>表示第一帧信号的载波频偏估计值；</w:t>
      </w:r>
    </w:p>
    <w:p w14:paraId="32E025E4">
      <w:pPr>
        <w:pStyle w:val="10"/>
        <w:widowControl/>
        <w:spacing w:line="360" w:lineRule="auto"/>
        <w:ind w:firstLine="420"/>
        <w:rPr>
          <w:rFonts w:ascii="楷体" w:hAnsi="楷体" w:eastAsia="楷体"/>
          <w:sz w:val="28"/>
          <w:szCs w:val="28"/>
        </w:rPr>
      </w:pP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表示第二帧信号的载波频偏估计值；</w:t>
      </w:r>
    </w:p>
    <w:p w14:paraId="5F1BDA54">
      <w:pPr>
        <w:pStyle w:val="10"/>
        <w:widowControl/>
        <w:spacing w:line="360" w:lineRule="auto"/>
        <w:ind w:firstLine="420"/>
        <w:rPr>
          <w:rFonts w:ascii="楷体" w:hAnsi="楷体" w:eastAsia="楷体"/>
          <w:sz w:val="28"/>
          <w:szCs w:val="28"/>
        </w:rPr>
      </w:pPr>
      <m:oMath>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oMath>
      <w:r>
        <w:rPr>
          <w:rFonts w:hint="eastAsia" w:hAnsi="Cambria Math"/>
          <w:sz w:val="28"/>
        </w:rPr>
        <w:t xml:space="preserve"> </w:t>
      </w:r>
      <w:r>
        <w:rPr>
          <w:rFonts w:hint="eastAsia" w:ascii="楷体" w:hAnsi="楷体" w:eastAsia="楷体"/>
          <w:sz w:val="28"/>
          <w:szCs w:val="28"/>
        </w:rPr>
        <w:t>表示连续双帧频偏的均值特征，用于抑制随机噪声干扰；</w:t>
      </w:r>
    </w:p>
    <w:p w14:paraId="093E4DA7">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ascii="楷体" w:hAnsi="楷体" w:eastAsia="楷体"/>
          <w:sz w:val="28"/>
          <w:szCs w:val="28"/>
        </w:rPr>
        <w:t xml:space="preserve"> 表示连续双帧间的频偏差分特征，用于刻画设备在短时间连续发射过程中的频率漂移特性；</w:t>
      </w:r>
    </w:p>
    <w:p w14:paraId="38169F64">
      <w:pPr>
        <w:spacing w:line="360" w:lineRule="auto"/>
        <w:ind w:firstLine="420"/>
        <w:rPr>
          <w:rFonts w:ascii="楷体" w:hAnsi="楷体" w:eastAsia="楷体"/>
          <w:sz w:val="28"/>
          <w:szCs w:val="28"/>
        </w:rPr>
      </w:pPr>
      <w:r>
        <w:rPr>
          <w:rFonts w:hint="eastAsia" w:ascii="楷体" w:hAnsi="楷体" w:eastAsia="楷体"/>
          <w:sz w:val="28"/>
          <w:szCs w:val="28"/>
        </w:rPr>
        <w:t>所述连续双帧频偏特征向量用于表征 LoRa 设备本振频率偏差特性以及连续发射状态下的频率稳定性差异，并作为设备射频指纹特征输入后续分类识别模块。CFO反映设备振荡器的微小硬件差异，具有设备唯一性与长期稳定性。传统单帧 CFO 容易受信道和噪声干扰，稳定性不足。连续双帧可增强特征稳定性，更好地保留设备固有频偏特征，提升跨环境一致性与识别精度。</w:t>
      </w:r>
    </w:p>
    <w:p w14:paraId="1F56B444">
      <w:pPr>
        <w:spacing w:line="360" w:lineRule="auto"/>
        <w:ind w:firstLine="420"/>
        <w:rPr>
          <w:rFonts w:ascii="楷体" w:hAnsi="楷体" w:eastAsia="楷体"/>
          <w:sz w:val="28"/>
          <w:szCs w:val="28"/>
        </w:rPr>
      </w:pPr>
      <w:r>
        <w:rPr>
          <w:rFonts w:hint="eastAsia" w:ascii="楷体" w:hAnsi="楷体" w:eastAsia="楷体"/>
          <w:sz w:val="28"/>
          <w:szCs w:val="28"/>
        </w:rPr>
        <w:t>进一步的，所述步骤（3）具体包括：</w:t>
      </w:r>
    </w:p>
    <w:p w14:paraId="03AF95CD">
      <w:pPr>
        <w:numPr>
          <w:ilvl w:val="0"/>
          <w:numId w:val="9"/>
        </w:numPr>
        <w:spacing w:line="360" w:lineRule="auto"/>
        <w:ind w:firstLine="420"/>
        <w:rPr>
          <w:rFonts w:ascii="楷体" w:hAnsi="楷体" w:eastAsia="楷体"/>
          <w:sz w:val="28"/>
          <w:szCs w:val="28"/>
        </w:rPr>
      </w:pPr>
      <w:r>
        <w:rPr>
          <w:rFonts w:hint="eastAsia" w:ascii="楷体" w:hAnsi="楷体" w:eastAsia="楷体"/>
          <w:sz w:val="28"/>
          <w:szCs w:val="28"/>
        </w:rPr>
        <w:t>以步骤（23）输出的融合指纹特征向量F为输入，选取支持向量机（SVM）、随机森林（RF）、线性判别分析（LDA）和K近邻（KNN）共4个异构基础分类器，在训练集上独立训练，使各分类器均能输出设备类别的后验概率向量；</w:t>
      </w:r>
    </w:p>
    <w:p w14:paraId="257F0512">
      <w:pPr>
        <w:numPr>
          <w:ilvl w:val="0"/>
          <w:numId w:val="9"/>
        </w:numPr>
        <w:spacing w:line="360" w:lineRule="auto"/>
        <w:ind w:firstLine="420"/>
        <w:rPr>
          <w:rFonts w:ascii="楷体" w:hAnsi="楷体" w:eastAsia="楷体"/>
          <w:sz w:val="28"/>
          <w:szCs w:val="28"/>
        </w:rPr>
      </w:pPr>
      <w:r>
        <w:rPr>
          <w:rFonts w:hint="eastAsia" w:ascii="楷体" w:hAnsi="楷体" w:eastAsia="楷体"/>
          <w:sz w:val="28"/>
          <w:szCs w:val="28"/>
        </w:rPr>
        <w:t>静态权重与动态置信度联合估计：以各分类器在验证集上的识别准确率确定静态基权重，以各分类器当前预测熵值计算动态置信因子，归一化乘积作为联合权重，并根据信号质量动态调整不同维度特征在分类决策中的权重;</w:t>
      </w:r>
    </w:p>
    <w:p w14:paraId="6D80CA79">
      <w:pPr>
        <w:numPr>
          <w:ilvl w:val="0"/>
          <w:numId w:val="9"/>
        </w:numPr>
        <w:spacing w:line="360" w:lineRule="auto"/>
        <w:ind w:firstLine="420"/>
        <w:rPr>
          <w:rFonts w:ascii="楷体" w:hAnsi="楷体" w:eastAsia="楷体"/>
          <w:sz w:val="28"/>
          <w:szCs w:val="28"/>
        </w:rPr>
      </w:pPr>
      <w:r>
        <w:rPr>
          <w:rFonts w:hint="eastAsia" w:ascii="楷体" w:hAnsi="楷体" w:eastAsia="楷体"/>
          <w:sz w:val="28"/>
          <w:szCs w:val="28"/>
        </w:rPr>
        <w:t>加权概率融合与设备身份输出：对4个分类器输出的后验概率按联合权重加权求和，得到集成后验概率：</w:t>
      </w:r>
    </w:p>
    <w:p w14:paraId="6C772AEF">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m:sty m:val="p"/>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#(3)</m:t>
              </m:r>
              <m:ctrlPr>
                <w:rPr>
                  <w:rFonts w:ascii="Cambria Math" w:hAnsi="Cambria Math"/>
                  <w:sz w:val="28"/>
                  <w:szCs w:val="28"/>
                </w:rPr>
              </m:ctrlPr>
            </m:e>
          </m:eqArr>
        </m:oMath>
      </m:oMathPara>
    </w:p>
    <w:p w14:paraId="656DA561">
      <w:pPr>
        <w:spacing w:line="360" w:lineRule="auto"/>
        <w:rPr>
          <w:rFonts w:ascii="楷体" w:hAnsi="楷体" w:eastAsia="楷体"/>
          <w:sz w:val="28"/>
          <w:szCs w:val="28"/>
        </w:rPr>
      </w:pPr>
      <w:r>
        <w:rPr>
          <w:rFonts w:hint="eastAsia" w:ascii="楷体" w:hAnsi="楷体" w:eastAsia="楷体"/>
          <w:sz w:val="28"/>
          <w:szCs w:val="28"/>
        </w:rPr>
        <w:t>集成后验概率综合了所有基础分类器对各类别的判断，并按可靠性进行了差异化加权，有效降低了单一分类器失误对最终结果的影响。取集成后验概率最大的设备类别作为识别输出：</w:t>
      </w:r>
    </w:p>
    <w:p w14:paraId="2C64866E">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ĉ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p̄(c|F)#(4)</m:t>
              </m:r>
              <m:ctrlPr>
                <w:rPr>
                  <w:rFonts w:ascii="Cambria Math" w:hAnsi="Cambria Math"/>
                  <w:sz w:val="28"/>
                  <w:szCs w:val="28"/>
                </w:rPr>
              </m:ctrlPr>
            </m:e>
          </m:eqArr>
        </m:oMath>
      </m:oMathPara>
    </w:p>
    <w:p w14:paraId="55411909">
      <w:pPr>
        <w:numPr>
          <w:ilvl w:val="0"/>
          <w:numId w:val="9"/>
        </w:numPr>
        <w:spacing w:line="360" w:lineRule="auto"/>
        <w:ind w:firstLine="420"/>
        <w:rPr>
          <w:rFonts w:ascii="楷体" w:hAnsi="楷体" w:eastAsia="楷体"/>
          <w:sz w:val="28"/>
          <w:szCs w:val="28"/>
        </w:rPr>
      </w:pPr>
      <w:r>
        <w:rPr>
          <w:rFonts w:hint="eastAsia" w:ascii="楷体" w:hAnsi="楷体" w:eastAsia="楷体"/>
          <w:sz w:val="28"/>
          <w:szCs w:val="28"/>
        </w:rPr>
        <w:t>基于置信度的未知设备拒识机制：计算集成后验概率的最大值与次大值之差，结合双阈值判定，对未知设备或非法接入执行拒识，否则输出设备身份；在判别空间内执行多级分类逻辑，确保识别的准确性与鲁棒性想比与现有技术，该机制可以杜绝对模型数据库中不存在的新设备进行强制分类，造成网络安全上的影响。</w:t>
      </w:r>
    </w:p>
    <w:p w14:paraId="1416CE0A">
      <w:pPr>
        <w:spacing w:line="360" w:lineRule="auto"/>
        <w:ind w:firstLine="420"/>
        <w:rPr>
          <w:rFonts w:ascii="楷体" w:hAnsi="楷体" w:eastAsia="楷体"/>
          <w:sz w:val="28"/>
          <w:szCs w:val="28"/>
        </w:rPr>
      </w:pPr>
      <w:r>
        <w:rPr>
          <w:rFonts w:hint="eastAsia" w:ascii="楷体" w:hAnsi="楷体" w:eastAsia="楷体"/>
          <w:sz w:val="28"/>
          <w:szCs w:val="28"/>
        </w:rPr>
        <w:t>进一步的，所述步骤（31）异构基础分类器训练具体包括：</w:t>
      </w:r>
    </w:p>
    <w:p w14:paraId="5D8DF246">
      <w:pPr>
        <w:numPr>
          <w:ilvl w:val="0"/>
          <w:numId w:val="10"/>
        </w:numPr>
        <w:spacing w:line="360" w:lineRule="auto"/>
        <w:rPr>
          <w:rFonts w:ascii="楷体" w:hAnsi="楷体" w:eastAsia="楷体"/>
          <w:sz w:val="28"/>
          <w:szCs w:val="28"/>
        </w:rPr>
      </w:pPr>
      <w:r>
        <w:rPr>
          <w:rFonts w:hint="eastAsia" w:ascii="楷体" w:hAnsi="楷体" w:eastAsia="楷体"/>
          <w:sz w:val="28"/>
          <w:szCs w:val="28"/>
        </w:rPr>
        <w:t>支持向量机（SVM），采用径向基核函数建立非线性决策边界，通过Platt缩放将决策函数值转换为后验概率，适合高维小样本分类，</w:t>
      </w:r>
    </w:p>
    <w:p w14:paraId="0A467276">
      <w:pPr>
        <w:numPr>
          <w:ilvl w:val="0"/>
          <w:numId w:val="10"/>
        </w:numPr>
        <w:spacing w:line="360" w:lineRule="auto"/>
        <w:rPr>
          <w:rFonts w:ascii="楷体" w:hAnsi="楷体" w:eastAsia="楷体"/>
          <w:sz w:val="28"/>
          <w:szCs w:val="28"/>
        </w:rPr>
      </w:pPr>
      <w:r>
        <w:rPr>
          <w:rFonts w:hint="eastAsia" w:ascii="楷体" w:hAnsi="楷体" w:eastAsia="楷体"/>
          <w:sz w:val="28"/>
          <w:szCs w:val="28"/>
        </w:rPr>
        <w:t>随机森林（RF），由多棵决策树通过Bagging集成构成，以各类别票数比例输出后验概率，对噪声与特征波动具有良好鲁棒性，</w:t>
      </w:r>
    </w:p>
    <w:p w14:paraId="4AB43918">
      <w:pPr>
        <w:numPr>
          <w:ilvl w:val="0"/>
          <w:numId w:val="10"/>
        </w:numPr>
        <w:spacing w:line="360" w:lineRule="auto"/>
        <w:rPr>
          <w:rFonts w:ascii="楷体" w:hAnsi="楷体" w:eastAsia="楷体"/>
          <w:sz w:val="28"/>
          <w:szCs w:val="28"/>
        </w:rPr>
      </w:pPr>
      <w:r>
        <w:rPr>
          <w:rFonts w:hint="eastAsia" w:ascii="楷体" w:hAnsi="楷体" w:eastAsia="楷体"/>
          <w:sz w:val="28"/>
          <w:szCs w:val="28"/>
        </w:rPr>
        <w:t>线性判别分析（LDA），构建最大化类间散度与类内散度之比的线性投影，基于高斯后验概率进行分类，计算开销低且可解释性强，</w:t>
      </w:r>
    </w:p>
    <w:p w14:paraId="2208FB13">
      <w:pPr>
        <w:numPr>
          <w:ilvl w:val="0"/>
          <w:numId w:val="10"/>
        </w:numPr>
        <w:spacing w:line="360" w:lineRule="auto"/>
        <w:rPr>
          <w:rFonts w:ascii="楷体" w:hAnsi="楷体" w:eastAsia="楷体"/>
          <w:sz w:val="28"/>
          <w:szCs w:val="28"/>
        </w:rPr>
      </w:pPr>
      <w:r>
        <w:rPr>
          <w:rFonts w:hint="eastAsia" w:ascii="楷体" w:hAnsi="楷体" w:eastAsia="楷体"/>
          <w:sz w:val="28"/>
          <w:szCs w:val="28"/>
        </w:rPr>
        <w:t>K近邻分类器（KNN），采用马氏距离度量，以最近邻样本的类别分布估计后验概率，有效保留局部特征分布信息。上述四种分类器学习范式各异，保证了集成框架的多样性，有效降低各分类器共同出错的概率，</w:t>
      </w:r>
    </w:p>
    <w:p w14:paraId="6DFE0027">
      <w:pPr>
        <w:spacing w:line="360" w:lineRule="auto"/>
        <w:ind w:firstLine="420"/>
        <w:rPr>
          <w:rFonts w:ascii="楷体" w:hAnsi="楷体" w:eastAsia="楷体"/>
          <w:sz w:val="28"/>
          <w:szCs w:val="28"/>
        </w:rPr>
      </w:pPr>
      <w:r>
        <w:rPr>
          <w:rFonts w:hint="eastAsia" w:ascii="楷体" w:hAnsi="楷体" w:eastAsia="楷体"/>
          <w:sz w:val="28"/>
          <w:szCs w:val="28"/>
        </w:rPr>
        <w:t>所述步骤（32）静态权重与动态置信度联合估计具体包括：</w:t>
      </w:r>
    </w:p>
    <w:p w14:paraId="3FA5EC8E">
      <w:pPr>
        <w:numPr>
          <w:ilvl w:val="0"/>
          <w:numId w:val="11"/>
        </w:numPr>
        <w:spacing w:line="360" w:lineRule="auto"/>
        <w:rPr>
          <w:rFonts w:ascii="楷体" w:hAnsi="楷体" w:eastAsia="楷体"/>
          <w:sz w:val="28"/>
          <w:szCs w:val="28"/>
        </w:rPr>
      </w:pPr>
      <w:r>
        <w:rPr>
          <w:rFonts w:hint="eastAsia" w:ascii="楷体" w:hAnsi="楷体" w:eastAsia="楷体"/>
          <w:sz w:val="28"/>
          <w:szCs w:val="28"/>
        </w:rPr>
        <w:t>静态基权重计算：设第k个分类器在验证集上的识别准确率为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，其静态基权重定义为：</w:t>
      </w:r>
    </w:p>
    <w:p w14:paraId="75777BB1">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4</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#(5)</m:t>
              </m:r>
              <m:ctrlPr>
                <w:rPr>
                  <w:rFonts w:ascii="Cambria Math" w:hAnsi="Cambria Math"/>
                  <w:sz w:val="28"/>
                  <w:szCs w:val="28"/>
                </w:rPr>
              </m:ctrlPr>
            </m:e>
          </m:eqArr>
        </m:oMath>
      </m:oMathPara>
    </w:p>
    <w:p w14:paraId="0076BBDD">
      <w:pPr>
        <w:spacing w:line="360" w:lineRule="auto"/>
        <w:rPr>
          <w:rFonts w:ascii="楷体" w:hAnsi="楷体" w:eastAsia="楷体"/>
          <w:sz w:val="28"/>
          <w:szCs w:val="28"/>
        </w:rPr>
      </w:pPr>
      <w:r>
        <w:rPr>
          <w:rFonts w:hint="eastAsia" w:ascii="楷体" w:hAnsi="楷体" w:eastAsia="楷体"/>
          <w:sz w:val="28"/>
          <w:szCs w:val="28"/>
        </w:rPr>
        <w:t>静态基权重反映了各分类器在训练阶段的综合判别能力，</w:t>
      </w:r>
    </w:p>
    <w:p w14:paraId="7F4F280F">
      <w:pPr>
        <w:numPr>
          <w:ilvl w:val="0"/>
          <w:numId w:val="11"/>
        </w:numPr>
        <w:spacing w:line="360" w:lineRule="auto"/>
        <w:rPr>
          <w:rFonts w:ascii="楷体" w:hAnsi="楷体" w:eastAsia="楷体"/>
          <w:sz w:val="28"/>
          <w:szCs w:val="28"/>
        </w:rPr>
      </w:pPr>
      <w:r>
        <w:rPr>
          <w:rFonts w:hint="eastAsia" w:ascii="楷体" w:hAnsi="楷体" w:eastAsia="楷体"/>
          <w:sz w:val="28"/>
          <w:szCs w:val="28"/>
        </w:rPr>
        <w:t>预测熵计算：第k个分类器对当前输入样本F输出后验概率向量，计算其预测熵：</w:t>
      </w:r>
    </w:p>
    <w:p w14:paraId="58744D9F">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#(6)</m:t>
              </m:r>
              <m:ctrlPr>
                <w:rPr>
                  <w:rFonts w:ascii="Cambria Math" w:hAnsi="Cambria Math"/>
                  <w:sz w:val="28"/>
                  <w:szCs w:val="28"/>
                </w:rPr>
              </m:ctrlPr>
            </m:e>
          </m:eqArr>
        </m:oMath>
      </m:oMathPara>
    </w:p>
    <w:p w14:paraId="40ACC325">
      <w:pPr>
        <w:spacing w:line="360" w:lineRule="auto"/>
        <w:rPr>
          <w:rFonts w:ascii="楷体" w:hAnsi="楷体" w:eastAsia="楷体"/>
          <w:sz w:val="28"/>
          <w:szCs w:val="28"/>
        </w:rPr>
      </w:pPr>
      <w:r>
        <w:rPr>
          <w:rFonts w:hint="eastAsia" w:ascii="楷体" w:hAnsi="楷体" w:eastAsia="楷体"/>
          <w:sz w:val="28"/>
          <w:szCs w:val="28"/>
        </w:rPr>
        <w:t xml:space="preserve">其中M为已注册设备类别总数，预测熵 </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越小，表明分类器对某类别的置信越集中；越大则说明判断较为模糊，应赋予较低权重，</w:t>
      </w:r>
    </w:p>
    <w:p w14:paraId="631C4AA3">
      <w:pPr>
        <w:numPr>
          <w:ilvl w:val="0"/>
          <w:numId w:val="11"/>
        </w:numPr>
        <w:spacing w:line="360" w:lineRule="auto"/>
        <w:rPr>
          <w:rFonts w:ascii="楷体" w:hAnsi="楷体" w:eastAsia="楷体"/>
          <w:sz w:val="28"/>
          <w:szCs w:val="28"/>
        </w:rPr>
      </w:pPr>
      <w:r>
        <w:rPr>
          <w:rFonts w:hint="eastAsia" w:ascii="楷体" w:hAnsi="楷体" w:eastAsia="楷体"/>
          <w:sz w:val="28"/>
          <w:szCs w:val="28"/>
        </w:rPr>
        <w:t>动态置信因子计算：</w:t>
      </w:r>
    </w:p>
    <w:p w14:paraId="630113F3">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)#(7)</m:t>
              </m:r>
              <m:ctrlPr>
                <w:rPr>
                  <w:rFonts w:ascii="Cambria Math" w:hAnsi="Cambria Math"/>
                  <w:sz w:val="28"/>
                  <w:szCs w:val="28"/>
                </w:rPr>
              </m:ctrlPr>
            </m:e>
          </m:eqArr>
        </m:oMath>
      </m:oMathPara>
    </w:p>
    <w:p w14:paraId="7F1F2A18">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sz w:val="28"/>
            <w:szCs w:val="28"/>
          </w:rPr>
          <m:t>γ</m:t>
        </m:r>
        <m:r>
          <m:rPr/>
          <w:rPr>
            <w:rFonts w:ascii="Cambria Math" w:hAnsi="Cambria Math" w:cs="Cambria Math"/>
            <w:sz w:val="28"/>
            <w:szCs w:val="28"/>
          </w:rPr>
          <m:t>&gt;</m:t>
        </m:r>
        <m:r>
          <m:rPr/>
          <w:rPr>
            <w:rFonts w:ascii="Cambria Math" w:hAnsi="Cambria Math"/>
            <w:sz w:val="28"/>
            <w:szCs w:val="28"/>
          </w:rPr>
          <m:t>0</m:t>
        </m:r>
      </m:oMath>
      <w:r>
        <w:rPr>
          <w:rFonts w:hint="eastAsia" w:hAnsi="Cambria Math"/>
          <w:sz w:val="28"/>
          <w:szCs w:val="28"/>
        </w:rPr>
        <w:t xml:space="preserve"> </w:t>
      </w:r>
      <w:r>
        <w:rPr>
          <w:rFonts w:hint="eastAsia" w:ascii="楷体" w:hAnsi="楷体" w:eastAsia="楷体"/>
          <w:sz w:val="28"/>
          <w:szCs w:val="28"/>
        </w:rPr>
        <w:t>为超参数，控制置信因子对熵值的敏感程度。</w:t>
      </w:r>
    </w:p>
    <w:p w14:paraId="58A013B5">
      <w:pPr>
        <w:numPr>
          <w:ilvl w:val="0"/>
          <w:numId w:val="11"/>
        </w:numPr>
        <w:spacing w:line="360" w:lineRule="auto"/>
        <w:rPr>
          <w:rFonts w:ascii="楷体" w:hAnsi="楷体" w:eastAsia="楷体"/>
          <w:sz w:val="28"/>
          <w:szCs w:val="28"/>
        </w:rPr>
      </w:pPr>
      <w:r>
        <w:rPr>
          <w:rFonts w:hint="eastAsia" w:ascii="楷体" w:hAnsi="楷体" w:eastAsia="楷体"/>
          <w:sz w:val="28"/>
          <w:szCs w:val="28"/>
        </w:rPr>
        <w:t>联合权重归一化：</w:t>
      </w:r>
    </w:p>
    <w:p w14:paraId="6C67C235">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K</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#(8)</m:t>
              </m:r>
              <m:ctrlPr>
                <w:rPr>
                  <w:rFonts w:ascii="Cambria Math" w:hAnsi="Cambria Math"/>
                  <w:sz w:val="28"/>
                  <w:szCs w:val="28"/>
                </w:rPr>
              </m:ctrlPr>
            </m:e>
          </m:eqArr>
        </m:oMath>
      </m:oMathPara>
    </w:p>
    <w:p w14:paraId="68B8DB37">
      <w:pPr>
        <w:spacing w:line="360" w:lineRule="auto"/>
        <w:rPr>
          <w:rFonts w:ascii="楷体" w:hAnsi="楷体"/>
          <w:sz w:val="28"/>
          <w:szCs w:val="28"/>
        </w:rPr>
      </w:pPr>
      <w:r>
        <w:rPr>
          <w:rFonts w:hint="eastAsia" w:ascii="楷体" w:hAnsi="楷体" w:eastAsia="楷体"/>
          <w:sz w:val="28"/>
          <w:szCs w:val="28"/>
        </w:rPr>
        <w:t xml:space="preserve">联合权重 </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同时考虑了分类器的历史准确率（静态稳健性）与当前样本的预测确定性（动态置信度），使权重分配兼顾全局与局部信息。该方法可以综合考虑静态性能和动态输出信息，有效的进行权重分配有利于抑制低置信度对实验的分类的不利影响，使结果更可靠。</w:t>
      </w:r>
    </w:p>
    <w:p w14:paraId="1E01DEF0">
      <w:pPr>
        <w:spacing w:line="360" w:lineRule="auto"/>
        <w:ind w:firstLine="420"/>
        <w:rPr>
          <w:rFonts w:ascii="楷体" w:hAnsi="楷体" w:eastAsia="楷体"/>
          <w:sz w:val="28"/>
          <w:szCs w:val="28"/>
        </w:rPr>
      </w:pPr>
      <w:r>
        <w:rPr>
          <w:rFonts w:hint="eastAsia" w:ascii="楷体" w:hAnsi="楷体" w:eastAsia="楷体"/>
          <w:sz w:val="28"/>
          <w:szCs w:val="28"/>
        </w:rPr>
        <w:t>进一步，所述步骤（34）基于置信度的未知设备拒识机制具体包括：</w:t>
      </w:r>
    </w:p>
    <w:p w14:paraId="6165E440">
      <w:pPr>
        <w:numPr>
          <w:ilvl w:val="0"/>
          <w:numId w:val="12"/>
        </w:numPr>
        <w:spacing w:line="360" w:lineRule="auto"/>
        <w:rPr>
          <w:rFonts w:ascii="楷体" w:hAnsi="楷体" w:eastAsia="楷体"/>
          <w:sz w:val="28"/>
          <w:szCs w:val="28"/>
        </w:rPr>
      </w:pPr>
      <w:r>
        <w:rPr>
          <w:rFonts w:hint="eastAsia" w:ascii="楷体" w:hAnsi="楷体" w:eastAsia="楷体"/>
          <w:sz w:val="28"/>
          <w:szCs w:val="28"/>
        </w:rPr>
        <w:t>为实现对未知设备和非法接入的有效判别，在输出设备身份之前对集成后验概率进行双阈值拒识检验。定义类间置信差：</w:t>
      </w:r>
    </w:p>
    <w:p w14:paraId="5DD08752">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Δp = p̄(ĉ|F)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c≠ĉ</m:t>
                  </m:r>
                  <m:ctrlPr>
                    <w:rPr>
                      <w:rFonts w:ascii="Cambria Math" w:hAnsi="Cambria Math"/>
                      <w:i/>
                      <w:sz w:val="28"/>
                      <w:szCs w:val="28"/>
                    </w:rPr>
                  </m:ctrlPr>
                </m:sub>
              </m:sSub>
              <m:r>
                <m:rPr>
                  <m:sty m:val="p"/>
                </m:rPr>
                <w:rPr>
                  <w:rFonts w:ascii="Cambria Math" w:hAnsi="Cambria Math"/>
                  <w:sz w:val="28"/>
                  <w:szCs w:val="28"/>
                </w:rPr>
                <m:t xml:space="preserve"> p̄(c|F)#(9)</m:t>
              </m:r>
              <m:ctrlPr>
                <w:rPr>
                  <w:rFonts w:ascii="Cambria Math" w:hAnsi="Cambria Math"/>
                  <w:sz w:val="28"/>
                  <w:szCs w:val="28"/>
                </w:rPr>
              </m:ctrlPr>
            </m:e>
          </m:eqArr>
        </m:oMath>
      </m:oMathPara>
    </w:p>
    <w:p w14:paraId="039AF647">
      <w:pPr>
        <w:spacing w:line="360" w:lineRule="auto"/>
        <w:rPr>
          <w:rFonts w:ascii="楷体" w:hAnsi="楷体" w:eastAsia="楷体"/>
          <w:sz w:val="28"/>
          <w:szCs w:val="28"/>
        </w:rPr>
      </w:pPr>
      <w:r>
        <w:rPr>
          <w:rFonts w:hint="eastAsia" w:ascii="楷体" w:hAnsi="楷体" w:eastAsia="楷体"/>
          <w:sz w:val="28"/>
          <w:szCs w:val="28"/>
        </w:rPr>
        <w:t xml:space="preserve">类间置信差 </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度量最优类别相对于次优类别的置信优势，反映识别结果的区分度，</w:t>
      </w:r>
    </w:p>
    <w:p w14:paraId="2D74CF10">
      <w:pPr>
        <w:numPr>
          <w:ilvl w:val="0"/>
          <w:numId w:val="12"/>
        </w:numPr>
        <w:spacing w:line="360" w:lineRule="auto"/>
        <w:rPr>
          <w:rFonts w:ascii="楷体" w:hAnsi="楷体" w:eastAsia="楷体"/>
          <w:sz w:val="28"/>
          <w:szCs w:val="28"/>
        </w:rPr>
      </w:pPr>
      <w:r>
        <w:rPr>
          <w:rFonts w:hint="eastAsia" w:ascii="楷体" w:hAnsi="楷体" w:eastAsia="楷体"/>
          <w:sz w:val="28"/>
          <w:szCs w:val="28"/>
        </w:rPr>
        <w:t xml:space="preserve">拒识判决规则：若满足以下任一条件，则将当前样本判定为未知设备或非法接入：（i）绝对置信条件不满足，即 </w:t>
      </w:r>
      <m:oMath>
        <m:r>
          <m:rPr>
            <m:sty m:val="p"/>
          </m:rPr>
          <w:rPr>
            <w:rFonts w:hint="eastAsia" w:ascii="Cambria Math" w:hAnsi="Cambria Math" w:eastAsia="楷体"/>
            <w:sz w:val="28"/>
            <w:szCs w:val="28"/>
          </w:rPr>
          <m:t>p(ĉ|F)</m:t>
        </m:r>
      </m:oMath>
      <w:r>
        <w:rPr>
          <w:rFonts w:hint="eastAsia" w:hAnsi="Cambria Math" w:eastAsia="楷体"/>
          <w:sz w:val="28"/>
          <w:szCs w:val="28"/>
        </w:rPr>
        <w:t xml:space="preserve"> </w:t>
      </w:r>
      <w:r>
        <w:rPr>
          <w:rFonts w:hint="eastAsia" w:ascii="楷体" w:hAnsi="楷体" w:eastAsia="楷体"/>
          <w:sz w:val="28"/>
          <w:szCs w:val="28"/>
        </w:rPr>
        <w:t xml:space="preserve">小于预设绝对门限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1</m:t>
            </m:r>
            <m:ctrlPr>
              <w:rPr>
                <w:rFonts w:ascii="Cambria Math" w:hAnsi="Cambria Math"/>
                <w:i/>
                <w:sz w:val="28"/>
                <w:szCs w:val="28"/>
              </w:rPr>
            </m:ctrlPr>
          </m:sub>
        </m:sSub>
      </m:oMath>
      <w:r>
        <w:rPr>
          <w:rFonts w:hint="eastAsia" w:ascii="楷体" w:hAnsi="楷体" w:eastAsia="楷体"/>
          <w:sz w:val="28"/>
          <w:szCs w:val="28"/>
        </w:rPr>
        <w:t xml:space="preserve">；（ii）相对置信条件不满足，即 </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 xml:space="preserve">小于预设相对门限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 xml:space="preserve">，若两个条件均满足，则输出设备身份标识 </w:t>
      </w:r>
      <m:oMath>
        <m:r>
          <m:rPr>
            <m:sty m:val="p"/>
          </m:rPr>
          <w:rPr>
            <w:rFonts w:ascii="Cambria Math" w:hAnsi="Cambria Math"/>
            <w:sz w:val="28"/>
            <w:szCs w:val="28"/>
          </w:rPr>
          <m:t>ĉ</m:t>
        </m:r>
      </m:oMath>
      <w:r>
        <w:rPr>
          <w:rFonts w:hint="eastAsia" w:ascii="楷体" w:hAnsi="楷体" w:eastAsia="楷体"/>
          <w:sz w:val="28"/>
          <w:szCs w:val="28"/>
        </w:rPr>
        <w:t>。双阈值机制从绝对置信度与类间区分度两个维度联合判断，相比现有技术的单阈值方案对未知设备的拒识能力更强且误识率更低，并且判决机制简单，相对于深度学习等大模型应用相关算法，在保证准确的情况下，该方法更为轻量利于工程部署。</w:t>
      </w:r>
    </w:p>
    <w:p w14:paraId="6C6FD0EC">
      <w:pPr>
        <w:spacing w:line="360" w:lineRule="auto"/>
        <w:ind w:left="420"/>
        <w:rPr>
          <w:rFonts w:ascii="楷体" w:hAnsi="楷体" w:eastAsia="楷体"/>
          <w:sz w:val="28"/>
          <w:szCs w:val="28"/>
        </w:rPr>
      </w:pPr>
      <w:r>
        <w:rPr>
          <w:rFonts w:hint="eastAsia" w:ascii="楷体" w:hAnsi="楷体" w:eastAsia="楷体"/>
          <w:sz w:val="28"/>
          <w:szCs w:val="28"/>
        </w:rPr>
        <w:t>与现有技术相比，本发明具有如下有益效果：</w:t>
      </w:r>
    </w:p>
    <w:p w14:paraId="172EDCE9">
      <w:pPr>
        <w:numPr>
          <w:ilvl w:val="0"/>
          <w:numId w:val="13"/>
        </w:numPr>
        <w:spacing w:line="360" w:lineRule="auto"/>
        <w:rPr>
          <w:rFonts w:ascii="楷体" w:hAnsi="楷体" w:eastAsia="楷体"/>
          <w:sz w:val="28"/>
          <w:szCs w:val="28"/>
        </w:rPr>
      </w:pPr>
      <w:r>
        <w:rPr>
          <w:rFonts w:hint="eastAsia" w:ascii="楷体" w:hAnsi="楷体" w:eastAsia="楷体"/>
          <w:sz w:val="28"/>
          <w:szCs w:val="28"/>
        </w:rPr>
        <w:t>本发明通过构造连续双帧信号并提取融合双帧载波频偏（CFO）特征，能够在表征LoRa终端本振频率偏差的同时刻画短时间内的频率漂移特性，相较于传统单帧特征具有更好的稳定性和区分能力；</w:t>
      </w:r>
    </w:p>
    <w:p w14:paraId="60F8A540">
      <w:pPr>
        <w:numPr>
          <w:ilvl w:val="0"/>
          <w:numId w:val="13"/>
        </w:numPr>
        <w:spacing w:line="360" w:lineRule="auto"/>
        <w:rPr>
          <w:rFonts w:ascii="楷体" w:hAnsi="楷体" w:eastAsia="楷体"/>
          <w:sz w:val="28"/>
          <w:szCs w:val="28"/>
        </w:rPr>
      </w:pPr>
      <w:r>
        <w:rPr>
          <w:rFonts w:hint="eastAsia" w:ascii="楷体" w:hAnsi="楷体" w:eastAsia="楷体"/>
          <w:sz w:val="28"/>
          <w:szCs w:val="28"/>
        </w:rPr>
        <w:t>本发明在识别阶段引入由支持向量机、随机森林、线性判别分析及K近邻分类器构成的集成学习框架，并结合静态权重与动态置信度加权机制，实现多分类器协同决策，相较于单一分类器方法能够进一步提高LoRa终端身份识别的准确率与稳定性；</w:t>
      </w:r>
    </w:p>
    <w:p w14:paraId="5C53BD04">
      <w:pPr>
        <w:numPr>
          <w:ilvl w:val="0"/>
          <w:numId w:val="13"/>
        </w:numPr>
        <w:spacing w:line="360" w:lineRule="auto"/>
        <w:rPr>
          <w:rFonts w:ascii="楷体" w:hAnsi="楷体" w:eastAsia="楷体"/>
          <w:sz w:val="28"/>
          <w:szCs w:val="28"/>
        </w:rPr>
      </w:pPr>
      <w:r>
        <w:rPr>
          <w:rFonts w:hint="eastAsia" w:ascii="楷体" w:hAnsi="楷体" w:eastAsia="楷体"/>
          <w:sz w:val="28"/>
          <w:szCs w:val="28"/>
        </w:rPr>
        <w:t>本发明设置双阈值开集拒识机制，能够从绝对置信度和类间区分度两个维度对识别结果进行联合判定，从而实现对未知设备及非法接入行为的有效拒识，降低未知样本被误判为已注册设备的风险，提高系统安全性；</w:t>
      </w:r>
    </w:p>
    <w:p w14:paraId="640E5264">
      <w:pPr>
        <w:numPr>
          <w:ilvl w:val="0"/>
          <w:numId w:val="13"/>
        </w:numPr>
        <w:spacing w:line="360" w:lineRule="auto"/>
        <w:rPr>
          <w:rFonts w:ascii="楷体" w:hAnsi="楷体" w:eastAsia="楷体"/>
          <w:sz w:val="28"/>
          <w:szCs w:val="28"/>
        </w:rPr>
      </w:pPr>
      <w:r>
        <w:rPr>
          <w:rFonts w:hint="eastAsia" w:ascii="楷体" w:hAnsi="楷体" w:eastAsia="楷体"/>
          <w:sz w:val="28"/>
          <w:szCs w:val="28"/>
        </w:rPr>
        <w:t>实验结果表明，本发明方法在不同采集时间和不同环境条件下均具有较好的识别性能和鲁棒性；验证了所提出融合双帧载波频偏特征及集成学习方法的有效性和稳定性。</w:t>
      </w:r>
    </w:p>
    <w:p w14:paraId="77C1021E">
      <w:pPr>
        <w:numPr>
          <w:ilvl w:val="0"/>
          <w:numId w:val="13"/>
        </w:numPr>
        <w:spacing w:line="360" w:lineRule="auto"/>
        <w:rPr>
          <w:rFonts w:ascii="楷体" w:hAnsi="楷体" w:eastAsia="楷体"/>
          <w:sz w:val="28"/>
          <w:szCs w:val="28"/>
        </w:rPr>
      </w:pPr>
      <w:r>
        <w:rPr>
          <w:rFonts w:hint="eastAsia" w:ascii="楷体" w:hAnsi="楷体" w:eastAsia="楷体"/>
          <w:sz w:val="28"/>
          <w:szCs w:val="28"/>
        </w:rPr>
        <w:t>本发明以可解释的物理层特征及其统计建模为基础，相比于深度神经网络的大规模训练样本和算力成本，更适用于资源受限的 LoRa 网络安全接入场景。</w:t>
      </w:r>
    </w:p>
    <w:p w14:paraId="500F1351">
      <w:pPr>
        <w:spacing w:line="360" w:lineRule="auto"/>
        <w:rPr>
          <w:rFonts w:ascii="楷体" w:hAnsi="楷体" w:eastAsia="楷体"/>
          <w:b/>
          <w:sz w:val="28"/>
          <w:szCs w:val="28"/>
        </w:rPr>
      </w:pPr>
      <w:r>
        <w:rPr>
          <w:rFonts w:hint="eastAsia" w:ascii="楷体" w:hAnsi="楷体" w:eastAsia="楷体"/>
          <w:b/>
          <w:sz w:val="28"/>
          <w:szCs w:val="28"/>
        </w:rPr>
        <w:t>附图说明</w:t>
      </w:r>
    </w:p>
    <w:p w14:paraId="4C0CF4E5">
      <w:pPr>
        <w:spacing w:line="360" w:lineRule="auto"/>
        <w:ind w:firstLine="420"/>
        <w:rPr>
          <w:rFonts w:ascii="楷体" w:hAnsi="楷体" w:eastAsia="楷体"/>
          <w:sz w:val="28"/>
          <w:szCs w:val="28"/>
        </w:rPr>
      </w:pPr>
      <w:r>
        <w:rPr>
          <w:rFonts w:hint="eastAsia" w:ascii="楷体" w:hAnsi="楷体" w:eastAsia="楷体"/>
          <w:sz w:val="28"/>
          <w:szCs w:val="28"/>
        </w:rPr>
        <w:t>图1是总体架构图。</w:t>
      </w:r>
    </w:p>
    <w:p w14:paraId="5D2E9DD7">
      <w:pPr>
        <w:spacing w:line="360" w:lineRule="auto"/>
        <w:rPr>
          <w:rFonts w:ascii="楷体" w:hAnsi="楷体" w:eastAsia="楷体"/>
          <w:b/>
          <w:sz w:val="28"/>
          <w:szCs w:val="28"/>
        </w:rPr>
      </w:pPr>
      <w:r>
        <w:rPr>
          <w:rFonts w:hint="eastAsia" w:ascii="楷体" w:hAnsi="楷体" w:eastAsia="楷体"/>
          <w:b/>
          <w:sz w:val="28"/>
          <w:szCs w:val="28"/>
        </w:rPr>
        <w:t>具体实施方式</w:t>
      </w:r>
    </w:p>
    <w:p w14:paraId="6012F71C">
      <w:pPr>
        <w:spacing w:line="360" w:lineRule="auto"/>
        <w:ind w:firstLine="420"/>
        <w:rPr>
          <w:rFonts w:ascii="楷体" w:hAnsi="楷体" w:eastAsia="楷体"/>
          <w:sz w:val="28"/>
          <w:szCs w:val="28"/>
        </w:rPr>
      </w:pPr>
      <w:r>
        <w:rPr>
          <w:rFonts w:hint="eastAsia" w:ascii="楷体" w:hAnsi="楷体" w:eastAsia="楷体"/>
          <w:sz w:val="28"/>
          <w:szCs w:val="28"/>
        </w:rPr>
        <w:t>下面结合附图和具体实施方式，对本发明作进一步说明。本发明提出的一种基于连续双帧射频指纹的LoRa设备识别方法，通过构建连续双帧信号并提取融合载波频偏特征，实现对不同LoRa终端设备的可靠识别。应理解，下述实施方式仅用于说明本发明，而不用于限制本发明的保护范围。</w:t>
      </w:r>
    </w:p>
    <w:p w14:paraId="77BC4062">
      <w:pPr>
        <w:spacing w:line="360" w:lineRule="auto"/>
        <w:ind w:firstLine="562" w:firstLineChars="200"/>
        <w:rPr>
          <w:rFonts w:ascii="楷体" w:hAnsi="楷体" w:eastAsia="楷体"/>
          <w:b/>
          <w:bCs/>
          <w:sz w:val="28"/>
          <w:szCs w:val="28"/>
        </w:rPr>
      </w:pPr>
      <w:r>
        <w:rPr>
          <w:rFonts w:hint="eastAsia" w:ascii="楷体" w:hAnsi="楷体" w:eastAsia="楷体"/>
          <w:b/>
          <w:bCs/>
          <w:sz w:val="28"/>
          <w:szCs w:val="28"/>
          <w:lang w:val="zh-CN"/>
        </w:rPr>
        <w:t>实施例</w:t>
      </w:r>
      <w:r>
        <w:rPr>
          <w:rFonts w:hint="eastAsia" w:ascii="楷体" w:hAnsi="楷体" w:eastAsia="楷体"/>
          <w:b/>
          <w:bCs/>
          <w:sz w:val="28"/>
          <w:szCs w:val="28"/>
        </w:rPr>
        <w:t>1：</w:t>
      </w:r>
    </w:p>
    <w:p w14:paraId="333F2451">
      <w:pPr>
        <w:spacing w:line="360" w:lineRule="auto"/>
        <w:ind w:firstLine="560" w:firstLineChars="200"/>
        <w:rPr>
          <w:rFonts w:ascii="楷体" w:hAnsi="楷体" w:eastAsia="楷体"/>
          <w:sz w:val="28"/>
          <w:szCs w:val="28"/>
        </w:rPr>
      </w:pPr>
      <w:r>
        <w:rPr>
          <w:rFonts w:hint="eastAsia" w:ascii="楷体" w:hAnsi="楷体" w:eastAsia="楷体"/>
          <w:sz w:val="28"/>
          <w:szCs w:val="28"/>
        </w:rPr>
        <w:t>参见图1，本实施例提供一种融合双帧载波频偏特征的LoRa终端识别方法，包括信号采集与帧解析、连续双帧构造与特征提取，以及基于集成学习的设备识别与未知设备拒识。实验中，采用USRP设备采集LoRa信号，设置中心频率433 MHz、采样率1 MSps、带宽125 kHz；选取多台LoRa终端构建数据集，并划分为训练集、验证集和测试集。分类模型参数及拒识门限通过验证集进行标定。实验结果表明，本方法在设备识别准确率和未知设备拒识率方面均优于基于单帧特征或单一分类器的方法，其中准确率超过百分之九十五，具有较好的鲁棒性和稳定性。</w:t>
      </w:r>
    </w:p>
    <w:p w14:paraId="3C7B1E49">
      <w:pPr>
        <w:spacing w:line="360" w:lineRule="auto"/>
        <w:rPr>
          <w:rFonts w:ascii="楷体" w:hAnsi="楷体" w:eastAsia="楷体"/>
          <w:b/>
          <w:sz w:val="28"/>
          <w:szCs w:val="28"/>
        </w:rPr>
      </w:pPr>
      <w:r>
        <w:rPr>
          <w:rFonts w:hint="eastAsia" w:ascii="楷体" w:hAnsi="楷体" w:eastAsia="楷体"/>
          <w:b/>
          <w:sz w:val="28"/>
          <w:szCs w:val="28"/>
        </w:rPr>
        <w:t>1</w:t>
      </w:r>
      <w:r>
        <w:rPr>
          <w:rFonts w:ascii="楷体" w:hAnsi="楷体" w:eastAsia="楷体"/>
          <w:b/>
          <w:sz w:val="28"/>
          <w:szCs w:val="28"/>
        </w:rPr>
        <w:t xml:space="preserve"> </w:t>
      </w:r>
      <w:r>
        <w:rPr>
          <w:rFonts w:hint="eastAsia" w:ascii="楷体" w:hAnsi="楷体" w:eastAsia="楷体"/>
          <w:b/>
          <w:sz w:val="28"/>
          <w:szCs w:val="28"/>
        </w:rPr>
        <w:t>信号采集，</w:t>
      </w:r>
    </w:p>
    <w:p w14:paraId="4CCE75F6">
      <w:pPr>
        <w:spacing w:line="360" w:lineRule="auto"/>
        <w:ind w:firstLine="420"/>
        <w:rPr>
          <w:rFonts w:ascii="楷体" w:hAnsi="楷体" w:eastAsia="楷体"/>
          <w:sz w:val="28"/>
          <w:szCs w:val="28"/>
        </w:rPr>
      </w:pPr>
      <w:r>
        <w:rPr>
          <w:rFonts w:hint="eastAsia" w:ascii="楷体" w:hAnsi="楷体" w:eastAsia="楷体"/>
          <w:sz w:val="28"/>
          <w:szCs w:val="28"/>
        </w:rPr>
        <w:t>本部分主要对 LoRa 信号的采集过程以及连续双帧样本的构建方法进行说明，并在此基础上完成信号预处理与协同射频指纹特征提取，为后续设备识别提供基础数据和特征表示。</w:t>
      </w:r>
    </w:p>
    <w:p w14:paraId="1BF08A1B">
      <w:pPr>
        <w:spacing w:line="360" w:lineRule="auto"/>
        <w:ind w:firstLine="420"/>
        <w:rPr>
          <w:rFonts w:ascii="楷体" w:hAnsi="楷体" w:eastAsia="楷体"/>
          <w:sz w:val="28"/>
          <w:szCs w:val="28"/>
        </w:rPr>
      </w:pPr>
      <w:r>
        <w:rPr>
          <w:rFonts w:hint="eastAsia" w:ascii="楷体" w:hAnsi="楷体" w:eastAsia="楷体"/>
          <w:sz w:val="28"/>
          <w:szCs w:val="28"/>
        </w:rPr>
        <w:t>本实施例中，LoRa无线信号通过软件无线电平台进行采集。接收端采用软件无线电设备 USRP N210 进行射频信号接收，并利用 GNU Radio 搭建信号采集与处理流程。</w:t>
      </w:r>
    </w:p>
    <w:p w14:paraId="6D1061A1">
      <w:pPr>
        <w:spacing w:line="360" w:lineRule="auto"/>
        <w:ind w:firstLine="420"/>
        <w:rPr>
          <w:rFonts w:ascii="楷体" w:hAnsi="楷体" w:eastAsia="楷体"/>
          <w:sz w:val="28"/>
          <w:szCs w:val="28"/>
        </w:rPr>
      </w:pPr>
      <w:r>
        <w:rPr>
          <w:rFonts w:hint="eastAsia" w:ascii="楷体" w:hAnsi="楷体" w:eastAsia="楷体"/>
          <w:sz w:val="28"/>
          <w:szCs w:val="28"/>
        </w:rPr>
        <w:t>在信号采集过程中，将接收设备的中心频率设置为433 MHz，采样率设置为1 MSps，并配置LoRa通信带宽为125 kHz。通过GNU Radio流程图构建信号采集模块，对无线信道中的LoRa信号进行连续接收，并将接收到的原始I/Q信号数据保存为数字文件。接收端获得的复数基带信号可表示为：</w:t>
      </w:r>
    </w:p>
    <w:p w14:paraId="1C9218BF">
      <w:pPr>
        <w:spacing w:line="360" w:lineRule="auto"/>
        <w:ind w:firstLine="420"/>
        <w:rPr>
          <w:rFonts w:hAnsi="Cambria Math" w:eastAsia="楷体"/>
          <w:sz w:val="28"/>
          <w:szCs w:val="28"/>
        </w:rPr>
      </w:pPr>
      <m:oMathPara>
        <m:oMath>
          <m:eqArr>
            <m:eqArrPr>
              <m:maxDist m:val="1"/>
              <m:ctrlPr>
                <w:rPr>
                  <w:rFonts w:ascii="Cambria Math" w:hAnsi="Cambria Math" w:eastAsia="楷体"/>
                  <w:sz w:val="28"/>
                  <w:szCs w:val="28"/>
                </w:rPr>
              </m:ctrlPr>
            </m:eqArrPr>
            <m:e>
              <m:r>
                <m:rPr/>
                <w:rPr>
                  <w:rFonts w:ascii="Cambria Math" w:hAnsi="Cambria Math" w:eastAsia="楷体"/>
                  <w:sz w:val="28"/>
                </w:rPr>
                <m:t>r(n)=I(n)+jQ(n)</m:t>
              </m:r>
              <m:r>
                <m:rPr>
                  <m:sty m:val="p"/>
                </m:rPr>
                <w:rPr>
                  <w:rFonts w:ascii="Cambria Math" w:hAnsi="Cambria Math" w:eastAsia="楷体"/>
                  <w:sz w:val="28"/>
                  <w:szCs w:val="28"/>
                </w:rPr>
                <m:t>#(1)</m:t>
              </m:r>
              <m:ctrlPr>
                <w:rPr>
                  <w:rFonts w:ascii="Cambria Math" w:hAnsi="Cambria Math" w:eastAsia="楷体"/>
                  <w:sz w:val="28"/>
                  <w:szCs w:val="28"/>
                </w:rPr>
              </m:ctrlPr>
            </m:e>
          </m:eqArr>
        </m:oMath>
      </m:oMathPara>
    </w:p>
    <w:p w14:paraId="7EBE08C4">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eastAsia="楷体"/>
            <w:sz w:val="28"/>
            <w:szCs w:val="28"/>
          </w:rPr>
          <m:t>I(n)</m:t>
        </m:r>
      </m:oMath>
      <w:r>
        <w:rPr>
          <w:rFonts w:hint="eastAsia" w:hAnsi="Cambria Math" w:eastAsia="楷体"/>
          <w:sz w:val="28"/>
          <w:szCs w:val="28"/>
        </w:rPr>
        <w:t xml:space="preserve"> </w:t>
      </w:r>
      <w:r>
        <w:rPr>
          <w:rFonts w:hint="eastAsia" w:ascii="楷体" w:hAnsi="楷体" w:eastAsia="楷体"/>
          <w:sz w:val="28"/>
          <w:szCs w:val="28"/>
        </w:rPr>
        <w:t>为同相分量，</w:t>
      </w:r>
      <m:oMath>
        <m:r>
          <m:rPr/>
          <w:rPr>
            <w:rFonts w:ascii="Cambria Math" w:hAnsi="Cambria Math" w:eastAsia="楷体"/>
            <w:sz w:val="28"/>
            <w:szCs w:val="28"/>
          </w:rPr>
          <m:t>Q(n)</m:t>
        </m:r>
      </m:oMath>
      <w:r>
        <w:rPr>
          <w:rFonts w:hint="eastAsia" w:hAnsi="Cambria Math" w:eastAsia="楷体"/>
          <w:sz w:val="28"/>
          <w:szCs w:val="28"/>
        </w:rPr>
        <w:t xml:space="preserve"> </w:t>
      </w:r>
      <w:r>
        <w:rPr>
          <w:rFonts w:hint="eastAsia" w:ascii="楷体" w:hAnsi="楷体" w:eastAsia="楷体"/>
          <w:sz w:val="28"/>
          <w:szCs w:val="28"/>
        </w:rPr>
        <w:t>为正交分量。</w:t>
      </w:r>
    </w:p>
    <w:p w14:paraId="520C02E2">
      <w:pPr>
        <w:spacing w:line="360" w:lineRule="auto"/>
        <w:ind w:firstLine="420"/>
        <w:rPr>
          <w:rFonts w:ascii="楷体" w:hAnsi="楷体" w:eastAsia="楷体"/>
          <w:sz w:val="28"/>
          <w:szCs w:val="28"/>
        </w:rPr>
      </w:pPr>
      <w:r>
        <w:rPr>
          <w:rFonts w:hint="eastAsia" w:ascii="楷体" w:hAnsi="楷体" w:eastAsia="楷体"/>
          <w:sz w:val="28"/>
          <w:szCs w:val="28"/>
        </w:rPr>
        <w:t>在信号解析阶段，对开源模块 gr-lora 进行修改，使系统能够在采集信号的同时完成LoRa帧解析，将解析后的信号按照帧进行保存。具体地，对采集得到的连续信号进行 LoRa 帧结构解析，根据 LoRa 前导码所具有的重复 Chirp 结构检测帧起始位置。通过相关检测方法计算接收信号与本地参考 Chirp 信号之间的相关值：</w:t>
      </w:r>
    </w:p>
    <w:p w14:paraId="204C1518">
      <w:pPr>
        <w:spacing w:line="360" w:lineRule="auto"/>
        <w:ind w:firstLine="420"/>
        <w:rPr>
          <w:rFonts w:hAnsi="Cambria Math" w:eastAsia="楷体"/>
          <w:sz w:val="28"/>
          <w:szCs w:val="28"/>
        </w:rPr>
      </w:pPr>
      <m:oMathPara>
        <m:oMath>
          <m:eqArr>
            <m:eqArrPr>
              <m:maxDist m:val="1"/>
              <m:ctrlPr>
                <w:rPr>
                  <w:rFonts w:ascii="Cambria Math" w:hAnsi="Cambria Math" w:eastAsia="楷体"/>
                  <w:sz w:val="28"/>
                  <w:szCs w:val="28"/>
                </w:rPr>
              </m:ctrlPr>
            </m:eqArrPr>
            <m:e>
              <m:r>
                <m:rPr/>
                <w:rPr>
                  <w:rFonts w:ascii="Cambria Math" w:hAnsi="Cambria Math" w:eastAsia="楷体"/>
                  <w:sz w:val="28"/>
                  <w:szCs w:val="28"/>
                </w:rPr>
                <m:t>C(k)=</m:t>
              </m:r>
              <m:nary>
                <m:naryPr>
                  <m:chr m:val="∑"/>
                  <m:limLoc m:val="undOvr"/>
                  <m:ctrlPr>
                    <w:rPr>
                      <w:rFonts w:ascii="Cambria Math" w:hAnsi="Cambria Math" w:eastAsia="楷体"/>
                      <w:i/>
                      <w:sz w:val="28"/>
                      <w:szCs w:val="28"/>
                    </w:rPr>
                  </m:ctrlPr>
                </m:naryPr>
                <m:sub>
                  <m:r>
                    <m:rPr/>
                    <w:rPr>
                      <w:rFonts w:ascii="Cambria Math" w:hAnsi="Cambria Math" w:eastAsia="楷体"/>
                      <w:sz w:val="28"/>
                      <w:szCs w:val="28"/>
                    </w:rPr>
                    <m:t>n=0</m:t>
                  </m:r>
                  <m:ctrlPr>
                    <w:rPr>
                      <w:rFonts w:ascii="Cambria Math" w:hAnsi="Cambria Math" w:eastAsia="楷体"/>
                      <w:i/>
                      <w:sz w:val="28"/>
                      <w:szCs w:val="28"/>
                    </w:rPr>
                  </m:ctrlPr>
                </m:sub>
                <m:sup>
                  <m:r>
                    <m:rPr/>
                    <w:rPr>
                      <w:rFonts w:ascii="Cambria Math" w:hAnsi="Cambria Math" w:eastAsia="楷体"/>
                      <w:sz w:val="28"/>
                      <w:szCs w:val="28"/>
                    </w:rPr>
                    <m:t>N−1</m:t>
                  </m:r>
                  <m:ctrlPr>
                    <w:rPr>
                      <w:rFonts w:ascii="Cambria Math" w:hAnsi="Cambria Math" w:eastAsia="楷体"/>
                      <w:i/>
                      <w:sz w:val="28"/>
                      <w:szCs w:val="28"/>
                    </w:rPr>
                  </m:ctrlPr>
                </m:sup>
                <m:e>
                  <m:r>
                    <m:rPr/>
                    <w:rPr>
                      <w:rFonts w:ascii="Cambria Math" w:hAnsi="Cambria Math" w:eastAsia="楷体"/>
                      <w:sz w:val="28"/>
                      <w:szCs w:val="28"/>
                    </w:rPr>
                    <m:t>r(n)</m:t>
                  </m:r>
                  <m:sSup>
                    <m:sSupPr>
                      <m:ctrlPr>
                        <w:rPr>
                          <w:rFonts w:ascii="Cambria Math" w:hAnsi="Cambria Math" w:eastAsia="楷体"/>
                          <w:i/>
                          <w:sz w:val="28"/>
                          <w:szCs w:val="28"/>
                        </w:rPr>
                      </m:ctrlPr>
                    </m:sSupPr>
                    <m:e>
                      <m:r>
                        <m:rPr/>
                        <w:rPr>
                          <w:rFonts w:ascii="Cambria Math" w:hAnsi="Cambria Math" w:eastAsia="楷体"/>
                          <w:sz w:val="28"/>
                          <w:szCs w:val="28"/>
                        </w:rPr>
                        <m:t>s</m:t>
                      </m:r>
                      <m:ctrlPr>
                        <w:rPr>
                          <w:rFonts w:ascii="Cambria Math" w:hAnsi="Cambria Math" w:eastAsia="楷体"/>
                          <w:i/>
                          <w:sz w:val="28"/>
                          <w:szCs w:val="28"/>
                        </w:rPr>
                      </m:ctrlPr>
                    </m:e>
                    <m:sup>
                      <m:r>
                        <m:rPr/>
                        <w:rPr>
                          <w:rFonts w:ascii="Cambria Math" w:hAnsi="Cambria Math" w:eastAsia="楷体"/>
                          <w:sz w:val="28"/>
                          <w:szCs w:val="28"/>
                        </w:rPr>
                        <m:t>∗</m:t>
                      </m:r>
                      <m:ctrlPr>
                        <w:rPr>
                          <w:rFonts w:ascii="Cambria Math" w:hAnsi="Cambria Math" w:eastAsia="楷体"/>
                          <w:i/>
                          <w:sz w:val="28"/>
                          <w:szCs w:val="28"/>
                        </w:rPr>
                      </m:ctrlPr>
                    </m:sup>
                  </m:sSup>
                  <m:r>
                    <m:rPr/>
                    <w:rPr>
                      <w:rFonts w:ascii="Cambria Math" w:hAnsi="Cambria Math" w:eastAsia="楷体"/>
                      <w:sz w:val="28"/>
                      <w:szCs w:val="28"/>
                    </w:rPr>
                    <m:t>(n−k)</m:t>
                  </m:r>
                  <m:ctrlPr>
                    <w:rPr>
                      <w:rFonts w:ascii="Cambria Math" w:hAnsi="Cambria Math" w:eastAsia="楷体"/>
                      <w:i/>
                      <w:sz w:val="28"/>
                      <w:szCs w:val="28"/>
                    </w:rPr>
                  </m:ctrlPr>
                </m:e>
              </m:nary>
              <m:r>
                <m:rPr>
                  <m:sty m:val="p"/>
                </m:rPr>
                <w:rPr>
                  <w:rFonts w:ascii="Cambria Math" w:hAnsi="Cambria Math" w:eastAsia="楷体"/>
                  <w:sz w:val="28"/>
                  <w:szCs w:val="28"/>
                </w:rPr>
                <m:t>#(2)</m:t>
              </m:r>
              <m:ctrlPr>
                <w:rPr>
                  <w:rFonts w:ascii="Cambria Math" w:hAnsi="Cambria Math" w:eastAsia="楷体"/>
                  <w:sz w:val="28"/>
                  <w:szCs w:val="28"/>
                </w:rPr>
              </m:ctrlPr>
            </m:e>
          </m:eqArr>
        </m:oMath>
      </m:oMathPara>
    </w:p>
    <w:p w14:paraId="50B37DB2">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eastAsia="楷体"/>
            <w:sz w:val="28"/>
            <w:szCs w:val="28"/>
          </w:rPr>
          <m:t>s(n)</m:t>
        </m:r>
      </m:oMath>
      <w:r>
        <w:rPr>
          <w:rFonts w:hint="eastAsia" w:ascii="楷体" w:hAnsi="楷体" w:eastAsia="楷体"/>
          <w:sz w:val="28"/>
          <w:szCs w:val="28"/>
        </w:rPr>
        <w:t xml:space="preserve"> 为本地参考 Chirp 信号，当 </w:t>
      </w:r>
      <m:oMath>
        <m:r>
          <m:rPr/>
          <w:rPr>
            <w:rFonts w:ascii="Cambria Math" w:hAnsi="Cambria Math" w:eastAsia="楷体"/>
            <w:sz w:val="28"/>
            <w:szCs w:val="28"/>
          </w:rPr>
          <m:t>C(k)</m:t>
        </m:r>
      </m:oMath>
      <w:r>
        <w:rPr>
          <w:rFonts w:hint="eastAsia" w:ascii="楷体" w:hAnsi="楷体" w:eastAsia="楷体"/>
          <w:sz w:val="28"/>
          <w:szCs w:val="28"/>
        </w:rPr>
        <w:t xml:space="preserve"> 取得最大值时确定 LoRa 帧起始位置，从而解析出完整的 LoRa 信号帧。通过将信号采集模块与帧解析模块进行整合，可以实现信号采集与帧解析的一体化处理。</w:t>
      </w:r>
    </w:p>
    <w:p w14:paraId="29D665AA">
      <w:pPr>
        <w:spacing w:line="360" w:lineRule="auto"/>
        <w:ind w:firstLine="420"/>
        <w:rPr>
          <w:rFonts w:ascii="楷体" w:hAnsi="楷体" w:eastAsia="楷体"/>
          <w:sz w:val="28"/>
          <w:szCs w:val="28"/>
        </w:rPr>
      </w:pPr>
      <w:r>
        <w:rPr>
          <w:rFonts w:hint="eastAsia" w:ascii="楷体" w:hAnsi="楷体" w:eastAsia="楷体"/>
          <w:sz w:val="28"/>
          <w:szCs w:val="28"/>
        </w:rPr>
        <w:t>在发射端，使用多种型号的LoRa终端设备进行信号发射，并通过 Arduino IDE 编写设备控制程序，实现设备连续发送数据帧。不同设备统一设置通信参数，包括扩频因子、带宽以及载波频率，以保证在相同通信条件下进行实验。</w:t>
      </w:r>
    </w:p>
    <w:p w14:paraId="44898C0B">
      <w:pPr>
        <w:spacing w:line="360" w:lineRule="auto"/>
        <w:ind w:firstLine="420"/>
        <w:rPr>
          <w:rFonts w:ascii="楷体" w:hAnsi="楷体" w:eastAsia="楷体"/>
          <w:sz w:val="28"/>
          <w:szCs w:val="28"/>
        </w:rPr>
      </w:pPr>
      <w:r>
        <w:rPr>
          <w:rFonts w:hint="eastAsia" w:ascii="楷体" w:hAnsi="楷体" w:eastAsia="楷体"/>
          <w:sz w:val="28"/>
          <w:szCs w:val="28"/>
        </w:rPr>
        <w:t>通过上述方式，可以采集到来自不同设备的大量LoRa信号数据，为后续射频指纹特征提取提供数据基础。</w:t>
      </w:r>
    </w:p>
    <w:p w14:paraId="314BC5E7">
      <w:pPr>
        <w:spacing w:line="360" w:lineRule="auto"/>
        <w:rPr>
          <w:rFonts w:ascii="楷体" w:hAnsi="楷体" w:eastAsia="楷体"/>
          <w:b/>
          <w:sz w:val="28"/>
          <w:szCs w:val="28"/>
        </w:rPr>
      </w:pPr>
      <w:r>
        <w:rPr>
          <w:rFonts w:hint="eastAsia" w:ascii="楷体" w:hAnsi="楷体" w:eastAsia="楷体"/>
          <w:b/>
          <w:sz w:val="28"/>
          <w:szCs w:val="28"/>
        </w:rPr>
        <w:t>2 连续双帧原始特征构建，</w:t>
      </w:r>
    </w:p>
    <w:p w14:paraId="2CF623D9">
      <w:pPr>
        <w:spacing w:line="360" w:lineRule="auto"/>
        <w:ind w:firstLine="420"/>
        <w:rPr>
          <w:rFonts w:ascii="楷体" w:hAnsi="楷体" w:eastAsia="楷体"/>
          <w:b/>
          <w:sz w:val="28"/>
          <w:szCs w:val="28"/>
        </w:rPr>
      </w:pPr>
      <w:r>
        <w:rPr>
          <w:rFonts w:hint="eastAsia" w:ascii="楷体" w:hAnsi="楷体" w:eastAsia="楷体"/>
          <w:b/>
          <w:sz w:val="28"/>
          <w:szCs w:val="28"/>
        </w:rPr>
        <w:t>2.1连续双帧构造，</w:t>
      </w:r>
    </w:p>
    <w:p w14:paraId="0005939F">
      <w:pPr>
        <w:spacing w:line="360" w:lineRule="auto"/>
        <w:ind w:firstLine="420"/>
        <w:rPr>
          <w:rFonts w:ascii="楷体" w:hAnsi="楷体" w:eastAsia="楷体"/>
          <w:sz w:val="28"/>
          <w:szCs w:val="28"/>
        </w:rPr>
      </w:pPr>
      <w:r>
        <w:rPr>
          <w:rFonts w:hint="eastAsia" w:ascii="楷体" w:hAnsi="楷体" w:eastAsia="楷体"/>
          <w:sz w:val="28"/>
          <w:szCs w:val="28"/>
        </w:rPr>
        <w:t>在完成信号采集与 LoRa 单帧解析后，可以获得按时间顺序排列的单帧 LoRa 信号。考虑到同一 LoRa 终端在实际通信过程中通常连续发送多个数据帧，相邻两帧之间的时间间隔较短，因此其在短时间内通常经历近似一致的信道条件，并保留较强的同源硬件特性。</w:t>
      </w:r>
    </w:p>
    <w:p w14:paraId="1B73602F">
      <w:pPr>
        <w:spacing w:line="360" w:lineRule="auto"/>
        <w:ind w:firstLine="420"/>
        <w:rPr>
          <w:rFonts w:ascii="楷体" w:hAnsi="楷体" w:eastAsia="楷体"/>
          <w:sz w:val="28"/>
          <w:szCs w:val="28"/>
        </w:rPr>
      </w:pPr>
      <w:r>
        <w:rPr>
          <w:rFonts w:hint="eastAsia" w:ascii="楷体" w:hAnsi="楷体" w:eastAsia="楷体"/>
          <w:sz w:val="28"/>
          <w:szCs w:val="28"/>
        </w:rPr>
        <w:t>基于上述特点，本实施例按照时间顺序将来自同一设备的相邻两帧信号组合构成一个连续双帧样本，其表示为：</w:t>
      </w:r>
    </w:p>
    <w:p w14:paraId="02FE3471">
      <w:pPr>
        <w:spacing w:line="360" w:lineRule="auto"/>
        <w:ind w:firstLine="420"/>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S</m:t>
                  </m:r>
                  <m:ctrlPr>
                    <w:rPr>
                      <w:rFonts w:ascii="Cambria Math" w:hAnsi="Cambria Math"/>
                      <w:i/>
                      <w:sz w:val="28"/>
                      <w:szCs w:val="28"/>
                    </w:rPr>
                  </m:ctrlPr>
                </m:e>
                <m:sub>
                  <m:r>
                    <m:rPr/>
                    <w:rPr>
                      <w:rFonts w:ascii="Cambria Math" w:hAnsi="Cambria Math"/>
                      <w:sz w:val="28"/>
                      <w:szCs w:val="28"/>
                    </w:rPr>
                    <m:t>pair</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S</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S</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r>
                <m:rPr/>
                <w:rPr>
                  <w:rFonts w:ascii="Cambria Math" w:hAnsi="Cambria Math"/>
                  <w:sz w:val="28"/>
                  <w:szCs w:val="28"/>
                </w:rPr>
                <m:t>}</m:t>
              </m:r>
              <m:r>
                <m:rPr>
                  <m:sty m:val="p"/>
                </m:rPr>
                <w:rPr>
                  <w:rFonts w:ascii="Cambria Math" w:hAnsi="Cambria Math"/>
                  <w:sz w:val="28"/>
                  <w:szCs w:val="28"/>
                </w:rPr>
                <m:t>#(3)</m:t>
              </m:r>
              <m:ctrlPr>
                <w:rPr>
                  <w:rFonts w:ascii="Cambria Math" w:hAnsi="Cambria Math"/>
                  <w:sz w:val="28"/>
                  <w:szCs w:val="28"/>
                </w:rPr>
              </m:ctrlPr>
            </m:e>
          </m:eqArr>
        </m:oMath>
      </m:oMathPara>
    </w:p>
    <w:p w14:paraId="3A37CAB5">
      <w:pPr>
        <w:spacing w:line="360" w:lineRule="auto"/>
        <w:rPr>
          <w:rFonts w:ascii="楷体" w:hAnsi="楷体" w:eastAsia="楷体"/>
          <w:sz w:val="28"/>
          <w:szCs w:val="28"/>
        </w:rPr>
      </w:pPr>
      <w:r>
        <w:rPr>
          <w:rFonts w:hint="eastAsia" w:ascii="楷体" w:hAnsi="楷体" w:eastAsia="楷体"/>
          <w:sz w:val="28"/>
          <w:szCs w:val="28"/>
        </w:rPr>
        <w:t xml:space="preserve">其中 </w:t>
      </w:r>
      <m:oMath>
        <m:sSub>
          <m:sSubPr>
            <m:ctrlPr>
              <w:rPr>
                <w:rFonts w:ascii="Cambria Math" w:hAnsi="Cambria Math"/>
                <w:i/>
                <w:sz w:val="28"/>
                <w:szCs w:val="28"/>
              </w:rPr>
            </m:ctrlPr>
          </m:sSubPr>
          <m:e>
            <m:r>
              <m:rPr/>
              <w:rPr>
                <w:rFonts w:ascii="Cambria Math" w:hAnsi="Cambria Math"/>
                <w:sz w:val="28"/>
                <w:szCs w:val="28"/>
              </w:rPr>
              <m:t>S</m:t>
            </m:r>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表示第一帧信号，</w:t>
      </w:r>
      <m:oMath>
        <m:sSub>
          <m:sSubPr>
            <m:ctrlPr>
              <w:rPr>
                <w:rFonts w:ascii="Cambria Math" w:hAnsi="Cambria Math"/>
                <w:i/>
                <w:sz w:val="28"/>
                <w:szCs w:val="28"/>
              </w:rPr>
            </m:ctrlPr>
          </m:sSubPr>
          <m:e>
            <m:r>
              <m:rPr/>
              <w:rPr>
                <w:rFonts w:ascii="Cambria Math" w:hAnsi="Cambria Math"/>
                <w:sz w:val="28"/>
                <w:szCs w:val="28"/>
              </w:rPr>
              <m:t>S</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表示第二帧信号。</w:t>
      </w:r>
    </w:p>
    <w:p w14:paraId="53BBAACC">
      <w:pPr>
        <w:spacing w:line="360" w:lineRule="auto"/>
        <w:ind w:firstLine="420"/>
        <w:rPr>
          <w:rFonts w:ascii="楷体" w:hAnsi="楷体" w:eastAsia="楷体"/>
          <w:sz w:val="28"/>
          <w:szCs w:val="28"/>
        </w:rPr>
      </w:pPr>
      <w:r>
        <w:rPr>
          <w:rFonts w:hint="eastAsia" w:ascii="楷体" w:hAnsi="楷体" w:eastAsia="楷体"/>
          <w:sz w:val="28"/>
          <w:szCs w:val="28"/>
        </w:rPr>
        <w:t>在数据组织过程中，系统按照设备编号对双帧样本进行分类存储，并构建射频指纹数据库。连续双帧结构不仅能够保留单帧内部的设备射频指纹信息，而且能够表征相邻两帧之间在频率与相位层面的关联变化特征。由于双帧在短时间内具有相近的传播环境，而设备本振频率误差及硬件非理想特性在双帧之间保持相关，因此连续双帧样本能够更稳定地刻画设备硬件特性，为后续协同射频指纹特征提取提供基础。</w:t>
      </w:r>
    </w:p>
    <w:p w14:paraId="64D41378">
      <w:pPr>
        <w:spacing w:line="360" w:lineRule="auto"/>
        <w:ind w:firstLine="420"/>
        <w:rPr>
          <w:rFonts w:ascii="楷体" w:hAnsi="楷体" w:eastAsia="楷体"/>
          <w:b/>
          <w:sz w:val="28"/>
          <w:szCs w:val="28"/>
        </w:rPr>
      </w:pPr>
      <w:r>
        <w:rPr>
          <w:rFonts w:hint="eastAsia" w:ascii="楷体" w:hAnsi="楷体" w:eastAsia="楷体"/>
          <w:b/>
          <w:sz w:val="28"/>
          <w:szCs w:val="28"/>
        </w:rPr>
        <w:t>2.2信号预处理，</w:t>
      </w:r>
    </w:p>
    <w:p w14:paraId="7FA9C86E">
      <w:pPr>
        <w:spacing w:line="360" w:lineRule="auto"/>
        <w:ind w:firstLine="420"/>
        <w:rPr>
          <w:rFonts w:ascii="楷体" w:hAnsi="楷体" w:eastAsia="楷体"/>
          <w:sz w:val="28"/>
          <w:szCs w:val="28"/>
        </w:rPr>
      </w:pPr>
      <w:r>
        <w:rPr>
          <w:rFonts w:hint="eastAsia" w:ascii="楷体" w:hAnsi="楷体" w:eastAsia="楷体"/>
          <w:sz w:val="28"/>
          <w:szCs w:val="28"/>
        </w:rPr>
        <w:t>由于无线信号在传播和接收过程中可能受到信道噪声、频率偏移以及设备硬件误差等因素影响，因此在进行特征提取之前需要对信号进行预处理。</w:t>
      </w:r>
    </w:p>
    <w:p w14:paraId="4E9F19B9">
      <w:pPr>
        <w:spacing w:line="360" w:lineRule="auto"/>
        <w:ind w:firstLine="420"/>
        <w:rPr>
          <w:rFonts w:ascii="楷体" w:hAnsi="楷体" w:eastAsia="楷体"/>
          <w:sz w:val="28"/>
          <w:szCs w:val="28"/>
        </w:rPr>
      </w:pPr>
      <w:r>
        <w:rPr>
          <w:rFonts w:hint="eastAsia" w:ascii="楷体" w:hAnsi="楷体" w:eastAsia="楷体"/>
          <w:sz w:val="28"/>
          <w:szCs w:val="28"/>
        </w:rPr>
        <w:t>在本实施例中，信号预处理主要包括以下几个步骤：</w:t>
      </w:r>
    </w:p>
    <w:p w14:paraId="1E9C0BD9">
      <w:pPr>
        <w:spacing w:line="360" w:lineRule="auto"/>
        <w:ind w:firstLine="420"/>
        <w:rPr>
          <w:rFonts w:ascii="楷体" w:hAnsi="楷体" w:eastAsia="楷体"/>
          <w:sz w:val="28"/>
          <w:szCs w:val="28"/>
        </w:rPr>
      </w:pPr>
      <w:r>
        <w:rPr>
          <w:rFonts w:hint="eastAsia" w:ascii="楷体" w:hAnsi="楷体" w:eastAsia="楷体"/>
          <w:sz w:val="28"/>
          <w:szCs w:val="28"/>
        </w:rPr>
        <w:t>首先是帧同步处理。由于信号采集得到的是连续的I/Q数据流，需要通过同步算法检测每个LoRa数据帧的起始位置。本实施例利用LoRa前导码具有重复chirp结构的特点，并通过相关检测方法确定前导码位置完成帧同步。同步后的信号：</w:t>
      </w:r>
    </w:p>
    <w:p w14:paraId="04D35E5A">
      <w:pPr>
        <w:spacing w:line="360" w:lineRule="auto"/>
        <w:ind w:firstLine="420"/>
        <w:rPr>
          <w:rFonts w:hAnsi="Cambria Math" w:eastAsia="楷体"/>
          <w:sz w:val="28"/>
          <w:szCs w:val="28"/>
        </w:rPr>
      </w:pPr>
      <m:oMathPara>
        <m:oMath>
          <m:eqArr>
            <m:eqArrPr>
              <m:maxDist m:val="1"/>
              <m:ctrlPr>
                <w:rPr>
                  <w:rFonts w:ascii="Cambria Math" w:hAnsi="Cambria Math" w:eastAsia="楷体"/>
                  <w:sz w:val="28"/>
                  <w:szCs w:val="28"/>
                </w:rPr>
              </m:ctrlPr>
            </m:eqArrPr>
            <m:e>
              <m:r>
                <m:rPr/>
                <w:rPr>
                  <w:rFonts w:ascii="Cambria Math" w:hAnsi="Cambria Math" w:eastAsia="楷体"/>
                  <w:sz w:val="28"/>
                  <w:szCs w:val="28"/>
                </w:rPr>
                <m:t>x(n)=r(n+</m:t>
              </m:r>
              <m:sSub>
                <m:sSubPr>
                  <m:ctrlPr>
                    <w:rPr>
                      <w:rFonts w:ascii="Cambria Math" w:hAnsi="Cambria Math" w:eastAsia="楷体"/>
                      <w:i/>
                      <w:sz w:val="28"/>
                      <w:szCs w:val="28"/>
                    </w:rPr>
                  </m:ctrlPr>
                </m:sSubPr>
                <m:e>
                  <m:r>
                    <m:rPr/>
                    <w:rPr>
                      <w:rFonts w:ascii="Cambria Math" w:hAnsi="Cambria Math" w:eastAsia="楷体"/>
                      <w:sz w:val="28"/>
                      <w:szCs w:val="28"/>
                    </w:rPr>
                    <m:t>n</m:t>
                  </m:r>
                  <m:ctrlPr>
                    <w:rPr>
                      <w:rFonts w:ascii="Cambria Math" w:hAnsi="Cambria Math" w:eastAsia="楷体"/>
                      <w:i/>
                      <w:sz w:val="28"/>
                      <w:szCs w:val="28"/>
                    </w:rPr>
                  </m:ctrlPr>
                </m:e>
                <m:sub>
                  <m:r>
                    <m:rPr/>
                    <w:rPr>
                      <w:rFonts w:ascii="Cambria Math" w:hAnsi="Cambria Math" w:eastAsia="楷体"/>
                      <w:sz w:val="28"/>
                      <w:szCs w:val="28"/>
                    </w:rPr>
                    <m:t>0</m:t>
                  </m:r>
                  <m:ctrlPr>
                    <w:rPr>
                      <w:rFonts w:ascii="Cambria Math" w:hAnsi="Cambria Math" w:eastAsia="楷体"/>
                      <w:i/>
                      <w:sz w:val="28"/>
                      <w:szCs w:val="28"/>
                    </w:rPr>
                  </m:ctrlPr>
                </m:sub>
              </m:sSub>
              <m:r>
                <m:rPr/>
                <w:rPr>
                  <w:rFonts w:ascii="Cambria Math" w:hAnsi="Cambria Math" w:eastAsia="楷体"/>
                  <w:sz w:val="28"/>
                  <w:szCs w:val="28"/>
                </w:rPr>
                <m:t>)</m:t>
              </m:r>
              <m:r>
                <m:rPr>
                  <m:sty m:val="p"/>
                </m:rPr>
                <w:rPr>
                  <w:rFonts w:ascii="Cambria Math" w:hAnsi="Cambria Math" w:eastAsia="楷体"/>
                  <w:sz w:val="28"/>
                  <w:szCs w:val="28"/>
                </w:rPr>
                <m:t>#(4)</m:t>
              </m:r>
              <m:ctrlPr>
                <w:rPr>
                  <w:rFonts w:ascii="Cambria Math" w:hAnsi="Cambria Math" w:eastAsia="楷体"/>
                  <w:sz w:val="28"/>
                  <w:szCs w:val="28"/>
                </w:rPr>
              </m:ctrlPr>
            </m:e>
          </m:eqArr>
        </m:oMath>
      </m:oMathPara>
    </w:p>
    <w:p w14:paraId="7E95DD2C">
      <w:pPr>
        <w:spacing w:line="360" w:lineRule="auto"/>
        <w:rPr>
          <w:rFonts w:ascii="楷体" w:hAnsi="楷体" w:eastAsia="楷体" w:cs="楷体"/>
          <w:color w:val="141413"/>
          <w:sz w:val="28"/>
          <w:szCs w:val="28"/>
          <w:shd w:val="clear" w:color="auto" w:fill="FFFFFF"/>
        </w:rPr>
      </w:pPr>
      <w:r>
        <w:rPr>
          <w:rFonts w:hint="eastAsia" w:ascii="楷体" w:hAnsi="楷体" w:eastAsia="楷体"/>
          <w:sz w:val="28"/>
          <w:szCs w:val="28"/>
        </w:rPr>
        <w:t xml:space="preserve">其中 </w:t>
      </w:r>
      <m:oMath>
        <m:sSub>
          <m:sSubPr>
            <m:ctrlPr>
              <w:rPr>
                <w:rFonts w:ascii="Cambria Math" w:hAnsi="Cambria Math"/>
                <w:i/>
                <w:sz w:val="28"/>
                <w:szCs w:val="28"/>
              </w:rPr>
            </m:ctrlPr>
          </m:sSubPr>
          <m:e>
            <m:r>
              <m:rPr/>
              <w:rPr>
                <w:rFonts w:ascii="Cambria Math" w:hAnsi="Cambria Math"/>
                <w:sz w:val="28"/>
                <w:szCs w:val="28"/>
              </w:rPr>
              <m:t>n</m:t>
            </m:r>
            <m:ctrlPr>
              <w:rPr>
                <w:rFonts w:ascii="Cambria Math" w:hAnsi="Cambria Math"/>
                <w:i/>
                <w:sz w:val="28"/>
                <w:szCs w:val="28"/>
              </w:rPr>
            </m:ctrlPr>
          </m:e>
          <m:sub>
            <m:r>
              <m:rPr/>
              <w:rPr>
                <w:rFonts w:ascii="Cambria Math" w:hAnsi="Cambria Math"/>
                <w:sz w:val="28"/>
                <w:szCs w:val="28"/>
              </w:rPr>
              <m:t>0</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为检测得到的帧起始位置。</w:t>
      </w:r>
      <w:r>
        <w:rPr>
          <w:rFonts w:hint="eastAsia" w:ascii="楷体" w:hAnsi="楷体" w:eastAsia="楷体" w:cs="楷体"/>
          <w:color w:val="141413"/>
          <w:sz w:val="28"/>
          <w:szCs w:val="28"/>
          <w:shd w:val="clear" w:color="auto" w:fill="FFFFFF"/>
        </w:rPr>
        <w:t>其中，</w:t>
      </w:r>
      <m:oMath>
        <m:r>
          <m:rPr/>
          <w:rPr>
            <w:rFonts w:ascii="Cambria Math" w:hAnsi="Cambria Math" w:eastAsia="楷体"/>
            <w:sz w:val="28"/>
          </w:rPr>
          <m:t>r(</m:t>
        </m:r>
        <m:r>
          <m:rPr>
            <m:sty m:val="p"/>
          </m:rPr>
          <w:rPr>
            <w:rFonts w:ascii="Cambria Math" w:hAnsi="Cambria Math" w:eastAsia="楷体"/>
            <w:sz w:val="28"/>
          </w:rPr>
          <m:t>·</m:t>
        </m:r>
        <m:r>
          <m:rPr/>
          <w:rPr>
            <w:rFonts w:ascii="Cambria Math" w:hAnsi="Cambria Math" w:eastAsia="楷体"/>
            <w:sz w:val="28"/>
          </w:rPr>
          <m:t>)</m:t>
        </m:r>
      </m:oMath>
      <w:r>
        <w:rPr>
          <w:rFonts w:hint="eastAsia" w:ascii="楷体" w:hAnsi="楷体" w:eastAsia="楷体" w:cs="楷体"/>
          <w:color w:val="141413"/>
          <w:sz w:val="28"/>
          <w:szCs w:val="28"/>
          <w:shd w:val="clear" w:color="auto" w:fill="FFFFFF"/>
        </w:rPr>
        <w:t xml:space="preserve"> 为接收机采集到的原始 I/Q 复数据流，</w:t>
      </w:r>
      <m:oMath>
        <m:r>
          <m:rPr/>
          <w:rPr>
            <w:rFonts w:ascii="Cambria Math" w:hAnsi="Cambria Math" w:eastAsia="楷体"/>
            <w:sz w:val="28"/>
          </w:rPr>
          <m:t>n</m:t>
        </m:r>
        <m:r>
          <m:rPr>
            <m:sty m:val="p"/>
          </m:rPr>
          <w:rPr>
            <w:rFonts w:ascii="Cambria Math" w:hAnsi="Cambria Math" w:eastAsia="楷体"/>
            <w:sz w:val="28"/>
          </w:rPr>
          <m:t>₀</m:t>
        </m:r>
      </m:oMath>
      <w:r>
        <w:rPr>
          <w:rFonts w:hint="eastAsia" w:ascii="楷体" w:hAnsi="楷体" w:eastAsia="楷体" w:cs="楷体"/>
          <w:color w:val="141413"/>
          <w:sz w:val="28"/>
          <w:szCs w:val="28"/>
          <w:shd w:val="clear" w:color="auto" w:fill="FFFFFF"/>
        </w:rPr>
        <w:t xml:space="preserve"> 为通过相关检测算法（本实施例采用基于前导码重复 chirp 结构的 Schmidl-Cox 自相关检测）定位得到的 LoRa 帧前导码起始位置，n 为同步后信号的局部采样索引，</w:t>
      </w:r>
      <m:oMath>
        <m:r>
          <m:rPr/>
          <w:rPr>
            <w:rFonts w:ascii="Cambria Math" w:hAnsi="Cambria Math" w:eastAsia="楷体"/>
            <w:sz w:val="28"/>
          </w:rPr>
          <m:t>x(n)</m:t>
        </m:r>
      </m:oMath>
      <w:r>
        <w:rPr>
          <w:rFonts w:hint="eastAsia" w:ascii="楷体" w:hAnsi="楷体" w:eastAsia="楷体" w:cs="楷体"/>
          <w:color w:val="141413"/>
          <w:sz w:val="28"/>
          <w:szCs w:val="28"/>
          <w:shd w:val="clear" w:color="auto" w:fill="FFFFFF"/>
        </w:rPr>
        <w:t xml:space="preserve"> 为以 </w:t>
      </w:r>
      <m:oMath>
        <m:r>
          <m:rPr/>
          <w:rPr>
            <w:rFonts w:ascii="Cambria Math" w:hAnsi="Cambria Math" w:eastAsia="楷体"/>
            <w:sz w:val="28"/>
          </w:rPr>
          <m:t>n</m:t>
        </m:r>
        <m:r>
          <m:rPr>
            <m:sty m:val="p"/>
          </m:rPr>
          <w:rPr>
            <w:rFonts w:ascii="Cambria Math" w:hAnsi="Cambria Math" w:eastAsia="楷体"/>
            <w:sz w:val="28"/>
          </w:rPr>
          <m:t>₀</m:t>
        </m:r>
      </m:oMath>
      <w:r>
        <w:rPr>
          <w:rFonts w:hint="eastAsia" w:ascii="楷体" w:hAnsi="楷体" w:eastAsia="楷体" w:cs="楷体"/>
          <w:color w:val="141413"/>
          <w:sz w:val="28"/>
          <w:szCs w:val="28"/>
          <w:shd w:val="clear" w:color="auto" w:fill="FFFFFF"/>
        </w:rPr>
        <w:t xml:space="preserve"> 为起点截取的同步后单帧信号的第 n 个采样点。通过该偏移操作，原始数据流</w:t>
      </w:r>
      <m:oMath>
        <m:r>
          <m:rPr/>
          <w:rPr>
            <w:rFonts w:ascii="Cambria Math" w:hAnsi="Cambria Math" w:eastAsia="楷体"/>
            <w:sz w:val="28"/>
          </w:rPr>
          <m:t>r(</m:t>
        </m:r>
        <m:r>
          <m:rPr>
            <m:sty m:val="p"/>
          </m:rPr>
          <w:rPr>
            <w:rFonts w:ascii="Cambria Math" w:hAnsi="Cambria Math" w:eastAsia="楷体"/>
            <w:sz w:val="28"/>
          </w:rPr>
          <m:t>·</m:t>
        </m:r>
        <m:r>
          <m:rPr/>
          <w:rPr>
            <w:rFonts w:ascii="Cambria Math" w:hAnsi="Cambria Math" w:eastAsia="楷体"/>
            <w:sz w:val="28"/>
          </w:rPr>
          <m:t>)</m:t>
        </m:r>
      </m:oMath>
      <w:r>
        <w:rPr>
          <w:rFonts w:hint="eastAsia" w:ascii="楷体" w:hAnsi="楷体" w:eastAsia="楷体" w:cs="楷体"/>
          <w:color w:val="141413"/>
          <w:sz w:val="28"/>
          <w:szCs w:val="28"/>
          <w:shd w:val="clear" w:color="auto" w:fill="FFFFFF"/>
        </w:rPr>
        <w:t xml:space="preserve"> 被对齐到 LoRa 帧起始位置，为后续前导码提取和特征计算提供统一的参考时间基准。</w:t>
      </w:r>
    </w:p>
    <w:p w14:paraId="0D4E980C">
      <w:pPr>
        <w:spacing w:line="360" w:lineRule="auto"/>
        <w:ind w:firstLine="420"/>
        <w:rPr>
          <w:rFonts w:ascii="楷体" w:hAnsi="楷体" w:eastAsia="楷体"/>
          <w:sz w:val="28"/>
          <w:szCs w:val="28"/>
        </w:rPr>
      </w:pPr>
      <w:r>
        <w:rPr>
          <w:rFonts w:hint="eastAsia" w:ascii="楷体" w:hAnsi="楷体" w:eastAsia="楷体"/>
          <w:sz w:val="28"/>
          <w:szCs w:val="28"/>
        </w:rPr>
        <w:t>完成同步后，对LoRa帧中的前导码部分进行提取。由于前导码在每一帧中具有固定结构，且其调制特性受设备硬件影响较为明显，因此常用于射频指纹特征提取。</w:t>
      </w:r>
    </w:p>
    <w:p w14:paraId="03F04E78">
      <w:pPr>
        <w:spacing w:line="360" w:lineRule="auto"/>
        <w:ind w:firstLine="420"/>
        <w:rPr>
          <w:rFonts w:ascii="楷体" w:hAnsi="楷体" w:eastAsia="楷体"/>
          <w:sz w:val="28"/>
          <w:szCs w:val="28"/>
        </w:rPr>
      </w:pPr>
      <w:r>
        <w:rPr>
          <w:rFonts w:hint="eastAsia" w:ascii="楷体" w:hAnsi="楷体" w:eastAsia="楷体"/>
          <w:sz w:val="28"/>
          <w:szCs w:val="28"/>
        </w:rPr>
        <w:t>随后，对同步后的信号进行载波频偏估计。由于发射端与接收端本地振荡器之间存在频率偏差，接收信号通常会产生一定的载波频偏。为减小该因素对后续特征提取的影响，本实施例通过分析相邻采样点之间的相位变化估计载波频偏，其表达式为：</w:t>
      </w:r>
    </w:p>
    <w:p w14:paraId="405AB3B0">
      <w:pPr>
        <w:spacing w:line="360" w:lineRule="auto"/>
        <w:ind w:firstLine="420"/>
        <w:rPr>
          <w:rFonts w:hAnsi="Cambria Math"/>
          <w:sz w:val="28"/>
          <w:szCs w:val="28"/>
        </w:rPr>
      </w:pPr>
      <m:oMathPara>
        <m:oMath>
          <m:eqArr>
            <m:eqArrPr>
              <m:maxDist m:val="1"/>
              <m:ctrlPr>
                <w:rPr>
                  <w:rFonts w:ascii="Cambria Math" w:hAnsi="Cambria Math"/>
                  <w:sz w:val="28"/>
                  <w:szCs w:val="28"/>
                </w:rPr>
              </m:ctrlPr>
            </m:eqArrPr>
            <m:e>
              <m:r>
                <m:rPr/>
                <w:rPr>
                  <w:rFonts w:ascii="Cambria Math" w:hAnsi="Cambria Math"/>
                  <w:sz w:val="28"/>
                  <w:szCs w:val="28"/>
                </w:rPr>
                <m:t>∆f=</m:t>
              </m:r>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2πT</m:t>
                  </m:r>
                  <m:ctrlPr>
                    <w:rPr>
                      <w:rFonts w:ascii="Cambria Math" w:hAnsi="Cambria Math"/>
                      <w:i/>
                      <w:sz w:val="28"/>
                      <w:szCs w:val="28"/>
                    </w:rPr>
                  </m:ctrlPr>
                </m:den>
              </m:f>
              <m:r>
                <m:rPr/>
                <w:rPr>
                  <w:rFonts w:ascii="Cambria Math" w:hAnsi="Cambria Math" w:cs="Cambria Math"/>
                  <w:sz w:val="28"/>
                  <w:szCs w:val="28"/>
                </w:rPr>
                <m:t>∠</m:t>
              </m:r>
              <m:r>
                <m:rPr/>
                <w:rPr>
                  <w:rFonts w:ascii="Cambria Math" w:hAnsi="Cambria Math"/>
                  <w:sz w:val="28"/>
                  <w:szCs w:val="28"/>
                </w:rPr>
                <m:t>(</m:t>
              </m:r>
              <m:nary>
                <m:naryPr>
                  <m:chr m:val="∑"/>
                  <m:limLoc m:val="undOvr"/>
                  <m:ctrlPr>
                    <w:rPr>
                      <w:rFonts w:ascii="Cambria Math" w:hAnsi="Cambria Math"/>
                      <w:i/>
                      <w:sz w:val="28"/>
                      <w:szCs w:val="28"/>
                    </w:rPr>
                  </m:ctrlPr>
                </m:naryPr>
                <m:sub>
                  <m:r>
                    <m:rPr/>
                    <w:rPr>
                      <w:rFonts w:ascii="Cambria Math" w:hAnsi="Cambria Math"/>
                      <w:sz w:val="28"/>
                      <w:szCs w:val="28"/>
                    </w:rPr>
                    <m:t>n=0</m:t>
                  </m:r>
                  <m:ctrlPr>
                    <w:rPr>
                      <w:rFonts w:ascii="Cambria Math" w:hAnsi="Cambria Math"/>
                      <w:i/>
                      <w:sz w:val="28"/>
                      <w:szCs w:val="28"/>
                    </w:rPr>
                  </m:ctrlPr>
                </m:sub>
                <m:sup>
                  <m:r>
                    <m:rPr/>
                    <w:rPr>
                      <w:rFonts w:ascii="Cambria Math" w:hAnsi="Cambria Math"/>
                      <w:sz w:val="28"/>
                      <w:szCs w:val="28"/>
                    </w:rPr>
                    <m:t>N−1</m:t>
                  </m:r>
                  <m:ctrlPr>
                    <w:rPr>
                      <w:rFonts w:ascii="Cambria Math" w:hAnsi="Cambria Math"/>
                      <w:i/>
                      <w:sz w:val="28"/>
                      <w:szCs w:val="28"/>
                    </w:rPr>
                  </m:ctrlPr>
                </m:sup>
                <m:e>
                  <m:r>
                    <m:rPr/>
                    <w:rPr>
                      <w:rFonts w:ascii="Cambria Math" w:hAnsi="Cambria Math"/>
                      <w:sz w:val="28"/>
                      <w:szCs w:val="28"/>
                    </w:rPr>
                    <m:t>x(n)</m:t>
                  </m:r>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m:t>
                      </m:r>
                      <m:ctrlPr>
                        <w:rPr>
                          <w:rFonts w:ascii="Cambria Math" w:hAnsi="Cambria Math"/>
                          <w:i/>
                          <w:sz w:val="28"/>
                          <w:szCs w:val="28"/>
                        </w:rPr>
                      </m:ctrlPr>
                    </m:sup>
                  </m:sSup>
                  <m:r>
                    <m:rPr/>
                    <w:rPr>
                      <w:rFonts w:ascii="Cambria Math" w:hAnsi="Cambria Math"/>
                      <w:sz w:val="28"/>
                      <w:szCs w:val="28"/>
                    </w:rPr>
                    <m:t>(n−1)</m:t>
                  </m:r>
                  <m:ctrlPr>
                    <w:rPr>
                      <w:rFonts w:ascii="Cambria Math" w:hAnsi="Cambria Math"/>
                      <w:i/>
                      <w:sz w:val="28"/>
                      <w:szCs w:val="28"/>
                    </w:rPr>
                  </m:ctrlPr>
                </m:e>
              </m:nary>
              <m:r>
                <m:rPr/>
                <w:rPr>
                  <w:rFonts w:ascii="Cambria Math" w:hAnsi="Cambria Math"/>
                  <w:sz w:val="28"/>
                  <w:szCs w:val="28"/>
                </w:rPr>
                <m:t>)</m:t>
              </m:r>
              <m:r>
                <m:rPr>
                  <m:sty m:val="p"/>
                </m:rPr>
                <w:rPr>
                  <w:rFonts w:ascii="Cambria Math" w:hAnsi="Cambria Math"/>
                  <w:sz w:val="28"/>
                  <w:szCs w:val="28"/>
                </w:rPr>
                <m:t>#(5)</m:t>
              </m:r>
              <m:ctrlPr>
                <w:rPr>
                  <w:rFonts w:ascii="Cambria Math" w:hAnsi="Cambria Math"/>
                  <w:sz w:val="28"/>
                  <w:szCs w:val="28"/>
                </w:rPr>
              </m:ctrlPr>
            </m:e>
          </m:eqArr>
        </m:oMath>
      </m:oMathPara>
    </w:p>
    <w:p w14:paraId="7064B5F2">
      <w:pPr>
        <w:spacing w:line="360" w:lineRule="auto"/>
        <w:rPr>
          <w:rFonts w:ascii="楷体" w:hAnsi="楷体" w:eastAsia="楷体"/>
          <w:sz w:val="28"/>
          <w:szCs w:val="28"/>
        </w:rPr>
      </w:pPr>
      <w:r>
        <w:rPr>
          <w:rFonts w:hint="eastAsia" w:ascii="楷体" w:hAnsi="楷体" w:eastAsia="楷体"/>
          <w:sz w:val="28"/>
          <w:szCs w:val="28"/>
        </w:rPr>
        <w:t>其中 T 为采样周期。</w:t>
      </w:r>
      <m:oMath>
        <m:r>
          <m:rPr/>
          <w:rPr>
            <w:rFonts w:ascii="Cambria Math" w:hAnsi="Cambria Math" w:eastAsia="楷体"/>
            <w:sz w:val="28"/>
          </w:rPr>
          <m:t>N</m:t>
        </m:r>
      </m:oMath>
      <w:r>
        <w:rPr>
          <w:rFonts w:hint="eastAsia" w:ascii="楷体" w:hAnsi="楷体" w:eastAsia="楷体" w:cs="楷体"/>
          <w:color w:val="141413"/>
          <w:sz w:val="28"/>
          <w:szCs w:val="28"/>
          <w:shd w:val="clear" w:color="auto" w:fill="FFFFFF"/>
        </w:rPr>
        <w:t xml:space="preserve"> 为参与频偏估计的采样点总数，通常取同步后单帧信号的长度，</w:t>
      </w:r>
      <m:oMath>
        <m:r>
          <m:rPr/>
          <w:rPr>
            <w:rFonts w:ascii="Cambria Math" w:hAnsi="Cambria Math" w:eastAsia="楷体"/>
            <w:sz w:val="28"/>
          </w:rPr>
          <m:t>n∈{0,1,…,N−1}</m:t>
        </m:r>
      </m:oMath>
      <w:r>
        <w:rPr>
          <w:rFonts w:hint="eastAsia" w:ascii="楷体" w:hAnsi="楷体" w:eastAsia="楷体" w:cs="楷体"/>
          <w:color w:val="141413"/>
          <w:sz w:val="28"/>
          <w:szCs w:val="28"/>
          <w:shd w:val="clear" w:color="auto" w:fill="FFFFFF"/>
        </w:rPr>
        <w:t>；</w:t>
      </w:r>
      <m:oMath>
        <m:sSup>
          <m:sSupPr>
            <m:ctrlPr>
              <w:rPr>
                <w:rFonts w:ascii="Cambria Math" w:hAnsi="Cambria Math"/>
                <w:i/>
                <w:sz w:val="28"/>
                <w:szCs w:val="28"/>
              </w:rPr>
            </m:ctrlPr>
          </m:sSupPr>
          <m:e>
            <m:r>
              <m:rPr/>
              <w:rPr>
                <w:rFonts w:ascii="Cambria Math" w:hAnsi="Cambria Math"/>
                <w:sz w:val="28"/>
                <w:szCs w:val="28"/>
              </w:rPr>
              <m:t>x</m:t>
            </m:r>
            <m:ctrlPr>
              <w:rPr>
                <w:rFonts w:ascii="Cambria Math" w:hAnsi="Cambria Math"/>
                <w:i/>
                <w:sz w:val="28"/>
                <w:szCs w:val="28"/>
              </w:rPr>
            </m:ctrlPr>
          </m:e>
          <m:sup>
            <m:r>
              <m:rPr/>
              <w:rPr>
                <w:rFonts w:ascii="Cambria Math" w:hAnsi="Cambria Math"/>
                <w:sz w:val="28"/>
                <w:szCs w:val="28"/>
              </w:rPr>
              <m:t>∗</m:t>
            </m:r>
            <m:ctrlPr>
              <w:rPr>
                <w:rFonts w:ascii="Cambria Math" w:hAnsi="Cambria Math"/>
                <w:i/>
                <w:sz w:val="28"/>
                <w:szCs w:val="28"/>
              </w:rPr>
            </m:ctrlPr>
          </m:sup>
        </m:sSup>
        <m:r>
          <m:rPr/>
          <w:rPr>
            <w:rFonts w:ascii="Cambria Math" w:hAnsi="Cambria Math"/>
            <w:sz w:val="28"/>
            <w:szCs w:val="28"/>
          </w:rPr>
          <m:t>(n−1)</m:t>
        </m:r>
      </m:oMath>
      <w:r>
        <w:rPr>
          <w:rFonts w:hint="eastAsia" w:ascii="楷体" w:hAnsi="楷体" w:eastAsia="楷体" w:cs="楷体"/>
          <w:color w:val="141413"/>
          <w:sz w:val="28"/>
          <w:szCs w:val="28"/>
          <w:shd w:val="clear" w:color="auto" w:fill="FFFFFF"/>
        </w:rPr>
        <w:t xml:space="preserve">为同步后信号 </w:t>
      </w:r>
      <m:oMath>
        <m:r>
          <m:rPr/>
          <w:rPr>
            <w:rFonts w:ascii="Cambria Math" w:hAnsi="Cambria Math" w:eastAsia="楷体"/>
            <w:sz w:val="28"/>
          </w:rPr>
          <m:t>x(</m:t>
        </m:r>
        <m:r>
          <m:rPr>
            <m:sty m:val="p"/>
          </m:rPr>
          <w:rPr>
            <w:rFonts w:ascii="Cambria Math" w:hAnsi="Cambria Math" w:eastAsia="楷体"/>
            <w:sz w:val="28"/>
          </w:rPr>
          <m:t>·</m:t>
        </m:r>
        <m:r>
          <m:rPr/>
          <w:rPr>
            <w:rFonts w:ascii="Cambria Math" w:hAnsi="Cambria Math" w:eastAsia="楷体"/>
            <w:sz w:val="28"/>
          </w:rPr>
          <m:t>)</m:t>
        </m:r>
      </m:oMath>
      <w:r>
        <w:rPr>
          <w:rFonts w:hint="eastAsia" w:ascii="楷体" w:hAnsi="楷体" w:eastAsia="楷体" w:cs="楷体"/>
          <w:color w:val="141413"/>
          <w:sz w:val="28"/>
          <w:szCs w:val="28"/>
          <w:shd w:val="clear" w:color="auto" w:fill="FFFFFF"/>
        </w:rPr>
        <w:t xml:space="preserve"> 在第 n−1 个采样点的复共轭。</w:t>
      </w:r>
    </w:p>
    <w:p w14:paraId="36EDA030">
      <w:pPr>
        <w:spacing w:line="360" w:lineRule="auto"/>
        <w:ind w:firstLine="420"/>
        <w:rPr>
          <w:rFonts w:ascii="楷体" w:hAnsi="楷体" w:eastAsia="楷体"/>
          <w:sz w:val="28"/>
          <w:szCs w:val="28"/>
        </w:rPr>
      </w:pPr>
      <w:r>
        <w:rPr>
          <w:rFonts w:hint="eastAsia" w:ascii="楷体" w:hAnsi="楷体" w:eastAsia="楷体"/>
          <w:sz w:val="28"/>
          <w:szCs w:val="28"/>
        </w:rPr>
        <w:t>根据估计得到的载波频偏，对信号进行补偿处理，补偿后的信号可表示为：</w:t>
      </w:r>
    </w:p>
    <w:p w14:paraId="1FFC6F4A">
      <w:pPr>
        <w:spacing w:line="360" w:lineRule="auto"/>
        <w:ind w:firstLine="420"/>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ascii="Cambria Math" w:hAnsi="Cambria Math"/>
                      <w:sz w:val="28"/>
                      <w:szCs w:val="28"/>
                    </w:rPr>
                    <m:t>c</m:t>
                  </m:r>
                  <m:ctrlPr>
                    <w:rPr>
                      <w:rFonts w:ascii="Cambria Math" w:hAnsi="Cambria Math"/>
                      <w:i/>
                      <w:sz w:val="28"/>
                      <w:szCs w:val="28"/>
                    </w:rPr>
                  </m:ctrlPr>
                </m:sub>
              </m:sSub>
              <m:r>
                <m:rPr/>
                <w:rPr>
                  <w:rFonts w:ascii="Cambria Math" w:hAnsi="Cambria Math"/>
                  <w:sz w:val="28"/>
                  <w:szCs w:val="28"/>
                </w:rPr>
                <m:t>(n)=x(n)</m:t>
              </m:r>
              <m:sSup>
                <m:sSupPr>
                  <m:ctrlPr>
                    <w:rPr>
                      <w:rFonts w:ascii="Cambria Math" w:hAnsi="Cambria Math"/>
                      <w:i/>
                      <w:sz w:val="28"/>
                      <w:szCs w:val="28"/>
                    </w:rPr>
                  </m:ctrlPr>
                </m:sSupPr>
                <m:e>
                  <m:r>
                    <m:rPr/>
                    <w:rPr>
                      <w:rFonts w:ascii="Cambria Math" w:hAnsi="Cambria Math"/>
                      <w:sz w:val="28"/>
                      <w:szCs w:val="28"/>
                    </w:rPr>
                    <m:t>e</m:t>
                  </m:r>
                  <m:ctrlPr>
                    <w:rPr>
                      <w:rFonts w:ascii="Cambria Math" w:hAnsi="Cambria Math"/>
                      <w:i/>
                      <w:sz w:val="28"/>
                      <w:szCs w:val="28"/>
                    </w:rPr>
                  </m:ctrlPr>
                </m:e>
                <m:sup>
                  <m:r>
                    <m:rPr/>
                    <w:rPr>
                      <w:rFonts w:ascii="Cambria Math" w:hAnsi="Cambria Math"/>
                      <w:sz w:val="28"/>
                      <w:szCs w:val="28"/>
                    </w:rPr>
                    <m:t>−j2π∆fnT</m:t>
                  </m:r>
                  <m:ctrlPr>
                    <w:rPr>
                      <w:rFonts w:ascii="Cambria Math" w:hAnsi="Cambria Math"/>
                      <w:i/>
                      <w:sz w:val="28"/>
                      <w:szCs w:val="28"/>
                    </w:rPr>
                  </m:ctrlPr>
                </m:sup>
              </m:sSup>
              <m:r>
                <m:rPr>
                  <m:sty m:val="p"/>
                </m:rPr>
                <w:rPr>
                  <w:rFonts w:ascii="Cambria Math" w:hAnsi="Cambria Math"/>
                  <w:sz w:val="28"/>
                  <w:szCs w:val="28"/>
                </w:rPr>
                <m:t>#(6)</m:t>
              </m:r>
              <m:ctrlPr>
                <w:rPr>
                  <w:rFonts w:ascii="Cambria Math" w:hAnsi="Cambria Math"/>
                  <w:sz w:val="28"/>
                  <w:szCs w:val="28"/>
                </w:rPr>
              </m:ctrlPr>
            </m:e>
          </m:eqArr>
        </m:oMath>
      </m:oMathPara>
    </w:p>
    <w:p w14:paraId="3CE1B6D7">
      <w:pPr>
        <w:spacing w:line="360" w:lineRule="auto"/>
        <w:ind w:firstLine="420"/>
        <w:rPr>
          <w:rFonts w:ascii="楷体" w:hAnsi="楷体" w:eastAsia="楷体"/>
          <w:sz w:val="28"/>
          <w:szCs w:val="28"/>
        </w:rPr>
      </w:pPr>
      <w:r>
        <w:rPr>
          <w:rFonts w:hint="eastAsia" w:ascii="楷体" w:hAnsi="楷体" w:eastAsia="楷体"/>
          <w:sz w:val="28"/>
          <w:szCs w:val="28"/>
        </w:rPr>
        <w:t>在完成频偏补偿后，为减小不同采集条件下信号幅值差异对后续特征提取的影响，还需对信号进行幅度归一化处理。归一化后的信号表示为：</w:t>
      </w:r>
    </w:p>
    <w:p w14:paraId="2265C994">
      <w:pPr>
        <w:spacing w:line="360" w:lineRule="auto"/>
        <w:ind w:firstLine="420"/>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ascii="Cambria Math" w:hAnsi="Cambria Math"/>
                      <w:sz w:val="28"/>
                      <w:szCs w:val="28"/>
                    </w:rPr>
                    <m:t>norm</m:t>
                  </m:r>
                  <m:ctrlPr>
                    <w:rPr>
                      <w:rFonts w:ascii="Cambria Math" w:hAnsi="Cambria Math"/>
                      <w:i/>
                      <w:sz w:val="28"/>
                      <w:szCs w:val="28"/>
                    </w:rPr>
                  </m:ctrlPr>
                </m:sub>
              </m:sSub>
              <m:r>
                <m:rPr/>
                <w:rPr>
                  <w:rFonts w:ascii="Cambria Math" w:hAnsi="Cambria Math"/>
                  <w:sz w:val="28"/>
                  <w:szCs w:val="28"/>
                </w:rPr>
                <m:t>(n)=</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ascii="Cambria Math" w:hAnsi="Cambria Math"/>
                          <w:sz w:val="28"/>
                          <w:szCs w:val="28"/>
                        </w:rPr>
                        <m:t>c</m:t>
                      </m:r>
                      <m:ctrlPr>
                        <w:rPr>
                          <w:rFonts w:ascii="Cambria Math" w:hAnsi="Cambria Math"/>
                          <w:i/>
                          <w:sz w:val="28"/>
                          <w:szCs w:val="28"/>
                        </w:rPr>
                      </m:ctrlPr>
                    </m:sub>
                  </m:sSub>
                  <m:r>
                    <m:rPr/>
                    <w:rPr>
                      <w:rFonts w:ascii="Cambria Math" w:hAnsi="Cambria Math"/>
                      <w:sz w:val="28"/>
                      <w:szCs w:val="28"/>
                    </w:rPr>
                    <m:t>(n)</m:t>
                  </m:r>
                  <m:ctrlPr>
                    <w:rPr>
                      <w:rFonts w:ascii="Cambria Math" w:hAnsi="Cambria Math"/>
                      <w:i/>
                      <w:sz w:val="28"/>
                      <w:szCs w:val="28"/>
                    </w:rPr>
                  </m:ctrlPr>
                </m:num>
                <m:den>
                  <m:rad>
                    <m:radPr>
                      <m:degHide m:val="1"/>
                      <m:ctrlPr>
                        <w:rPr>
                          <w:rFonts w:ascii="Cambria Math" w:hAnsi="Cambria Math"/>
                          <w:i/>
                          <w:sz w:val="28"/>
                          <w:szCs w:val="28"/>
                        </w:rPr>
                      </m:ctrlPr>
                    </m:radPr>
                    <m:deg>
                      <m:ctrlPr>
                        <w:rPr>
                          <w:rFonts w:ascii="Cambria Math" w:hAnsi="Cambria Math"/>
                          <w:i/>
                          <w:sz w:val="28"/>
                          <w:szCs w:val="28"/>
                        </w:rPr>
                      </m:ctrlPr>
                    </m:deg>
                    <m:e>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r>
                            <m:rPr/>
                            <w:rPr>
                              <w:rFonts w:ascii="Cambria Math" w:hAnsi="Cambria Math"/>
                              <w:sz w:val="28"/>
                              <w:szCs w:val="28"/>
                            </w:rPr>
                            <m:t>N</m:t>
                          </m:r>
                          <m:ctrlPr>
                            <w:rPr>
                              <w:rFonts w:ascii="Cambria Math" w:hAnsi="Cambria Math"/>
                              <w:i/>
                              <w:sz w:val="28"/>
                              <w:szCs w:val="28"/>
                            </w:rPr>
                          </m:ctrlPr>
                        </m:den>
                      </m:f>
                      <m:nary>
                        <m:naryPr>
                          <m:chr m:val="∑"/>
                          <m:limLoc m:val="subSup"/>
                          <m:ctrlPr>
                            <w:rPr>
                              <w:rFonts w:ascii="Cambria Math" w:hAnsi="Cambria Math"/>
                              <w:i/>
                              <w:sz w:val="28"/>
                              <w:szCs w:val="28"/>
                            </w:rPr>
                          </m:ctrlPr>
                        </m:naryPr>
                        <m:sub>
                          <m:r>
                            <m:rPr/>
                            <w:rPr>
                              <w:rFonts w:ascii="Cambria Math" w:hAnsi="Cambria Math"/>
                              <w:sz w:val="28"/>
                              <w:szCs w:val="28"/>
                            </w:rPr>
                            <m:t>n=0</m:t>
                          </m:r>
                          <m:ctrlPr>
                            <w:rPr>
                              <w:rFonts w:ascii="Cambria Math" w:hAnsi="Cambria Math"/>
                              <w:i/>
                              <w:sz w:val="28"/>
                              <w:szCs w:val="28"/>
                            </w:rPr>
                          </m:ctrlPr>
                        </m:sub>
                        <m:sup>
                          <m:r>
                            <m:rPr/>
                            <w:rPr>
                              <w:rFonts w:ascii="Cambria Math" w:hAnsi="Cambria Math"/>
                              <w:sz w:val="28"/>
                              <w:szCs w:val="28"/>
                            </w:rPr>
                            <m:t>N−1</m:t>
                          </m:r>
                          <m:ctrlPr>
                            <w:rPr>
                              <w:rFonts w:ascii="Cambria Math" w:hAnsi="Cambria Math"/>
                              <w:i/>
                              <w:sz w:val="28"/>
                              <w:szCs w:val="28"/>
                            </w:rPr>
                          </m:ctrlPr>
                        </m:sup>
                        <m:e>
                          <m:sSup>
                            <m:sSupPr>
                              <m:ctrlPr>
                                <w:rPr>
                                  <w:rFonts w:ascii="Cambria Math" w:hAnsi="Cambria Math"/>
                                  <w:i/>
                                  <w:sz w:val="28"/>
                                  <w:szCs w:val="28"/>
                                </w:rPr>
                              </m:ctrlPr>
                            </m:sSupPr>
                            <m:e>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ascii="Cambria Math" w:hAnsi="Cambria Math"/>
                                      <w:sz w:val="28"/>
                                      <w:szCs w:val="28"/>
                                    </w:rPr>
                                    <m:t>c</m:t>
                                  </m:r>
                                  <m:ctrlPr>
                                    <w:rPr>
                                      <w:rFonts w:ascii="Cambria Math" w:hAnsi="Cambria Math"/>
                                      <w:i/>
                                      <w:sz w:val="28"/>
                                      <w:szCs w:val="28"/>
                                    </w:rPr>
                                  </m:ctrlPr>
                                </m:sub>
                              </m:sSub>
                              <m:r>
                                <m:rPr/>
                                <w:rPr>
                                  <w:rFonts w:ascii="Cambria Math" w:hAnsi="Cambria Math"/>
                                  <w:sz w:val="28"/>
                                  <w:szCs w:val="28"/>
                                </w:rPr>
                                <m:t>(n)|</m:t>
                              </m:r>
                              <m:ctrlPr>
                                <w:rPr>
                                  <w:rFonts w:ascii="Cambria Math" w:hAnsi="Cambria Math"/>
                                  <w:i/>
                                  <w:sz w:val="28"/>
                                  <w:szCs w:val="28"/>
                                </w:rPr>
                              </m:ctrlPr>
                            </m:e>
                            <m:sup>
                              <m:r>
                                <m:rPr/>
                                <w:rPr>
                                  <w:rFonts w:ascii="Cambria Math" w:hAnsi="Cambria Math"/>
                                  <w:sz w:val="28"/>
                                  <w:szCs w:val="28"/>
                                </w:rPr>
                                <m:t>2</m:t>
                              </m:r>
                              <m:ctrlPr>
                                <w:rPr>
                                  <w:rFonts w:ascii="Cambria Math" w:hAnsi="Cambria Math"/>
                                  <w:i/>
                                  <w:sz w:val="28"/>
                                  <w:szCs w:val="28"/>
                                </w:rPr>
                              </m:ctrlPr>
                            </m:sup>
                          </m:sSup>
                          <m:ctrlPr>
                            <w:rPr>
                              <w:rFonts w:ascii="Cambria Math" w:hAnsi="Cambria Math"/>
                              <w:i/>
                              <w:sz w:val="28"/>
                              <w:szCs w:val="28"/>
                            </w:rPr>
                          </m:ctrlPr>
                        </m:e>
                      </m:nary>
                      <m:ctrlPr>
                        <w:rPr>
                          <w:rFonts w:ascii="Cambria Math" w:hAnsi="Cambria Math"/>
                          <w:i/>
                          <w:sz w:val="28"/>
                          <w:szCs w:val="28"/>
                        </w:rPr>
                      </m:ctrlPr>
                    </m:e>
                  </m:rad>
                  <m:ctrlPr>
                    <w:rPr>
                      <w:rFonts w:ascii="Cambria Math" w:hAnsi="Cambria Math"/>
                      <w:i/>
                      <w:sz w:val="28"/>
                      <w:szCs w:val="28"/>
                    </w:rPr>
                  </m:ctrlPr>
                </m:den>
              </m:f>
              <m:r>
                <m:rPr>
                  <m:sty m:val="p"/>
                </m:rPr>
                <w:rPr>
                  <w:rFonts w:ascii="Cambria Math" w:hAnsi="Cambria Math"/>
                  <w:sz w:val="28"/>
                  <w:szCs w:val="28"/>
                </w:rPr>
                <m:t>#(7)</m:t>
              </m:r>
              <m:ctrlPr>
                <w:rPr>
                  <w:rFonts w:ascii="Cambria Math" w:hAnsi="Cambria Math"/>
                  <w:sz w:val="28"/>
                  <w:szCs w:val="28"/>
                </w:rPr>
              </m:ctrlPr>
            </m:e>
          </m:eqArr>
        </m:oMath>
      </m:oMathPara>
    </w:p>
    <w:p w14:paraId="3F758164">
      <w:pPr>
        <w:spacing w:line="360" w:lineRule="auto"/>
        <w:ind w:firstLine="420"/>
        <w:rPr>
          <w:rFonts w:ascii="楷体" w:hAnsi="楷体" w:eastAsia="楷体"/>
          <w:sz w:val="28"/>
          <w:szCs w:val="28"/>
        </w:rPr>
      </w:pPr>
      <w:r>
        <w:rPr>
          <w:rFonts w:hint="eastAsia" w:ascii="楷体" w:hAnsi="楷体" w:eastAsia="楷体"/>
          <w:sz w:val="28"/>
          <w:szCs w:val="28"/>
        </w:rPr>
        <w:t>经过上述处理后，得到时间对齐、频偏补偿并幅度归一化后的标准化信号序列。</w:t>
      </w:r>
    </w:p>
    <w:p w14:paraId="5AD89D20">
      <w:pPr>
        <w:spacing w:line="360" w:lineRule="auto"/>
        <w:ind w:firstLine="420"/>
        <w:rPr>
          <w:rFonts w:ascii="楷体" w:hAnsi="楷体" w:eastAsia="楷体"/>
          <w:sz w:val="28"/>
          <w:szCs w:val="28"/>
        </w:rPr>
      </w:pPr>
      <w:r>
        <w:rPr>
          <w:rFonts w:hint="eastAsia" w:ascii="楷体" w:hAnsi="楷体" w:eastAsia="楷体"/>
          <w:sz w:val="28"/>
          <w:szCs w:val="28"/>
        </w:rPr>
        <w:t>需要说明的是，所述信号采集、帧同步处理、载波频偏估计以及载波频偏补偿过程均可采用本领域技术人员所熟知的常规技术手段实现，本实施例中所述实现方式仅为示例性说明，并不构成对本发明保护范围的限定。</w:t>
      </w:r>
    </w:p>
    <w:p w14:paraId="2F4B3A51">
      <w:pPr>
        <w:spacing w:line="360" w:lineRule="auto"/>
        <w:ind w:firstLine="420"/>
        <w:rPr>
          <w:rFonts w:ascii="楷体" w:hAnsi="楷体" w:eastAsia="楷体"/>
          <w:b/>
          <w:sz w:val="28"/>
          <w:szCs w:val="28"/>
        </w:rPr>
      </w:pPr>
      <w:r>
        <w:rPr>
          <w:rFonts w:hint="eastAsia" w:ascii="楷体" w:hAnsi="楷体" w:eastAsia="楷体"/>
          <w:b/>
          <w:sz w:val="28"/>
          <w:szCs w:val="28"/>
        </w:rPr>
        <w:t>2.3连续双帧信号特征提取</w:t>
      </w:r>
    </w:p>
    <w:p w14:paraId="411BE44D">
      <w:pPr>
        <w:spacing w:line="360" w:lineRule="auto"/>
        <w:ind w:firstLine="420"/>
        <w:rPr>
          <w:rFonts w:ascii="楷体" w:hAnsi="楷体" w:eastAsia="楷体"/>
          <w:sz w:val="28"/>
          <w:szCs w:val="28"/>
        </w:rPr>
      </w:pPr>
      <w:r>
        <w:rPr>
          <w:rFonts w:hint="eastAsia" w:ascii="楷体" w:hAnsi="楷体" w:eastAsia="楷体"/>
          <w:sz w:val="28"/>
          <w:szCs w:val="28"/>
        </w:rPr>
        <w:t>在完成信号预处理后，本实施例基于连续双帧信号提取频偏射频指纹特征，用于构建设备的连续双帧原始射频指纹特征集。</w:t>
      </w:r>
    </w:p>
    <w:p w14:paraId="26F4CD6F">
      <w:pPr>
        <w:spacing w:line="360" w:lineRule="auto"/>
        <w:ind w:firstLine="420"/>
        <w:rPr>
          <w:rFonts w:ascii="楷体" w:hAnsi="楷体" w:eastAsia="楷体"/>
          <w:sz w:val="28"/>
          <w:szCs w:val="28"/>
        </w:rPr>
      </w:pPr>
      <w:r>
        <w:rPr>
          <w:rFonts w:hint="eastAsia" w:ascii="楷体" w:hAnsi="楷体" w:eastAsia="楷体"/>
          <w:sz w:val="28"/>
          <w:szCs w:val="28"/>
        </w:rPr>
        <w:t>与传统单帧频偏特征不同，连续双帧频偏特征在保留单帧载波频率偏移特性的同时，还能够刻画相邻两帧在短时间连续发射过程中的频率漂移关系，从而更稳定地反映设备本振频率误差特性。</w:t>
      </w:r>
    </w:p>
    <w:p w14:paraId="527928A3">
      <w:pPr>
        <w:spacing w:line="360" w:lineRule="auto"/>
        <w:ind w:firstLine="420"/>
        <w:rPr>
          <w:rFonts w:hAnsi="Cambria Math" w:eastAsia="楷体"/>
          <w:sz w:val="28"/>
          <w:szCs w:val="28"/>
        </w:rPr>
      </w:pPr>
      <w:r>
        <w:rPr>
          <w:rFonts w:hint="eastAsia" w:ascii="楷体" w:hAnsi="楷体" w:eastAsia="楷体"/>
          <w:sz w:val="28"/>
          <w:szCs w:val="28"/>
        </w:rPr>
        <w:t xml:space="preserve">对于构建得到的连续双帧样本，分别对第一帧信号和第二帧信号进行载波频偏估计，设对应的频偏估计值分别为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1</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 xml:space="preserve">和 </w:t>
      </w: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eastAsia="楷体"/>
          <w:sz w:val="28"/>
          <w:szCs w:val="28"/>
        </w:rPr>
        <w:t>。</w:t>
      </w:r>
    </w:p>
    <w:p w14:paraId="001DC730">
      <w:pPr>
        <w:spacing w:line="360" w:lineRule="auto"/>
        <w:ind w:firstLine="420"/>
        <w:rPr>
          <w:rFonts w:ascii="楷体" w:hAnsi="楷体" w:eastAsia="楷体"/>
          <w:sz w:val="28"/>
          <w:szCs w:val="28"/>
        </w:rPr>
      </w:pPr>
      <w:r>
        <w:rPr>
          <w:rFonts w:hint="eastAsia" w:ascii="楷体" w:hAnsi="楷体" w:eastAsia="楷体"/>
          <w:sz w:val="28"/>
          <w:szCs w:val="28"/>
        </w:rPr>
        <w:t>为同时表征设备载波频偏的绝对偏移程度以及连续双帧之间的频率变化关系，本实施例构造如下连续双帧频偏特征向量：</w:t>
      </w:r>
    </w:p>
    <w:p w14:paraId="6865D4BF">
      <w:pPr>
        <w:spacing w:line="360" w:lineRule="auto"/>
        <w:ind w:firstLine="420"/>
        <w:rPr>
          <w:rFonts w:hAnsi="Cambria Math"/>
          <w:sz w:val="28"/>
        </w:rPr>
      </w:pPr>
      <m:oMathPara>
        <m:oMath>
          <m:eqArr>
            <m:eqArrPr>
              <m:maxDist m:val="1"/>
              <m:ctrlPr>
                <w:rPr>
                  <w:rFonts w:ascii="Cambria Math" w:hAnsi="Cambria Math"/>
                  <w:sz w:val="28"/>
                </w:rPr>
              </m:ctrlPr>
            </m:eqArrPr>
            <m:e>
              <m:sSub>
                <m:sSubPr>
                  <m:ctrlPr>
                    <w:rPr>
                      <w:rFonts w:ascii="Cambria Math" w:hAnsi="Cambria Math"/>
                      <w:sz w:val="28"/>
                    </w:rPr>
                  </m:ctrlPr>
                </m:sSubPr>
                <m:e>
                  <m:r>
                    <m:rPr/>
                    <w:rPr>
                      <w:rFonts w:ascii="Cambria Math" w:hAnsi="Cambria Math"/>
                      <w:sz w:val="28"/>
                    </w:rPr>
                    <m:t>f</m:t>
                  </m:r>
                  <m:ctrlPr>
                    <w:rPr>
                      <w:rFonts w:ascii="Cambria Math" w:hAnsi="Cambria Math"/>
                      <w:sz w:val="28"/>
                    </w:rPr>
                  </m:ctrlPr>
                </m:e>
                <m:sub>
                  <m:r>
                    <m:rPr/>
                    <w:rPr>
                      <w:rFonts w:ascii="Cambria Math" w:hAnsi="Cambria Math"/>
                      <w:sz w:val="28"/>
                    </w:rPr>
                    <m:t>cfo</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r>
                <m:rPr>
                  <m:sty m:val="p"/>
                </m:rPr>
                <w:rPr>
                  <w:rFonts w:ascii="Cambria Math" w:hAnsi="Cambria Math"/>
                  <w:sz w:val="28"/>
                </w:rPr>
                <m:t>#(8)</m:t>
              </m:r>
              <m:ctrlPr>
                <w:rPr>
                  <w:rFonts w:ascii="Cambria Math" w:hAnsi="Cambria Math"/>
                  <w:sz w:val="28"/>
                </w:rPr>
              </m:ctrlPr>
            </m:e>
          </m:eqArr>
        </m:oMath>
      </m:oMathPara>
    </w:p>
    <w:p w14:paraId="7BF2D271">
      <w:pPr>
        <w:spacing w:line="360" w:lineRule="auto"/>
        <w:ind w:firstLine="420"/>
        <w:rPr>
          <w:rFonts w:ascii="楷体" w:hAnsi="楷体" w:eastAsia="楷体"/>
          <w:sz w:val="28"/>
          <w:szCs w:val="28"/>
        </w:rPr>
      </w:pPr>
      <w:r>
        <w:rPr>
          <w:rFonts w:hint="eastAsia" w:ascii="楷体" w:hAnsi="楷体" w:eastAsia="楷体"/>
          <w:sz w:val="28"/>
          <w:szCs w:val="28"/>
        </w:rPr>
        <w:t>其中：</w:t>
      </w:r>
    </w:p>
    <w:p w14:paraId="7D26BDB2">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hAnsi="Cambria Math"/>
          <w:sz w:val="28"/>
          <w:szCs w:val="28"/>
        </w:rPr>
        <w:t xml:space="preserve"> </w:t>
      </w:r>
      <w:r>
        <w:rPr>
          <w:rFonts w:hint="eastAsia" w:ascii="楷体" w:hAnsi="楷体" w:eastAsia="楷体"/>
          <w:sz w:val="28"/>
          <w:szCs w:val="28"/>
        </w:rPr>
        <w:t>表示第一帧信号的载波频偏估计值；</w:t>
      </w:r>
    </w:p>
    <w:p w14:paraId="3547297C">
      <w:pPr>
        <w:pStyle w:val="10"/>
        <w:widowControl/>
        <w:spacing w:line="360" w:lineRule="auto"/>
        <w:ind w:firstLine="420"/>
        <w:rPr>
          <w:rFonts w:ascii="楷体" w:hAnsi="楷体" w:eastAsia="楷体"/>
          <w:sz w:val="28"/>
          <w:szCs w:val="28"/>
        </w:rPr>
      </w:pPr>
      <m:oMath>
        <m:sSub>
          <m:sSubPr>
            <m:ctrlPr>
              <w:rPr>
                <w:rFonts w:ascii="Cambria Math" w:hAnsi="Cambria Math"/>
                <w:i/>
                <w:sz w:val="28"/>
                <w:szCs w:val="28"/>
              </w:rPr>
            </m:ctrlPr>
          </m:sSubPr>
          <m:e>
            <m:acc>
              <m:accPr>
                <m:ctrlPr>
                  <w:rPr>
                    <w:rFonts w:ascii="Cambria Math" w:hAnsi="Cambria Math"/>
                    <w:i/>
                    <w:sz w:val="28"/>
                    <w:szCs w:val="28"/>
                  </w:rPr>
                </m:ctrlPr>
              </m:accPr>
              <m:e>
                <m:r>
                  <m:rPr/>
                  <w:rPr>
                    <w:rFonts w:ascii="Cambria Math" w:hAnsi="Cambria Math"/>
                    <w:sz w:val="28"/>
                    <w:szCs w:val="28"/>
                  </w:rPr>
                  <m:t>ε</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表示第二帧信号的载波频偏估计值；</w:t>
      </w:r>
    </w:p>
    <w:p w14:paraId="5A805D99">
      <w:pPr>
        <w:pStyle w:val="10"/>
        <w:widowControl/>
        <w:spacing w:line="360" w:lineRule="auto"/>
        <w:ind w:firstLine="420"/>
        <w:rPr>
          <w:rFonts w:ascii="楷体" w:hAnsi="楷体" w:eastAsia="楷体"/>
          <w:sz w:val="28"/>
          <w:szCs w:val="28"/>
        </w:rPr>
      </w:pPr>
      <m:oMath>
        <m:f>
          <m:fPr>
            <m:ctrlPr>
              <w:rPr>
                <w:rFonts w:ascii="Cambria Math" w:hAnsi="Cambria Math"/>
                <w:i/>
                <w:sz w:val="28"/>
              </w:rPr>
            </m:ctrlPr>
          </m:fPr>
          <m:num>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ctrlPr>
              <w:rPr>
                <w:rFonts w:ascii="Cambria Math" w:hAnsi="Cambria Math"/>
                <w:sz w:val="28"/>
              </w:rPr>
            </m:ctrlPr>
          </m:num>
          <m:den>
            <m:r>
              <m:rPr/>
              <w:rPr>
                <w:rFonts w:ascii="Cambria Math" w:hAnsi="Cambria Math"/>
                <w:sz w:val="28"/>
              </w:rPr>
              <m:t>2</m:t>
            </m:r>
            <m:ctrlPr>
              <w:rPr>
                <w:rFonts w:ascii="Cambria Math" w:hAnsi="Cambria Math"/>
                <w:sz w:val="28"/>
              </w:rPr>
            </m:ctrlPr>
          </m:den>
        </m:f>
      </m:oMath>
      <w:r>
        <w:rPr>
          <w:rFonts w:hint="eastAsia" w:hAnsi="Cambria Math"/>
          <w:sz w:val="28"/>
        </w:rPr>
        <w:t xml:space="preserve"> </w:t>
      </w:r>
      <w:r>
        <w:rPr>
          <w:rFonts w:hint="eastAsia" w:ascii="楷体" w:hAnsi="楷体" w:eastAsia="楷体"/>
          <w:sz w:val="28"/>
          <w:szCs w:val="28"/>
        </w:rPr>
        <w:t>表示连续双帧频偏的均值特征，用于抑制随机噪声干扰；</w:t>
      </w:r>
    </w:p>
    <w:p w14:paraId="48EBCF8A">
      <w:pPr>
        <w:pStyle w:val="10"/>
        <w:widowControl/>
        <w:spacing w:line="360" w:lineRule="auto"/>
        <w:ind w:firstLine="420"/>
        <w:rPr>
          <w:rFonts w:ascii="楷体" w:hAnsi="楷体" w:eastAsia="楷体"/>
          <w:sz w:val="28"/>
          <w:szCs w:val="28"/>
        </w:rPr>
      </w:pPr>
      <m:oMath>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2</m:t>
            </m:r>
            <m:ctrlPr>
              <w:rPr>
                <w:rFonts w:ascii="Cambria Math" w:hAnsi="Cambria Math"/>
                <w:sz w:val="28"/>
              </w:rPr>
            </m:ctrlPr>
          </m:sub>
        </m:sSub>
        <m:r>
          <m:rPr/>
          <w:rPr>
            <w:rFonts w:ascii="Cambria Math" w:hAnsi="Cambria Math"/>
            <w:sz w:val="28"/>
          </w:rPr>
          <m:t>−</m:t>
        </m:r>
        <m:sSub>
          <m:sSubPr>
            <m:ctrlPr>
              <w:rPr>
                <w:rFonts w:ascii="Cambria Math" w:hAnsi="Cambria Math"/>
                <w:sz w:val="28"/>
              </w:rPr>
            </m:ctrlPr>
          </m:sSubPr>
          <m:e>
            <m:acc>
              <m:accPr>
                <m:ctrlPr>
                  <w:rPr>
                    <w:rFonts w:ascii="Cambria Math" w:hAnsi="Cambria Math"/>
                    <w:sz w:val="28"/>
                  </w:rPr>
                </m:ctrlPr>
              </m:accPr>
              <m:e>
                <m:r>
                  <m:rPr/>
                  <w:rPr>
                    <w:rFonts w:ascii="Cambria Math" w:hAnsi="Cambria Math"/>
                    <w:sz w:val="28"/>
                  </w:rPr>
                  <m:t>ε</m:t>
                </m:r>
                <m:ctrlPr>
                  <w:rPr>
                    <w:rFonts w:ascii="Cambria Math" w:hAnsi="Cambria Math"/>
                    <w:sz w:val="28"/>
                  </w:rPr>
                </m:ctrlPr>
              </m:e>
            </m:acc>
            <m:ctrlPr>
              <w:rPr>
                <w:rFonts w:ascii="Cambria Math" w:hAnsi="Cambria Math"/>
                <w:sz w:val="28"/>
              </w:rPr>
            </m:ctrlPr>
          </m:e>
          <m:sub>
            <m:r>
              <m:rPr/>
              <w:rPr>
                <w:rFonts w:ascii="Cambria Math" w:hAnsi="Cambria Math"/>
                <w:sz w:val="28"/>
              </w:rPr>
              <m:t>1</m:t>
            </m:r>
            <m:ctrlPr>
              <w:rPr>
                <w:rFonts w:ascii="Cambria Math" w:hAnsi="Cambria Math"/>
                <w:sz w:val="28"/>
              </w:rPr>
            </m:ctrlPr>
          </m:sub>
        </m:sSub>
      </m:oMath>
      <w:r>
        <w:rPr>
          <w:rFonts w:hint="eastAsia" w:ascii="楷体" w:hAnsi="楷体" w:eastAsia="楷体"/>
          <w:sz w:val="28"/>
          <w:szCs w:val="28"/>
        </w:rPr>
        <w:t xml:space="preserve"> 表示连续双帧间的频偏差分特征，用于刻画设备在短时间连续发射过程中的频率漂移特性；</w:t>
      </w:r>
    </w:p>
    <w:p w14:paraId="050380CA">
      <w:pPr>
        <w:spacing w:line="360" w:lineRule="auto"/>
        <w:ind w:firstLine="420"/>
        <w:rPr>
          <w:rFonts w:ascii="楷体" w:hAnsi="楷体" w:eastAsia="楷体"/>
          <w:sz w:val="28"/>
          <w:szCs w:val="28"/>
        </w:rPr>
      </w:pPr>
      <w:r>
        <w:rPr>
          <w:rFonts w:hint="eastAsia" w:ascii="楷体" w:hAnsi="楷体" w:eastAsia="楷体"/>
          <w:sz w:val="28"/>
          <w:szCs w:val="28"/>
        </w:rPr>
        <w:t>通过上述特征提取方式，可构建射频指纹数据库，为后续设备身份识别提供特征输入。</w:t>
      </w:r>
    </w:p>
    <w:p w14:paraId="082C0E32">
      <w:pPr>
        <w:spacing w:line="360" w:lineRule="auto"/>
        <w:rPr>
          <w:rFonts w:ascii="楷体" w:hAnsi="楷体" w:eastAsia="楷体"/>
          <w:b/>
          <w:sz w:val="28"/>
          <w:szCs w:val="28"/>
        </w:rPr>
      </w:pPr>
      <w:r>
        <w:rPr>
          <w:rFonts w:hint="eastAsia" w:ascii="楷体" w:hAnsi="楷体" w:eastAsia="楷体"/>
          <w:b/>
          <w:sz w:val="28"/>
          <w:szCs w:val="28"/>
        </w:rPr>
        <w:t>3 基于集成学习的设备身份识别</w:t>
      </w:r>
    </w:p>
    <w:p w14:paraId="50125199">
      <w:pPr>
        <w:spacing w:line="360" w:lineRule="auto"/>
        <w:ind w:firstLine="420"/>
        <w:rPr>
          <w:rFonts w:ascii="楷体" w:hAnsi="楷体" w:eastAsia="楷体"/>
          <w:sz w:val="28"/>
          <w:szCs w:val="28"/>
        </w:rPr>
      </w:pPr>
      <w:r>
        <w:rPr>
          <w:rFonts w:hint="eastAsia" w:ascii="楷体" w:hAnsi="楷体" w:eastAsia="楷体"/>
          <w:sz w:val="28"/>
          <w:szCs w:val="28"/>
        </w:rPr>
        <w:t xml:space="preserve">在完成特征提取后，本实施例将融合指纹特征向量F（即 </w:t>
      </w:r>
      <m:oMath>
        <m:sSub>
          <m:sSubPr>
            <m:ctrlPr>
              <w:rPr>
                <w:rFonts w:ascii="Cambria Math" w:hAnsi="Cambria Math"/>
                <w:sz w:val="28"/>
              </w:rPr>
            </m:ctrlPr>
          </m:sSubPr>
          <m:e>
            <m:r>
              <m:rPr/>
              <w:rPr>
                <w:rFonts w:ascii="Cambria Math" w:hAnsi="Cambria Math"/>
                <w:sz w:val="28"/>
              </w:rPr>
              <m:t>f</m:t>
            </m:r>
            <m:ctrlPr>
              <w:rPr>
                <w:rFonts w:ascii="Cambria Math" w:hAnsi="Cambria Math"/>
                <w:sz w:val="28"/>
              </w:rPr>
            </m:ctrlPr>
          </m:e>
          <m:sub>
            <m:r>
              <m:rPr/>
              <w:rPr>
                <w:rFonts w:ascii="Cambria Math" w:hAnsi="Cambria Math"/>
                <w:sz w:val="28"/>
              </w:rPr>
              <m:t>cfo</m:t>
            </m:r>
            <m:ctrlPr>
              <w:rPr>
                <w:rFonts w:ascii="Cambria Math" w:hAnsi="Cambria Math"/>
                <w:sz w:val="28"/>
              </w:rPr>
            </m:ctrlPr>
          </m:sub>
        </m:sSub>
      </m:oMath>
      <w:r>
        <w:rPr>
          <w:rFonts w:hint="eastAsia" w:hAnsi="Cambria Math"/>
          <w:sz w:val="28"/>
        </w:rPr>
        <w:t>）</w:t>
      </w:r>
      <w:r>
        <w:rPr>
          <w:rFonts w:hint="eastAsia" w:ascii="楷体" w:hAnsi="楷体" w:eastAsia="楷体"/>
          <w:sz w:val="28"/>
          <w:szCs w:val="28"/>
        </w:rPr>
        <w:t>输入到集成学习框架进行分类识别。该框架是四个异构基础分类器的输出为基础，通过置信度加权投票机制和双阈值拒识策略实现可靠的开集识别，具体流程如下。</w:t>
      </w:r>
    </w:p>
    <w:p w14:paraId="375A767D">
      <w:pPr>
        <w:spacing w:line="360" w:lineRule="auto"/>
        <w:rPr>
          <w:rFonts w:ascii="楷体" w:hAnsi="楷体" w:eastAsia="楷体"/>
          <w:b/>
          <w:sz w:val="28"/>
          <w:szCs w:val="28"/>
        </w:rPr>
      </w:pPr>
      <w:r>
        <w:rPr>
          <w:rFonts w:hint="eastAsia" w:ascii="楷体" w:hAnsi="楷体" w:eastAsia="楷体"/>
          <w:b/>
          <w:sz w:val="28"/>
          <w:szCs w:val="28"/>
        </w:rPr>
        <w:t>3.1 基础分类器训练</w:t>
      </w:r>
    </w:p>
    <w:p w14:paraId="193D5801">
      <w:pPr>
        <w:spacing w:line="360" w:lineRule="auto"/>
        <w:ind w:firstLine="420"/>
        <w:rPr>
          <w:rFonts w:ascii="楷体" w:hAnsi="楷体" w:eastAsia="楷体"/>
          <w:sz w:val="28"/>
          <w:szCs w:val="28"/>
        </w:rPr>
      </w:pPr>
      <w:r>
        <w:rPr>
          <w:rFonts w:hint="eastAsia" w:ascii="楷体" w:hAnsi="楷体" w:eastAsia="楷体"/>
          <w:sz w:val="28"/>
          <w:szCs w:val="28"/>
        </w:rPr>
        <w:t xml:space="preserve">本实施例选取四种具有代表性的异构基础分类器，以步骤2.3输出的融合指纹特征向量F为统一输入，在训练集上独立训练，使各分类器均能以后验概率向量 </w:t>
      </w:r>
      <m:oMath>
        <m:sSub>
          <m:sSubPr>
            <m:ctrlPr>
              <w:rPr>
                <w:rFonts w:ascii="Cambria Math" w:hAnsi="Cambria Math" w:eastAsia="楷体"/>
                <w:sz w:val="28"/>
              </w:rPr>
            </m:ctrlPr>
          </m:sSubPr>
          <m:e>
            <m:r>
              <m:rPr/>
              <w:rPr>
                <w:rFonts w:ascii="Cambria Math" w:hAnsi="Cambria Math" w:eastAsia="楷体"/>
                <w:sz w:val="28"/>
              </w:rPr>
              <m:t>p</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m:t>
        </m:r>
        <m:sSub>
          <m:sSubPr>
            <m:ctrlPr>
              <w:rPr>
                <w:rFonts w:ascii="Cambria Math" w:hAnsi="Cambria Math" w:eastAsia="楷体"/>
                <w:sz w:val="28"/>
              </w:rPr>
            </m:ctrlPr>
          </m:sSubPr>
          <m:e>
            <m:r>
              <m:rPr/>
              <w:rPr>
                <w:rFonts w:ascii="Cambria Math" w:hAnsi="Cambria Math" w:eastAsia="楷体"/>
                <w:sz w:val="28"/>
              </w:rPr>
              <m:t>p</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(1|F),</m:t>
        </m:r>
        <m:sSub>
          <m:sSubPr>
            <m:ctrlPr>
              <w:rPr>
                <w:rFonts w:ascii="Cambria Math" w:hAnsi="Cambria Math" w:eastAsia="楷体"/>
                <w:sz w:val="28"/>
              </w:rPr>
            </m:ctrlPr>
          </m:sSubPr>
          <m:e>
            <m:r>
              <m:rPr/>
              <w:rPr>
                <w:rFonts w:ascii="Cambria Math" w:hAnsi="Cambria Math" w:eastAsia="楷体"/>
                <w:sz w:val="28"/>
              </w:rPr>
              <m:t>p</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(2|F),…,</m:t>
        </m:r>
        <m:sSub>
          <m:sSubPr>
            <m:ctrlPr>
              <w:rPr>
                <w:rFonts w:ascii="Cambria Math" w:hAnsi="Cambria Math" w:eastAsia="楷体"/>
                <w:sz w:val="28"/>
              </w:rPr>
            </m:ctrlPr>
          </m:sSubPr>
          <m:e>
            <m:r>
              <m:rPr/>
              <w:rPr>
                <w:rFonts w:ascii="Cambria Math" w:hAnsi="Cambria Math" w:eastAsia="楷体"/>
                <w:sz w:val="28"/>
              </w:rPr>
              <m:t>p</m:t>
            </m:r>
            <m:ctrlPr>
              <w:rPr>
                <w:rFonts w:ascii="Cambria Math" w:hAnsi="Cambria Math" w:eastAsia="楷体"/>
                <w:sz w:val="28"/>
              </w:rPr>
            </m:ctrlPr>
          </m:e>
          <m:sub>
            <m:r>
              <m:rPr/>
              <w:rPr>
                <w:rFonts w:ascii="Cambria Math" w:hAnsi="Cambria Math" w:eastAsia="楷体"/>
                <w:sz w:val="28"/>
              </w:rPr>
              <m:t>k</m:t>
            </m:r>
            <m:ctrlPr>
              <w:rPr>
                <w:rFonts w:ascii="Cambria Math" w:hAnsi="Cambria Math" w:eastAsia="楷体"/>
                <w:sz w:val="28"/>
              </w:rPr>
            </m:ctrlPr>
          </m:sub>
        </m:sSub>
        <m:r>
          <m:rPr/>
          <w:rPr>
            <w:rFonts w:ascii="Cambria Math" w:hAnsi="Cambria Math" w:eastAsia="楷体"/>
            <w:sz w:val="28"/>
          </w:rPr>
          <m:t>(M|F)</m:t>
        </m:r>
        <m:sSup>
          <m:sSupPr>
            <m:ctrlPr>
              <w:rPr>
                <w:rFonts w:ascii="Cambria Math" w:hAnsi="Cambria Math" w:eastAsia="楷体"/>
                <w:sz w:val="28"/>
              </w:rPr>
            </m:ctrlPr>
          </m:sSupPr>
          <m:e>
            <m:r>
              <m:rPr/>
              <w:rPr>
                <w:rFonts w:ascii="Cambria Math" w:hAnsi="Cambria Math" w:eastAsia="楷体"/>
                <w:sz w:val="28"/>
              </w:rPr>
              <m:t>]</m:t>
            </m:r>
            <m:ctrlPr>
              <w:rPr>
                <w:rFonts w:ascii="Cambria Math" w:hAnsi="Cambria Math" w:eastAsia="楷体"/>
                <w:sz w:val="28"/>
              </w:rPr>
            </m:ctrlPr>
          </m:e>
          <m:sup>
            <m:r>
              <m:rPr/>
              <w:rPr>
                <w:rFonts w:ascii="Cambria Math" w:hAnsi="Cambria Math" w:eastAsia="楷体"/>
                <w:sz w:val="28"/>
              </w:rPr>
              <m:t>T</m:t>
            </m:r>
            <m:ctrlPr>
              <w:rPr>
                <w:rFonts w:ascii="Cambria Math" w:hAnsi="Cambria Math" w:eastAsia="楷体"/>
                <w:sz w:val="28"/>
              </w:rPr>
            </m:ctrlPr>
          </m:sup>
        </m:sSup>
      </m:oMath>
      <w:r>
        <w:rPr>
          <w:rFonts w:hint="eastAsia" w:hAnsi="Cambria Math" w:eastAsia="楷体"/>
          <w:sz w:val="28"/>
        </w:rPr>
        <w:t xml:space="preserve"> </w:t>
      </w:r>
      <w:r>
        <w:rPr>
          <w:rFonts w:hint="eastAsia" w:ascii="楷体" w:hAnsi="楷体" w:eastAsia="楷体"/>
          <w:sz w:val="28"/>
          <w:szCs w:val="28"/>
        </w:rPr>
        <w:t>的形式输出分类结果，其中M为已注册设备类别总数，k∈{1,2,3,4}为分类器索引。</w:t>
      </w:r>
    </w:p>
    <w:p w14:paraId="25CE296C">
      <w:pPr>
        <w:numPr>
          <w:ilvl w:val="0"/>
          <w:numId w:val="14"/>
        </w:numPr>
        <w:spacing w:line="360" w:lineRule="auto"/>
        <w:ind w:firstLine="420"/>
        <w:rPr>
          <w:rFonts w:hAnsi="Cambria Math" w:eastAsia="楷体"/>
          <w:sz w:val="28"/>
        </w:rPr>
      </w:pPr>
      <w:r>
        <w:rPr>
          <w:rFonts w:hint="eastAsia" w:ascii="楷体" w:hAnsi="楷体" w:eastAsia="楷体"/>
          <w:sz w:val="28"/>
          <w:szCs w:val="28"/>
        </w:rPr>
        <w:t xml:space="preserve">支持向量机（SVM）：采用径向基核函数 </w:t>
      </w:r>
      <m:oMath>
        <m:r>
          <m:rPr/>
          <w:rPr>
            <w:rFonts w:ascii="Cambria Math" w:hAnsi="Cambria Math" w:eastAsia="楷体"/>
            <w:sz w:val="28"/>
          </w:rPr>
          <m:t>κ(x,y)=exp(−‖x−y‖</m:t>
        </m:r>
        <m:r>
          <m:rPr>
            <m:sty m:val="p"/>
          </m:rPr>
          <w:rPr>
            <w:rFonts w:ascii="Cambria Math" w:hAnsi="Cambria Math" w:eastAsia="楷体"/>
            <w:sz w:val="28"/>
          </w:rPr>
          <m:t>²</m:t>
        </m:r>
        <m:r>
          <m:rPr/>
          <w:rPr>
            <w:rFonts w:ascii="Cambria Math" w:hAnsi="Cambria Math" w:eastAsia="楷体"/>
            <w:sz w:val="28"/>
          </w:rPr>
          <m:t>/2σ</m:t>
        </m:r>
        <m:r>
          <m:rPr>
            <m:sty m:val="p"/>
          </m:rPr>
          <w:rPr>
            <w:rFonts w:ascii="Cambria Math" w:hAnsi="Cambria Math" w:eastAsia="楷体"/>
            <w:sz w:val="28"/>
          </w:rPr>
          <m:t>²</m:t>
        </m:r>
        <m:r>
          <m:rPr/>
          <w:rPr>
            <w:rFonts w:ascii="Cambria Math" w:hAnsi="Cambria Math" w:eastAsia="楷体"/>
            <w:sz w:val="28"/>
          </w:rPr>
          <m:t>)</m:t>
        </m:r>
      </m:oMath>
    </w:p>
    <w:p w14:paraId="64422DCB">
      <w:pPr>
        <w:spacing w:line="360" w:lineRule="auto"/>
        <w:rPr>
          <w:rFonts w:ascii="楷体" w:hAnsi="楷体" w:eastAsia="楷体"/>
          <w:sz w:val="28"/>
          <w:szCs w:val="28"/>
        </w:rPr>
      </w:pPr>
      <w:r>
        <w:rPr>
          <w:rFonts w:hint="eastAsia" w:ascii="楷体" w:hAnsi="楷体" w:eastAsia="楷体"/>
          <w:sz w:val="28"/>
          <w:szCs w:val="28"/>
        </w:rPr>
        <w:t>建立非线性决策边界，通过Platt缩放将决策函数值转换为类别后验概率。SVM对高维特征空间中的小样本分类问题具有良好泛化能力，适合射频指纹这类特征维度较高的场景。</w:t>
      </w:r>
    </w:p>
    <w:p w14:paraId="74A3848D">
      <w:pPr>
        <w:spacing w:line="360" w:lineRule="auto"/>
        <w:ind w:firstLine="420"/>
        <w:rPr>
          <w:rFonts w:ascii="楷体" w:hAnsi="楷体" w:eastAsia="楷体"/>
          <w:sz w:val="28"/>
          <w:szCs w:val="28"/>
        </w:rPr>
      </w:pPr>
      <w:r>
        <w:rPr>
          <w:rFonts w:hint="eastAsia" w:ascii="楷体" w:hAnsi="楷体" w:eastAsia="楷体"/>
          <w:sz w:val="28"/>
          <w:szCs w:val="28"/>
        </w:rPr>
        <w:t>（2）随机森林（RF）：由多棵决策树通过 Bagging 集成构成，以各叶节点中各类别样本数量之比估计后验概率。随机森林对噪声和特征波动具有较强抵抗力，能够捕捉特征间的非线性交互关系。</w:t>
      </w:r>
    </w:p>
    <w:p w14:paraId="4277EEFF">
      <w:pPr>
        <w:spacing w:line="360" w:lineRule="auto"/>
        <w:ind w:firstLine="420"/>
        <w:rPr>
          <w:rFonts w:ascii="楷体" w:hAnsi="楷体" w:eastAsia="楷体"/>
          <w:sz w:val="28"/>
          <w:szCs w:val="28"/>
        </w:rPr>
      </w:pPr>
      <w:r>
        <w:rPr>
          <w:rFonts w:hint="eastAsia" w:ascii="楷体" w:hAnsi="楷体" w:eastAsia="楷体"/>
          <w:sz w:val="28"/>
          <w:szCs w:val="28"/>
        </w:rPr>
        <w:t>（3）线性判别分析（LDA）：通过最大化类间散度与类内散度之比构建线性投影，基于高斯分布假设计算各类别的后验概率。LDA计算开销低、可解释性强，在特征具有较好线性可分性时表现突出。</w:t>
      </w:r>
    </w:p>
    <w:p w14:paraId="2A20003A">
      <w:pPr>
        <w:spacing w:line="360" w:lineRule="auto"/>
        <w:ind w:firstLine="420"/>
        <w:rPr>
          <w:rFonts w:ascii="楷体" w:hAnsi="楷体" w:eastAsia="楷体"/>
          <w:sz w:val="28"/>
          <w:szCs w:val="28"/>
        </w:rPr>
      </w:pPr>
      <w:r>
        <w:rPr>
          <w:rFonts w:hint="eastAsia" w:ascii="楷体" w:hAnsi="楷体" w:eastAsia="楷体"/>
          <w:sz w:val="28"/>
          <w:szCs w:val="28"/>
        </w:rPr>
        <w:t>（4）K近邻分类器（KNN）：采用马氏距离度量样本间距，以最近邻样本的类别分布估计后验概率。KNN对局部特征分布信息保留完整，能有效捕获同一设备样本在特征空间中的聚类结构。</w:t>
      </w:r>
    </w:p>
    <w:p w14:paraId="18FFB64A">
      <w:pPr>
        <w:spacing w:line="360" w:lineRule="auto"/>
        <w:ind w:firstLine="420"/>
        <w:rPr>
          <w:rFonts w:ascii="楷体" w:hAnsi="楷体" w:eastAsia="楷体"/>
          <w:sz w:val="28"/>
          <w:szCs w:val="28"/>
        </w:rPr>
      </w:pPr>
      <w:r>
        <w:rPr>
          <w:rFonts w:hint="eastAsia" w:ascii="楷体" w:hAnsi="楷体" w:eastAsia="楷体"/>
          <w:sz w:val="28"/>
          <w:szCs w:val="28"/>
        </w:rPr>
        <w:t>上述四种分类器学习范式各异（边界优化型、集成树型、线性判别型、实例型），保证了集成框架的多样性，有利于降低各分类器共同出错的概率。</w:t>
      </w:r>
    </w:p>
    <w:p w14:paraId="0312E04C">
      <w:pPr>
        <w:spacing w:line="360" w:lineRule="auto"/>
        <w:rPr>
          <w:rFonts w:ascii="楷体" w:hAnsi="楷体" w:eastAsia="楷体"/>
          <w:b/>
          <w:sz w:val="28"/>
          <w:szCs w:val="28"/>
        </w:rPr>
      </w:pPr>
      <w:r>
        <w:rPr>
          <w:rFonts w:hint="eastAsia" w:ascii="楷体" w:hAnsi="楷体" w:eastAsia="楷体"/>
          <w:b/>
          <w:sz w:val="28"/>
          <w:szCs w:val="28"/>
        </w:rPr>
        <w:t>3.2 静态权重与动态置信度联合估计</w:t>
      </w:r>
    </w:p>
    <w:p w14:paraId="70BC99C9">
      <w:pPr>
        <w:spacing w:line="360" w:lineRule="auto"/>
        <w:ind w:firstLine="420"/>
        <w:rPr>
          <w:rFonts w:ascii="楷体" w:hAnsi="楷体" w:eastAsia="楷体"/>
          <w:sz w:val="28"/>
          <w:szCs w:val="28"/>
        </w:rPr>
      </w:pPr>
      <w:r>
        <w:rPr>
          <w:rFonts w:hint="eastAsia" w:ascii="楷体" w:hAnsi="楷体" w:eastAsia="楷体"/>
          <w:sz w:val="28"/>
          <w:szCs w:val="28"/>
        </w:rPr>
        <w:t>（1）静态基权重计算：设第k个基础分类器在留出验证集上的识别准确率为</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，其静态基权重定义为：</w:t>
      </w:r>
    </w:p>
    <w:p w14:paraId="392D78F9">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 xml:space="preserve"> = </m:t>
              </m:r>
              <m:f>
                <m:fPr>
                  <m:ctrlPr>
                    <w:rPr>
                      <w:rFonts w:ascii="Cambria Math" w:hAnsi="Cambria Math"/>
                      <w:i/>
                      <w:sz w:val="28"/>
                      <w:szCs w:val="28"/>
                    </w:rPr>
                  </m:ctrlPr>
                </m:fPr>
                <m:num>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4</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#(9)</m:t>
              </m:r>
              <m:ctrlPr>
                <w:rPr>
                  <w:rFonts w:ascii="Cambria Math" w:hAnsi="Cambria Math"/>
                  <w:sz w:val="28"/>
                  <w:szCs w:val="28"/>
                </w:rPr>
              </m:ctrlPr>
            </m:e>
          </m:eqArr>
        </m:oMath>
      </m:oMathPara>
    </w:p>
    <w:p w14:paraId="75D0D7A9">
      <w:pPr>
        <w:spacing w:line="360" w:lineRule="auto"/>
        <w:rPr>
          <w:rFonts w:ascii="楷体" w:hAnsi="楷体" w:eastAsia="楷体"/>
          <w:sz w:val="28"/>
          <w:szCs w:val="28"/>
        </w:rPr>
      </w:pPr>
      <w:r>
        <w:rPr>
          <w:rFonts w:hint="eastAsia" w:ascii="楷体" w:hAnsi="楷体" w:eastAsia="楷体"/>
          <w:sz w:val="28"/>
          <w:szCs w:val="28"/>
        </w:rPr>
        <w:t>静态基权重反映了各分类器在训练阶段的综合判别能力，准确率越高的分类器在融合中贡献越大。</w:t>
      </w:r>
    </w:p>
    <w:p w14:paraId="6BFD7CA2">
      <w:pPr>
        <w:spacing w:line="360" w:lineRule="auto"/>
        <w:ind w:firstLine="420"/>
        <w:rPr>
          <w:rFonts w:ascii="楷体" w:hAnsi="楷体" w:eastAsia="楷体"/>
          <w:sz w:val="28"/>
          <w:szCs w:val="28"/>
        </w:rPr>
      </w:pPr>
      <w:r>
        <w:rPr>
          <w:rFonts w:hint="eastAsia" w:ascii="楷体" w:hAnsi="楷体" w:eastAsia="楷体"/>
          <w:sz w:val="28"/>
          <w:szCs w:val="28"/>
        </w:rPr>
        <w:t>（2）预测熵计算：对于当前输入样本F，第k个分类器输出后验概率向量，计算其预测熵：</w:t>
      </w:r>
    </w:p>
    <w:p w14:paraId="3C7D87FD">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nary>
                <m:naryPr>
                  <m:chr m:val="∑"/>
                  <m:limLoc m:val="subSup"/>
                  <m:ctrlPr>
                    <w:rPr>
                      <w:rFonts w:ascii="Cambria Math" w:hAnsi="Cambria Math"/>
                      <w:i/>
                      <w:sz w:val="28"/>
                      <w:szCs w:val="28"/>
                    </w:rPr>
                  </m:ctrlPr>
                </m:naryPr>
                <m:sub>
                  <m:r>
                    <m:rPr>
                      <m:sty m:val="p"/>
                    </m:rPr>
                    <w:rPr>
                      <w:rFonts w:ascii="Cambria Math" w:hAnsi="Cambria Math"/>
                      <w:sz w:val="28"/>
                      <w:szCs w:val="28"/>
                    </w:rPr>
                    <m:t>c=1</m:t>
                  </m:r>
                  <m:ctrlPr>
                    <w:rPr>
                      <w:rFonts w:ascii="Cambria Math" w:hAnsi="Cambria Math"/>
                      <w:i/>
                      <w:sz w:val="28"/>
                      <w:szCs w:val="28"/>
                    </w:rPr>
                  </m:ctrlPr>
                </m:sub>
                <m:sup>
                  <m:r>
                    <m:rPr/>
                    <w:rPr>
                      <w:rFonts w:ascii="Cambria Math" w:hAnsi="Cambria Math"/>
                      <w:sz w:val="28"/>
                      <w:szCs w:val="28"/>
                    </w:rPr>
                    <m:t>M</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i/>
                          <w:sz w:val="28"/>
                          <w:szCs w:val="28"/>
                        </w:rPr>
                      </m:ctrlPr>
                    </m:e>
                    <m:sub>
                      <m:r>
                        <m:rPr>
                          <m:sty m:val="p"/>
                        </m:rPr>
                        <w:rPr>
                          <w:rFonts w:ascii="Cambria Math" w:hAnsi="Cambria Math"/>
                          <w:sz w:val="28"/>
                          <w:szCs w:val="28"/>
                        </w:rPr>
                        <m:t>2</m:t>
                      </m:r>
                      <m:ctrlPr>
                        <w:rPr>
                          <w:rFonts w:ascii="Cambria Math" w:hAnsi="Cambria Math"/>
                          <w:i/>
                          <w:sz w:val="28"/>
                          <w:szCs w:val="28"/>
                        </w:rPr>
                      </m:ctrlPr>
                    </m:sub>
                  </m:sSub>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#(10)</m:t>
              </m:r>
              <m:ctrlPr>
                <w:rPr>
                  <w:rFonts w:ascii="Cambria Math" w:hAnsi="Cambria Math"/>
                  <w:sz w:val="28"/>
                  <w:szCs w:val="28"/>
                </w:rPr>
              </m:ctrlPr>
            </m:e>
          </m:eqArr>
        </m:oMath>
      </m:oMathPara>
    </w:p>
    <w:p w14:paraId="502A32CF">
      <w:pPr>
        <w:spacing w:line="360" w:lineRule="auto"/>
        <w:rPr>
          <w:rFonts w:ascii="楷体" w:hAnsi="楷体" w:eastAsia="楷体"/>
          <w:sz w:val="28"/>
          <w:szCs w:val="28"/>
        </w:rPr>
      </w:pPr>
      <w:r>
        <w:rPr>
          <w:rFonts w:hint="eastAsia" w:ascii="楷体" w:hAnsi="楷体" w:eastAsia="楷体"/>
          <w:sz w:val="28"/>
          <w:szCs w:val="28"/>
        </w:rPr>
        <w:t xml:space="preserve">预测熵 </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度量分类器对当前样本预测的不确定性。</w:t>
      </w:r>
      <m:oMath>
        <m:sSub>
          <m:sSubPr>
            <m:ctrlPr>
              <w:rPr>
                <w:rFonts w:ascii="Cambria Math" w:hAnsi="Cambria Math"/>
                <w:i/>
                <w:sz w:val="28"/>
                <w:szCs w:val="28"/>
              </w:rPr>
            </m:ctrlPr>
          </m:sSubPr>
          <m:e>
            <m:r>
              <m:rPr/>
              <w:rPr>
                <w:rFonts w:ascii="Cambria Math" w:hAnsi="Cambria Math"/>
                <w:sz w:val="28"/>
                <w:szCs w:val="28"/>
              </w:rPr>
              <m:t>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ascii="楷体" w:hAnsi="楷体" w:eastAsia="楷体"/>
          <w:sz w:val="28"/>
          <w:szCs w:val="28"/>
        </w:rPr>
        <w:t>越小，表明分类器对某一类别的置信越集中；越大，说明分类器对当前样本判断较为模糊，应赋予较低权重。</w:t>
      </w:r>
    </w:p>
    <w:p w14:paraId="088CFAA0">
      <w:pPr>
        <w:spacing w:line="360" w:lineRule="auto"/>
        <w:rPr>
          <w:rFonts w:ascii="楷体" w:hAnsi="楷体" w:eastAsia="楷体"/>
          <w:sz w:val="28"/>
          <w:szCs w:val="28"/>
        </w:rPr>
      </w:pPr>
      <w:r>
        <w:rPr>
          <w:rFonts w:hint="eastAsia" w:ascii="楷体" w:hAnsi="楷体" w:eastAsia="楷体"/>
          <w:sz w:val="28"/>
          <w:szCs w:val="28"/>
        </w:rPr>
        <w:t>（3）动态置信因子计算：</w:t>
      </w:r>
    </w:p>
    <w:p w14:paraId="6835E5F4">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exp(−</m:t>
              </m:r>
              <m:sSub>
                <m:sSubPr>
                  <m:ctrlPr>
                    <w:rPr>
                      <w:rFonts w:ascii="Cambria Math" w:hAnsi="Cambria Math"/>
                      <w:i/>
                      <w:sz w:val="28"/>
                      <w:szCs w:val="28"/>
                    </w:rPr>
                  </m:ctrlPr>
                </m:sSubPr>
                <m:e>
                  <m:r>
                    <m:rPr/>
                    <w:rPr>
                      <w:rFonts w:ascii="Cambria Math" w:hAnsi="Cambria Math"/>
                      <w:sz w:val="28"/>
                      <w:szCs w:val="28"/>
                    </w:rPr>
                    <m:t>γH</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)#(11)</m:t>
              </m:r>
              <m:ctrlPr>
                <w:rPr>
                  <w:rFonts w:ascii="Cambria Math" w:hAnsi="Cambria Math"/>
                  <w:sz w:val="28"/>
                  <w:szCs w:val="28"/>
                </w:rPr>
              </m:ctrlPr>
            </m:e>
          </m:eqArr>
        </m:oMath>
      </m:oMathPara>
    </w:p>
    <w:p w14:paraId="4214D04B">
      <w:pPr>
        <w:spacing w:line="360" w:lineRule="auto"/>
        <w:rPr>
          <w:rFonts w:ascii="楷体" w:hAnsi="楷体" w:eastAsia="楷体"/>
          <w:sz w:val="28"/>
          <w:szCs w:val="28"/>
        </w:rPr>
      </w:pPr>
      <w:r>
        <w:rPr>
          <w:rFonts w:hint="eastAsia" w:ascii="楷体" w:hAnsi="楷体" w:eastAsia="楷体"/>
          <w:sz w:val="28"/>
          <w:szCs w:val="28"/>
        </w:rPr>
        <w:t xml:space="preserve">其中 </w:t>
      </w:r>
      <m:oMath>
        <m:r>
          <m:rPr/>
          <w:rPr>
            <w:rFonts w:ascii="Cambria Math" w:hAnsi="Cambria Math"/>
            <w:sz w:val="28"/>
            <w:szCs w:val="28"/>
          </w:rPr>
          <m:t>γ</m:t>
        </m:r>
        <m:r>
          <m:rPr/>
          <w:rPr>
            <w:rFonts w:ascii="Cambria Math" w:hAnsi="Cambria Math" w:cs="Cambria Math"/>
            <w:sz w:val="28"/>
            <w:szCs w:val="28"/>
          </w:rPr>
          <m:t>&gt;</m:t>
        </m:r>
        <m:r>
          <m:rPr/>
          <w:rPr>
            <w:rFonts w:ascii="Cambria Math" w:hAnsi="Cambria Math"/>
            <w:sz w:val="28"/>
            <w:szCs w:val="28"/>
          </w:rPr>
          <m:t>0</m:t>
        </m:r>
      </m:oMath>
      <w:r>
        <w:rPr>
          <w:rFonts w:hint="eastAsia" w:hAnsi="Cambria Math"/>
          <w:sz w:val="28"/>
          <w:szCs w:val="28"/>
        </w:rPr>
        <w:t xml:space="preserve"> </w:t>
      </w:r>
      <w:r>
        <w:rPr>
          <w:rFonts w:hint="eastAsia" w:ascii="楷体" w:hAnsi="楷体" w:eastAsia="楷体"/>
          <w:sz w:val="28"/>
          <w:szCs w:val="28"/>
        </w:rPr>
        <w:t>为超参数，控制置信因子对熵值的敏感程度。</w:t>
      </w:r>
    </w:p>
    <w:p w14:paraId="0195831B">
      <w:pPr>
        <w:spacing w:line="360" w:lineRule="auto"/>
        <w:rPr>
          <w:rFonts w:ascii="楷体" w:hAnsi="楷体" w:eastAsia="楷体"/>
          <w:sz w:val="28"/>
          <w:szCs w:val="28"/>
        </w:rPr>
      </w:pPr>
      <w:r>
        <w:rPr>
          <w:rFonts w:hint="eastAsia" w:ascii="楷体" w:hAnsi="楷体" w:eastAsia="楷体"/>
          <w:sz w:val="28"/>
          <w:szCs w:val="28"/>
        </w:rPr>
        <w:t>（4）联合权重归一化，将静态基权重与动态置信因子结合，计算最终联合权重：</w:t>
      </w:r>
    </w:p>
    <w:p w14:paraId="7BCA7275">
      <w:pPr>
        <w:spacing w:line="360" w:lineRule="auto"/>
        <w:jc w:val="center"/>
        <w:rPr>
          <w:rFonts w:hAnsi="Cambria Math"/>
          <w:sz w:val="28"/>
          <w:szCs w:val="28"/>
        </w:rPr>
      </w:pPr>
      <m:oMathPara>
        <m:oMath>
          <m:eqArr>
            <m:eqArrPr>
              <m:maxDist m:val="1"/>
              <m:ctrlPr>
                <w:rPr>
                  <w:rFonts w:ascii="Cambria Math" w:hAnsi="Cambria Math"/>
                  <w:sz w:val="28"/>
                  <w:szCs w:val="28"/>
                </w:rPr>
              </m:ctrlPr>
            </m:eqArrPr>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 xml:space="preserve"> = </m:t>
              </m:r>
              <m:f>
                <m:fPr>
                  <m:ctrlPr>
                    <w:rPr>
                      <w:rFonts w:ascii="Cambria Math" w:hAnsi="Cambria Math"/>
                      <w:i/>
                      <w:sz w:val="28"/>
                      <w:szCs w:val="28"/>
                    </w:rPr>
                  </m:ctrlPr>
                </m:fPr>
                <m:num>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ctrlPr>
                    <w:rPr>
                      <w:rFonts w:ascii="Cambria Math" w:hAnsi="Cambria Math"/>
                      <w:i/>
                      <w:sz w:val="28"/>
                      <w:szCs w:val="28"/>
                    </w:rPr>
                  </m:ctrlPr>
                </m:num>
                <m:den>
                  <m:nary>
                    <m:naryPr>
                      <m:chr m:val="∑"/>
                      <m:limLoc m:val="subSup"/>
                      <m:ctrlPr>
                        <w:rPr>
                          <w:rFonts w:ascii="Cambria Math" w:hAnsi="Cambria Math"/>
                          <w:i/>
                          <w:sz w:val="28"/>
                          <w:szCs w:val="28"/>
                        </w:rPr>
                      </m:ctrlPr>
                    </m:naryPr>
                    <m:sub>
                      <m:r>
                        <m:rPr>
                          <m:sty m:val="p"/>
                        </m:rPr>
                        <w:rPr>
                          <w:rFonts w:ascii="Cambria Math" w:hAnsi="Cambria Math"/>
                          <w:sz w:val="28"/>
                          <w:szCs w:val="28"/>
                        </w:rPr>
                        <m:t>j=1</m:t>
                      </m:r>
                      <m:ctrlPr>
                        <w:rPr>
                          <w:rFonts w:ascii="Cambria Math" w:hAnsi="Cambria Math"/>
                          <w:i/>
                          <w:sz w:val="28"/>
                          <w:szCs w:val="28"/>
                        </w:rPr>
                      </m:ctrlPr>
                    </m:sub>
                    <m:sup>
                      <m:r>
                        <m:rPr/>
                        <w:rPr>
                          <w:rFonts w:ascii="Cambria Math" w:hAnsi="Cambria Math"/>
                          <w:sz w:val="28"/>
                          <w:szCs w:val="28"/>
                        </w:rPr>
                        <m:t>4</m:t>
                      </m:r>
                      <m:ctrlPr>
                        <w:rPr>
                          <w:rFonts w:ascii="Cambria Math" w:hAnsi="Cambria Math"/>
                          <w:i/>
                          <w:sz w:val="28"/>
                          <w:szCs w:val="28"/>
                        </w:rPr>
                      </m:ctrlPr>
                    </m:sup>
                    <m:e>
                      <m:sSubSup>
                        <m:sSubSupPr>
                          <m:ctrlPr>
                            <w:rPr>
                              <w:rFonts w:ascii="Cambria Math" w:hAnsi="Cambria Math"/>
                              <w:i/>
                              <w:sz w:val="28"/>
                              <w:szCs w:val="28"/>
                            </w:rPr>
                          </m:ctrlPr>
                        </m:sSubSup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up>
                          <m:r>
                            <m:rPr>
                              <m:sty m:val="p"/>
                            </m:rPr>
                            <w:rPr>
                              <w:rFonts w:ascii="Cambria Math" w:hAnsi="Cambria Math"/>
                              <w:sz w:val="28"/>
                              <w:szCs w:val="28"/>
                            </w:rPr>
                            <m:t>(0)</m:t>
                          </m:r>
                          <m:ctrlPr>
                            <w:rPr>
                              <w:rFonts w:ascii="Cambria Math" w:hAnsi="Cambria Math"/>
                              <w:i/>
                              <w:sz w:val="28"/>
                              <w:szCs w:val="28"/>
                            </w:rPr>
                          </m:ctrlPr>
                        </m:sup>
                      </m:sSubSup>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β</m:t>
                          </m:r>
                          <m:ctrlPr>
                            <w:rPr>
                              <w:rFonts w:ascii="Cambria Math" w:hAnsi="Cambria Math"/>
                              <w:i/>
                              <w:sz w:val="28"/>
                              <w:szCs w:val="28"/>
                            </w:rPr>
                          </m:ctrlPr>
                        </m:e>
                        <m:sub>
                          <m:r>
                            <m:rPr/>
                            <w:rPr>
                              <w:rFonts w:ascii="Cambria Math" w:hAnsi="Cambria Math"/>
                              <w:sz w:val="28"/>
                              <w:szCs w:val="28"/>
                            </w:rPr>
                            <m:t>j</m:t>
                          </m:r>
                          <m:ctrlPr>
                            <w:rPr>
                              <w:rFonts w:ascii="Cambria Math" w:hAnsi="Cambria Math"/>
                              <w:i/>
                              <w:sz w:val="28"/>
                              <w:szCs w:val="28"/>
                            </w:rPr>
                          </m:ctrlPr>
                        </m:sub>
                      </m:sSub>
                      <m:ctrlPr>
                        <w:rPr>
                          <w:rFonts w:ascii="Cambria Math" w:hAnsi="Cambria Math"/>
                          <w:i/>
                          <w:sz w:val="28"/>
                          <w:szCs w:val="28"/>
                        </w:rPr>
                      </m:ctrlPr>
                    </m:e>
                  </m:nary>
                  <m:ctrlPr>
                    <w:rPr>
                      <w:rFonts w:ascii="Cambria Math" w:hAnsi="Cambria Math"/>
                      <w:i/>
                      <w:sz w:val="28"/>
                      <w:szCs w:val="28"/>
                    </w:rPr>
                  </m:ctrlPr>
                </m:den>
              </m:f>
              <m:r>
                <m:rPr>
                  <m:sty m:val="p"/>
                </m:rPr>
                <w:rPr>
                  <w:rFonts w:ascii="Cambria Math" w:hAnsi="Cambria Math"/>
                  <w:sz w:val="28"/>
                  <w:szCs w:val="28"/>
                </w:rPr>
                <m:t>#(12)</m:t>
              </m:r>
              <m:ctrlPr>
                <w:rPr>
                  <w:rFonts w:ascii="Cambria Math" w:hAnsi="Cambria Math"/>
                  <w:sz w:val="28"/>
                  <w:szCs w:val="28"/>
                </w:rPr>
              </m:ctrlPr>
            </m:e>
          </m:eqArr>
        </m:oMath>
      </m:oMathPara>
    </w:p>
    <w:p w14:paraId="7C000E9B">
      <w:pPr>
        <w:spacing w:line="360" w:lineRule="auto"/>
        <w:rPr>
          <w:rFonts w:ascii="楷体" w:hAnsi="楷体" w:eastAsia="楷体"/>
          <w:sz w:val="28"/>
          <w:szCs w:val="28"/>
        </w:rPr>
      </w:pPr>
      <w:r>
        <w:rPr>
          <w:rFonts w:hint="eastAsia" w:ascii="楷体" w:hAnsi="楷体" w:eastAsia="楷体"/>
          <w:sz w:val="28"/>
          <w:szCs w:val="28"/>
        </w:rPr>
        <w:t xml:space="preserve">联合权重 </w:t>
      </w:r>
      <m:oMath>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同时考虑了分类器的历史准确率（静态稳健性）与当前样本的预测确定性（动态置信度），使权重分配兼顾全局与局部信息。</w:t>
      </w:r>
    </w:p>
    <w:p w14:paraId="7168565B">
      <w:pPr>
        <w:spacing w:line="360" w:lineRule="auto"/>
        <w:rPr>
          <w:rFonts w:ascii="楷体" w:hAnsi="楷体" w:eastAsia="楷体"/>
          <w:b/>
          <w:sz w:val="28"/>
          <w:szCs w:val="28"/>
        </w:rPr>
      </w:pPr>
      <w:r>
        <w:rPr>
          <w:rFonts w:hint="eastAsia" w:ascii="楷体" w:hAnsi="楷体" w:eastAsia="楷体"/>
          <w:b/>
          <w:sz w:val="28"/>
          <w:szCs w:val="28"/>
        </w:rPr>
        <w:t>3.3 加权概率融合与设备身份输出</w:t>
      </w:r>
    </w:p>
    <w:p w14:paraId="02F70B2D">
      <w:pPr>
        <w:spacing w:line="360" w:lineRule="auto"/>
        <w:ind w:firstLine="420"/>
        <w:rPr>
          <w:rFonts w:ascii="楷体" w:hAnsi="楷体" w:eastAsia="楷体"/>
          <w:sz w:val="28"/>
          <w:szCs w:val="28"/>
        </w:rPr>
      </w:pPr>
      <w:r>
        <w:rPr>
          <w:rFonts w:hint="eastAsia" w:ascii="楷体" w:hAnsi="楷体" w:eastAsia="楷体"/>
          <w:sz w:val="28"/>
          <w:szCs w:val="28"/>
        </w:rPr>
        <w:t>对4个基础分类器输出的后验概率向量按联合权重进行加权求和，得到集成后验概率：</w:t>
      </w:r>
    </w:p>
    <w:p w14:paraId="3E84D5D9">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p(c|F) = </m:t>
              </m:r>
              <m:nary>
                <m:naryPr>
                  <m:chr m:val="∑"/>
                  <m:limLoc m:val="subSup"/>
                  <m:ctrlPr>
                    <w:rPr>
                      <w:rFonts w:ascii="Cambria Math" w:hAnsi="Cambria Math"/>
                      <w:i/>
                      <w:sz w:val="28"/>
                      <w:szCs w:val="28"/>
                    </w:rPr>
                  </m:ctrlPr>
                </m:naryPr>
                <m:sub>
                  <m:r>
                    <m:rPr>
                      <m:sty m:val="p"/>
                    </m:rPr>
                    <w:rPr>
                      <w:rFonts w:ascii="Cambria Math" w:hAnsi="Cambria Math"/>
                      <w:sz w:val="28"/>
                      <w:szCs w:val="28"/>
                    </w:rPr>
                    <m:t>k=1</m:t>
                  </m:r>
                  <m:ctrlPr>
                    <w:rPr>
                      <w:rFonts w:ascii="Cambria Math" w:hAnsi="Cambria Math"/>
                      <w:i/>
                      <w:sz w:val="28"/>
                      <w:szCs w:val="28"/>
                    </w:rPr>
                  </m:ctrlPr>
                </m:sub>
                <m:sup>
                  <m:r>
                    <m:rPr/>
                    <w:rPr>
                      <w:rFonts w:ascii="Cambria Math" w:hAnsi="Cambria Math"/>
                      <w:sz w:val="28"/>
                      <w:szCs w:val="28"/>
                    </w:rPr>
                    <m:t>4</m:t>
                  </m:r>
                  <m:ctrlPr>
                    <w:rPr>
                      <w:rFonts w:ascii="Cambria Math" w:hAnsi="Cambria Math"/>
                      <w:i/>
                      <w:sz w:val="28"/>
                      <w:szCs w:val="28"/>
                    </w:rPr>
                  </m:ctrlPr>
                </m:sup>
                <m:e>
                  <m:sSub>
                    <m:sSubPr>
                      <m:ctrlPr>
                        <w:rPr>
                          <w:rFonts w:ascii="Cambria Math" w:hAnsi="Cambria Math"/>
                          <w:i/>
                          <w:sz w:val="28"/>
                          <w:szCs w:val="28"/>
                        </w:rPr>
                      </m:ctrlPr>
                    </m:sSubPr>
                    <m:e>
                      <m:r>
                        <m:rPr/>
                        <w:rPr>
                          <w:rFonts w:ascii="Cambria Math" w:hAnsi="Cambria Math"/>
                          <w:sz w:val="28"/>
                          <w:szCs w:val="28"/>
                        </w:rPr>
                        <m:t>α</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k</m:t>
                      </m:r>
                      <m:ctrlPr>
                        <w:rPr>
                          <w:rFonts w:ascii="Cambria Math" w:hAnsi="Cambria Math"/>
                          <w:i/>
                          <w:sz w:val="28"/>
                          <w:szCs w:val="28"/>
                        </w:rPr>
                      </m:ctrlPr>
                    </m:sub>
                  </m:sSub>
                  <m:r>
                    <m:rPr>
                      <m:sty m:val="p"/>
                    </m:rPr>
                    <w:rPr>
                      <w:rFonts w:ascii="Cambria Math" w:hAnsi="Cambria Math"/>
                      <w:sz w:val="28"/>
                      <w:szCs w:val="28"/>
                    </w:rPr>
                    <m:t>(c|F)</m:t>
                  </m:r>
                  <m:ctrlPr>
                    <w:rPr>
                      <w:rFonts w:ascii="Cambria Math" w:hAnsi="Cambria Math"/>
                      <w:i/>
                      <w:sz w:val="28"/>
                      <w:szCs w:val="28"/>
                    </w:rPr>
                  </m:ctrlPr>
                </m:e>
              </m:nary>
              <m:r>
                <m:rPr>
                  <m:sty m:val="p"/>
                </m:rPr>
                <w:rPr>
                  <w:rFonts w:ascii="Cambria Math" w:hAnsi="Cambria Math"/>
                  <w:sz w:val="28"/>
                  <w:szCs w:val="28"/>
                </w:rPr>
                <m:t>#(13)</m:t>
              </m:r>
              <m:ctrlPr>
                <w:rPr>
                  <w:rFonts w:ascii="Cambria Math" w:hAnsi="Cambria Math"/>
                  <w:sz w:val="28"/>
                  <w:szCs w:val="28"/>
                </w:rPr>
              </m:ctrlPr>
            </m:e>
          </m:eqArr>
        </m:oMath>
      </m:oMathPara>
    </w:p>
    <w:p w14:paraId="137A68A0">
      <w:pPr>
        <w:spacing w:line="360" w:lineRule="auto"/>
        <w:rPr>
          <w:rFonts w:ascii="楷体" w:hAnsi="楷体" w:eastAsia="楷体"/>
          <w:sz w:val="28"/>
          <w:szCs w:val="28"/>
        </w:rPr>
      </w:pPr>
      <w:r>
        <w:rPr>
          <w:rFonts w:hint="eastAsia" w:ascii="楷体" w:hAnsi="楷体" w:eastAsia="楷体"/>
          <w:sz w:val="28"/>
          <w:szCs w:val="28"/>
        </w:rPr>
        <w:t>集成后验概率综合了所有基础分类器对各类别的判断，并按照可靠性对各分类器进行了差异化加权，有效降低了单一分类器失误对最终结果的影响。取集成后验概率最大的设备类别作为识别输出：</w:t>
      </w:r>
    </w:p>
    <w:p w14:paraId="1B131131">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ĉ = </m:t>
              </m:r>
              <m:sSub>
                <m:sSubPr>
                  <m:ctrlPr>
                    <w:rPr>
                      <w:rFonts w:ascii="Cambria Math" w:hAnsi="Cambria Math"/>
                      <w:i/>
                      <w:sz w:val="28"/>
                      <w:szCs w:val="28"/>
                    </w:rPr>
                  </m:ctrlPr>
                </m:sSubPr>
                <m:e>
                  <m:r>
                    <m:rPr>
                      <m:sty m:val="p"/>
                    </m:rPr>
                    <w:rPr>
                      <w:rFonts w:ascii="Cambria Math" w:hAnsi="Cambria Math"/>
                      <w:sz w:val="28"/>
                      <w:szCs w:val="28"/>
                    </w:rPr>
                    <m:t>argmax</m:t>
                  </m:r>
                  <m:ctrlPr>
                    <w:rPr>
                      <w:rFonts w:ascii="Cambria Math" w:hAnsi="Cambria Math"/>
                      <w:i/>
                      <w:sz w:val="28"/>
                      <w:szCs w:val="28"/>
                    </w:rPr>
                  </m:ctrlPr>
                </m:e>
                <m:sub>
                  <m:r>
                    <m:rPr>
                      <m:sty m:val="p"/>
                    </m:rPr>
                    <w:rPr>
                      <w:rFonts w:ascii="Cambria Math" w:hAnsi="Cambria Math"/>
                      <w:sz w:val="28"/>
                      <w:szCs w:val="28"/>
                    </w:rPr>
                    <m:t>c∈{1,…,M}</m:t>
                  </m:r>
                  <m:ctrlPr>
                    <w:rPr>
                      <w:rFonts w:ascii="Cambria Math" w:hAnsi="Cambria Math"/>
                      <w:i/>
                      <w:sz w:val="28"/>
                      <w:szCs w:val="28"/>
                    </w:rPr>
                  </m:ctrlPr>
                </m:sub>
              </m:sSub>
              <m:r>
                <m:rPr>
                  <m:sty m:val="p"/>
                </m:rPr>
                <w:rPr>
                  <w:rFonts w:ascii="Cambria Math" w:hAnsi="Cambria Math"/>
                  <w:sz w:val="28"/>
                  <w:szCs w:val="28"/>
                </w:rPr>
                <m:t xml:space="preserve"> p(c|F)#(14)</m:t>
              </m:r>
              <m:ctrlPr>
                <w:rPr>
                  <w:rFonts w:ascii="Cambria Math" w:hAnsi="Cambria Math"/>
                  <w:sz w:val="28"/>
                  <w:szCs w:val="28"/>
                </w:rPr>
              </m:ctrlPr>
            </m:e>
          </m:eqArr>
        </m:oMath>
      </m:oMathPara>
    </w:p>
    <w:p w14:paraId="55A6897E">
      <w:pPr>
        <w:spacing w:line="360" w:lineRule="auto"/>
        <w:rPr>
          <w:rFonts w:ascii="楷体" w:hAnsi="楷体" w:eastAsia="楷体"/>
          <w:b/>
          <w:sz w:val="28"/>
          <w:szCs w:val="28"/>
        </w:rPr>
      </w:pPr>
      <w:r>
        <w:rPr>
          <w:rFonts w:hint="eastAsia" w:ascii="楷体" w:hAnsi="楷体" w:eastAsia="楷体"/>
          <w:b/>
          <w:sz w:val="28"/>
          <w:szCs w:val="28"/>
        </w:rPr>
        <w:t>3.4 基于置信度的未知设备拒识机制</w:t>
      </w:r>
    </w:p>
    <w:p w14:paraId="7DA3E903">
      <w:pPr>
        <w:spacing w:line="360" w:lineRule="auto"/>
        <w:ind w:firstLine="420"/>
        <w:rPr>
          <w:rFonts w:ascii="楷体" w:hAnsi="楷体" w:eastAsia="楷体"/>
          <w:sz w:val="28"/>
          <w:szCs w:val="28"/>
        </w:rPr>
      </w:pPr>
      <w:r>
        <w:rPr>
          <w:rFonts w:hint="eastAsia" w:ascii="楷体" w:hAnsi="楷体" w:eastAsia="楷体"/>
          <w:sz w:val="28"/>
          <w:szCs w:val="28"/>
        </w:rPr>
        <w:t>（1）为实现对未知设备和非法接入的有判别，在输出设备身份之前，首先对集成后验概率进行双阈值拒识检验。定义类间置信差：</w:t>
      </w:r>
    </w:p>
    <w:p w14:paraId="36208067">
      <w:pPr>
        <w:spacing w:line="360" w:lineRule="auto"/>
        <w:jc w:val="center"/>
        <w:rPr>
          <w:rFonts w:hAnsi="Cambria Math"/>
          <w:sz w:val="28"/>
          <w:szCs w:val="28"/>
        </w:rPr>
      </w:pPr>
      <m:oMathPara>
        <m:oMath>
          <m:eqArr>
            <m:eqArrPr>
              <m:maxDist m:val="1"/>
              <m:ctrlPr>
                <w:rPr>
                  <w:rFonts w:ascii="Cambria Math" w:hAnsi="Cambria Math"/>
                  <w:sz w:val="28"/>
                  <w:szCs w:val="28"/>
                </w:rPr>
              </m:ctrlPr>
            </m:eqArrPr>
            <m:e>
              <m:r>
                <m:rPr>
                  <m:sty m:val="p"/>
                </m:rPr>
                <w:rPr>
                  <w:rFonts w:ascii="Cambria Math" w:hAnsi="Cambria Math"/>
                  <w:sz w:val="28"/>
                  <w:szCs w:val="28"/>
                </w:rPr>
                <m:t xml:space="preserve">Δp = p(ĉ|F) − </m:t>
              </m:r>
              <m:sSub>
                <m:sSubPr>
                  <m:ctrlPr>
                    <w:rPr>
                      <w:rFonts w:ascii="Cambria Math" w:hAnsi="Cambria Math"/>
                      <w:i/>
                      <w:sz w:val="28"/>
                      <w:szCs w:val="28"/>
                    </w:rPr>
                  </m:ctrlPr>
                </m:sSubPr>
                <m:e>
                  <m:r>
                    <m:rPr>
                      <m:sty m:val="p"/>
                    </m:rPr>
                    <w:rPr>
                      <w:rFonts w:ascii="Cambria Math" w:hAnsi="Cambria Math"/>
                      <w:sz w:val="28"/>
                      <w:szCs w:val="28"/>
                    </w:rPr>
                    <m:t>max</m:t>
                  </m:r>
                  <m:ctrlPr>
                    <w:rPr>
                      <w:rFonts w:ascii="Cambria Math" w:hAnsi="Cambria Math"/>
                      <w:i/>
                      <w:sz w:val="28"/>
                      <w:szCs w:val="28"/>
                    </w:rPr>
                  </m:ctrlPr>
                </m:e>
                <m:sub>
                  <m:r>
                    <m:rPr>
                      <m:sty m:val="p"/>
                    </m:rPr>
                    <w:rPr>
                      <w:rFonts w:ascii="Cambria Math" w:hAnsi="Cambria Math"/>
                      <w:sz w:val="28"/>
                      <w:szCs w:val="28"/>
                    </w:rPr>
                    <m:t>c≠ĉ</m:t>
                  </m:r>
                  <m:ctrlPr>
                    <w:rPr>
                      <w:rFonts w:ascii="Cambria Math" w:hAnsi="Cambria Math"/>
                      <w:i/>
                      <w:sz w:val="28"/>
                      <w:szCs w:val="28"/>
                    </w:rPr>
                  </m:ctrlPr>
                </m:sub>
              </m:sSub>
              <m:r>
                <m:rPr>
                  <m:sty m:val="p"/>
                </m:rPr>
                <w:rPr>
                  <w:rFonts w:ascii="Cambria Math" w:hAnsi="Cambria Math"/>
                  <w:sz w:val="28"/>
                  <w:szCs w:val="28"/>
                </w:rPr>
                <m:t xml:space="preserve"> p(c|F)#(15)</m:t>
              </m:r>
              <m:ctrlPr>
                <w:rPr>
                  <w:rFonts w:ascii="Cambria Math" w:hAnsi="Cambria Math"/>
                  <w:sz w:val="28"/>
                  <w:szCs w:val="28"/>
                </w:rPr>
              </m:ctrlPr>
            </m:e>
          </m:eqArr>
        </m:oMath>
      </m:oMathPara>
    </w:p>
    <w:p w14:paraId="0356EF79">
      <w:pPr>
        <w:spacing w:line="360" w:lineRule="auto"/>
        <w:rPr>
          <w:rFonts w:ascii="楷体" w:hAnsi="楷体" w:eastAsia="楷体"/>
          <w:sz w:val="28"/>
          <w:szCs w:val="28"/>
        </w:rPr>
      </w:pPr>
      <w:r>
        <w:rPr>
          <w:rFonts w:hint="eastAsia" w:ascii="楷体" w:hAnsi="楷体" w:eastAsia="楷体"/>
          <w:sz w:val="28"/>
          <w:szCs w:val="28"/>
        </w:rPr>
        <w:t xml:space="preserve">类间置信差 </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度量最优类别相对于次优类别的置信优势，反映识别结果的区分度。</w:t>
      </w:r>
    </w:p>
    <w:p w14:paraId="3E673A1D">
      <w:pPr>
        <w:spacing w:line="360" w:lineRule="auto"/>
        <w:ind w:firstLine="280" w:firstLineChars="100"/>
        <w:rPr>
          <w:rFonts w:ascii="楷体" w:hAnsi="楷体" w:eastAsia="楷体"/>
          <w:sz w:val="28"/>
          <w:szCs w:val="28"/>
        </w:rPr>
      </w:pPr>
      <w:r>
        <w:rPr>
          <w:rFonts w:hint="eastAsia" w:ascii="楷体" w:hAnsi="楷体" w:eastAsia="楷体"/>
          <w:sz w:val="28"/>
          <w:szCs w:val="28"/>
        </w:rPr>
        <w:t>（2）拒识判决规则：若满足以下任意一个条件，则将当前样本判定为未知设备或非法接入，拒绝输出设备身份：（i）绝对置信条件不满足：</w:t>
      </w:r>
      <m:oMath>
        <m:r>
          <m:rPr>
            <m:sty m:val="p"/>
          </m:rPr>
          <w:rPr>
            <w:rFonts w:hint="eastAsia" w:ascii="Cambria Math" w:hAnsi="Cambria Math" w:eastAsia="楷体"/>
            <w:sz w:val="28"/>
            <w:szCs w:val="28"/>
          </w:rPr>
          <m:t>p(ĉ|F)</m:t>
        </m:r>
      </m:oMath>
      <w:r>
        <w:rPr>
          <w:rFonts w:hint="eastAsia" w:hAnsi="Cambria Math" w:eastAsia="楷体"/>
          <w:sz w:val="28"/>
          <w:szCs w:val="28"/>
        </w:rPr>
        <w:t xml:space="preserve"> </w:t>
      </w:r>
      <w:r>
        <w:rPr>
          <w:rFonts w:hint="eastAsia" w:ascii="楷体" w:hAnsi="楷体" w:eastAsia="楷体"/>
          <w:sz w:val="28"/>
          <w:szCs w:val="28"/>
        </w:rPr>
        <w:t xml:space="preserve">小于预设绝对门限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1</m:t>
            </m:r>
            <m:ctrlPr>
              <w:rPr>
                <w:rFonts w:ascii="Cambria Math" w:hAnsi="Cambria Math"/>
                <w:i/>
                <w:sz w:val="28"/>
                <w:szCs w:val="28"/>
              </w:rPr>
            </m:ctrlPr>
          </m:sub>
        </m:sSub>
      </m:oMath>
      <w:r>
        <w:rPr>
          <w:rFonts w:hint="eastAsia" w:hAnsi="Cambria Math"/>
          <w:sz w:val="28"/>
          <w:szCs w:val="28"/>
        </w:rPr>
        <w:t>；</w:t>
      </w:r>
      <w:r>
        <w:rPr>
          <w:rFonts w:hint="eastAsia" w:ascii="楷体" w:hAnsi="楷体" w:eastAsia="楷体"/>
          <w:sz w:val="28"/>
          <w:szCs w:val="28"/>
        </w:rPr>
        <w:t>（ii）相对置信条件不满足：</w:t>
      </w:r>
      <m:oMath>
        <m:r>
          <m:rPr>
            <m:sty m:val="p"/>
          </m:rPr>
          <w:rPr>
            <w:rFonts w:ascii="Cambria Math" w:hAnsi="Cambria Math"/>
            <w:sz w:val="28"/>
            <w:szCs w:val="28"/>
          </w:rPr>
          <m:t>Δp</m:t>
        </m:r>
      </m:oMath>
      <w:r>
        <w:rPr>
          <w:rFonts w:hint="eastAsia" w:hAnsi="Cambria Math"/>
          <w:sz w:val="28"/>
          <w:szCs w:val="28"/>
        </w:rPr>
        <w:t xml:space="preserve"> </w:t>
      </w:r>
      <w:r>
        <w:rPr>
          <w:rFonts w:hint="eastAsia" w:ascii="楷体" w:hAnsi="楷体" w:eastAsia="楷体"/>
          <w:sz w:val="28"/>
          <w:szCs w:val="28"/>
        </w:rPr>
        <w:t xml:space="preserve">小于预设相对门限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ascii="楷体" w:hAnsi="楷体" w:eastAsia="楷体"/>
          <w:sz w:val="28"/>
          <w:szCs w:val="28"/>
        </w:rPr>
        <w:t xml:space="preserve">。其中 </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m:sty m:val="p"/>
              </m:rPr>
              <w:rPr>
                <w:rFonts w:ascii="Cambria Math" w:hAnsi="Cambria Math"/>
                <w:sz w:val="28"/>
                <w:szCs w:val="28"/>
              </w:rPr>
              <m:t>1</m:t>
            </m:r>
            <m:ctrlPr>
              <w:rPr>
                <w:rFonts w:ascii="Cambria Math" w:hAnsi="Cambria Math"/>
                <w:i/>
                <w:sz w:val="28"/>
                <w:szCs w:val="28"/>
              </w:rPr>
            </m:ctrlPr>
          </m:sub>
        </m:sSub>
      </m:oMath>
      <w:r>
        <w:rPr>
          <w:rFonts w:hint="eastAsia" w:ascii="楷体" w:hAnsi="楷体" w:eastAsia="楷体"/>
          <w:sz w:val="28"/>
          <w:szCs w:val="28"/>
        </w:rPr>
        <w:t>、</w:t>
      </w:r>
      <m:oMath>
        <m:sSub>
          <m:sSubPr>
            <m:ctrlPr>
              <w:rPr>
                <w:rFonts w:ascii="Cambria Math" w:hAnsi="Cambria Math"/>
                <w:i/>
                <w:sz w:val="28"/>
                <w:szCs w:val="28"/>
              </w:rPr>
            </m:ctrlPr>
          </m:sSubPr>
          <m:e>
            <m:r>
              <m:rPr/>
              <w:rPr>
                <w:rFonts w:ascii="Cambria Math" w:hAnsi="Cambria Math"/>
                <w:sz w:val="28"/>
                <w:szCs w:val="28"/>
              </w:rPr>
              <m:t>τ</m:t>
            </m:r>
            <m:ctrlPr>
              <w:rPr>
                <w:rFonts w:ascii="Cambria Math" w:hAnsi="Cambria Math"/>
                <w:i/>
                <w:sz w:val="28"/>
                <w:szCs w:val="28"/>
              </w:rPr>
            </m:ctrlPr>
          </m:e>
          <m:sub>
            <m:r>
              <m:rPr/>
              <w:rPr>
                <w:rFonts w:ascii="Cambria Math" w:hAnsi="Cambria Math"/>
                <w:sz w:val="28"/>
                <w:szCs w:val="28"/>
              </w:rPr>
              <m:t>2</m:t>
            </m:r>
            <m:ctrlPr>
              <w:rPr>
                <w:rFonts w:ascii="Cambria Math" w:hAnsi="Cambria Math"/>
                <w:i/>
                <w:sz w:val="28"/>
                <w:szCs w:val="28"/>
              </w:rPr>
            </m:ctrlPr>
          </m:sub>
        </m:sSub>
      </m:oMath>
      <w:r>
        <w:rPr>
          <w:rFonts w:hint="eastAsia" w:hAnsi="Cambria Math"/>
          <w:sz w:val="28"/>
          <w:szCs w:val="28"/>
        </w:rPr>
        <w:t xml:space="preserve"> </w:t>
      </w:r>
      <w:r>
        <w:rPr>
          <w:rFonts w:hint="eastAsia" w:ascii="楷体" w:hAnsi="楷体" w:eastAsia="楷体"/>
          <w:sz w:val="28"/>
          <w:szCs w:val="28"/>
        </w:rPr>
        <w:t xml:space="preserve">为预先在验证集上标定的门限参数。若上述两个条件均满足，则输出设备身份标识 </w:t>
      </w:r>
      <m:oMath>
        <m:r>
          <m:rPr>
            <m:sty m:val="p"/>
          </m:rPr>
          <w:rPr>
            <w:rFonts w:ascii="Cambria Math" w:hAnsi="Cambria Math"/>
            <w:sz w:val="28"/>
            <w:szCs w:val="28"/>
          </w:rPr>
          <m:t>ĉ</m:t>
        </m:r>
      </m:oMath>
      <w:r>
        <w:rPr>
          <w:rFonts w:hint="eastAsia" w:ascii="楷体" w:hAnsi="楷体" w:eastAsia="楷体"/>
          <w:sz w:val="28"/>
          <w:szCs w:val="28"/>
        </w:rPr>
        <w:t>。双阈值机制从绝对置信度与类间区分度两个维度进行联合判断，相比单一阈值方案，对未知设备的拒识能力更强，误识率更低。</w:t>
      </w:r>
    </w:p>
    <w:p w14:paraId="399514C4">
      <w:pPr>
        <w:spacing w:line="360" w:lineRule="auto"/>
        <w:ind w:firstLine="560" w:firstLineChars="200"/>
        <w:rPr>
          <w:rFonts w:ascii="楷体" w:hAnsi="楷体" w:eastAsia="楷体" w:cs="Arial"/>
          <w:kern w:val="0"/>
          <w:sz w:val="28"/>
          <w:szCs w:val="28"/>
        </w:rPr>
        <w:sectPr>
          <w:headerReference r:id="rId10" w:type="default"/>
          <w:footerReference r:id="rId11" w:type="default"/>
          <w:pgSz w:w="11906" w:h="16838"/>
          <w:pgMar w:top="1418" w:right="851" w:bottom="851" w:left="1418" w:header="851" w:footer="113" w:gutter="0"/>
          <w:lnNumType w:countBy="5" w:restart="newSection"/>
          <w:pgNumType w:start="1"/>
          <w:cols w:space="425" w:num="1"/>
          <w:docGrid w:linePitch="312" w:charSpace="0"/>
        </w:sectPr>
      </w:pPr>
      <w:bookmarkStart w:id="2" w:name="_Hlk217679300"/>
      <w:r>
        <w:rPr>
          <w:rFonts w:ascii="楷体" w:hAnsi="楷体" w:eastAsia="楷体" w:cs="宋体"/>
          <w:kern w:val="1"/>
          <w:sz w:val="28"/>
          <w:szCs w:val="28"/>
        </w:rPr>
        <w:t>需要说明的是上述实施例，并非用来限定本发明的保护范围，在上述技术方案的基础上所作出的等同变换或替代均落入本发明权利要求所保护的范围</w:t>
      </w:r>
      <w:bookmarkEnd w:id="2"/>
      <w:r>
        <w:rPr>
          <w:rFonts w:ascii="楷体" w:hAnsi="楷体" w:eastAsia="楷体" w:cs="宋体"/>
          <w:kern w:val="1"/>
          <w:sz w:val="28"/>
          <w:szCs w:val="28"/>
        </w:rPr>
        <w:t>。</w:t>
      </w:r>
    </w:p>
    <w:p w14:paraId="24268C9A">
      <w:pPr>
        <w:jc w:val="center"/>
        <w:rPr>
          <w:bCs/>
          <w:sz w:val="28"/>
          <w:szCs w:val="28"/>
        </w:rPr>
      </w:pPr>
    </w:p>
    <w:p w14:paraId="41A2B494">
      <w:pPr>
        <w:jc w:val="center"/>
        <w:rPr>
          <w:bCs/>
          <w:sz w:val="28"/>
          <w:szCs w:val="28"/>
        </w:rPr>
      </w:pPr>
      <w:r>
        <w:drawing>
          <wp:inline distT="0" distB="0" distL="114300" distR="114300">
            <wp:extent cx="5410835" cy="7367270"/>
            <wp:effectExtent l="0" t="0" r="1841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410835" cy="7367270"/>
                    </a:xfrm>
                    <a:prstGeom prst="rect">
                      <a:avLst/>
                    </a:prstGeom>
                    <a:noFill/>
                    <a:ln>
                      <a:noFill/>
                    </a:ln>
                  </pic:spPr>
                </pic:pic>
              </a:graphicData>
            </a:graphic>
          </wp:inline>
        </w:drawing>
      </w:r>
    </w:p>
    <w:p w14:paraId="36766599">
      <w:pPr>
        <w:jc w:val="center"/>
        <w:rPr>
          <w:bCs/>
          <w:sz w:val="28"/>
          <w:szCs w:val="28"/>
        </w:rPr>
      </w:pPr>
      <w:r>
        <w:rPr>
          <w:rFonts w:hint="eastAsia"/>
          <w:bCs/>
          <w:sz w:val="28"/>
          <w:szCs w:val="28"/>
        </w:rPr>
        <w:t>图1</w:t>
      </w:r>
    </w:p>
    <w:p w14:paraId="6BD3AEE5">
      <w:pPr>
        <w:jc w:val="center"/>
        <w:rPr>
          <w:bCs/>
          <w:sz w:val="28"/>
          <w:szCs w:val="28"/>
        </w:rPr>
      </w:pPr>
    </w:p>
    <w:p w14:paraId="33D773DF">
      <w:pPr>
        <w:spacing w:line="360" w:lineRule="auto"/>
        <w:rPr>
          <w:rFonts w:ascii="楷体" w:hAnsi="楷体" w:eastAsia="楷体" w:cs="宋体"/>
          <w:sz w:val="28"/>
        </w:rPr>
        <w:sectPr>
          <w:headerReference r:id="rId12" w:type="default"/>
          <w:footerReference r:id="rId13" w:type="default"/>
          <w:pgSz w:w="11906" w:h="16838"/>
          <w:pgMar w:top="1418" w:right="851" w:bottom="851" w:left="1418" w:header="851" w:footer="113" w:gutter="0"/>
          <w:pgNumType w:start="1"/>
          <w:cols w:space="425" w:num="1"/>
          <w:docGrid w:linePitch="312" w:charSpace="0"/>
        </w:sectPr>
      </w:pPr>
    </w:p>
    <w:p w14:paraId="597E6BF3">
      <w:pPr>
        <w:rPr>
          <w:rFonts w:ascii="楷体" w:hAnsi="楷体" w:eastAsia="楷体"/>
        </w:rPr>
      </w:pPr>
    </w:p>
    <w:p w14:paraId="55C2EE9D">
      <w:pPr>
        <w:rPr>
          <w:rFonts w:ascii="楷体" w:hAnsi="楷体" w:eastAsia="楷体"/>
        </w:rPr>
      </w:pPr>
    </w:p>
    <w:p w14:paraId="1699C2B8">
      <w:pPr>
        <w:rPr>
          <w:rFonts w:ascii="楷体" w:hAnsi="楷体" w:eastAsia="楷体"/>
        </w:rPr>
      </w:pPr>
    </w:p>
    <w:p w14:paraId="10D72EDE">
      <w:pPr>
        <w:rPr>
          <w:rFonts w:ascii="楷体" w:hAnsi="楷体" w:eastAsia="楷体"/>
        </w:rPr>
      </w:pPr>
    </w:p>
    <w:p w14:paraId="7B1C6A1C">
      <w:pPr>
        <w:rPr>
          <w:rFonts w:ascii="楷体" w:hAnsi="楷体" w:eastAsia="楷体"/>
        </w:rPr>
      </w:pPr>
    </w:p>
    <w:p w14:paraId="243DF7AE">
      <w:pPr>
        <w:rPr>
          <w:rFonts w:ascii="楷体" w:hAnsi="楷体" w:eastAsia="楷体"/>
        </w:rPr>
      </w:pPr>
    </w:p>
    <w:p w14:paraId="4B4CC99E"/>
    <w:sectPr>
      <w:type w:val="continuous"/>
      <w:pgSz w:w="11906" w:h="16838"/>
      <w:pgMar w:top="1418" w:right="851" w:bottom="851" w:left="1418" w:header="851" w:footer="113"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F7FE2">
    <w:pPr>
      <w:pStyle w:val="8"/>
      <w:tabs>
        <w:tab w:val="left" w:pos="4905"/>
        <w:tab w:val="clear" w:pos="4153"/>
        <w:tab w:val="clear" w:pos="8306"/>
      </w:tabs>
      <w:spacing w:line="200" w:lineRule="exact"/>
      <w:jc w:val="both"/>
      <w:rPr>
        <w:rFonts w:eastAsia="黑体"/>
      </w:rPr>
    </w:pPr>
    <w:r>
      <w:rPr>
        <w:rFonts w:eastAsia="黑体"/>
      </w:rPr>
      <w:drawing>
        <wp:anchor distT="0" distB="0" distL="114300" distR="114300" simplePos="0" relativeHeight="251662336"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24" name="图片模式6"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模式6"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- 1 -</w:t>
    </w:r>
  </w:p>
  <w:p w14:paraId="36265300">
    <w:pPr>
      <w:pStyle w:val="8"/>
      <w:spacing w:line="200" w:lineRule="exact"/>
      <w:jc w:val="both"/>
      <w:rPr>
        <w:rFonts w:ascii="黑体" w:hAnsi="黑体" w:eastAsia="黑体"/>
      </w:rPr>
    </w:pPr>
    <w:r>
      <w:rPr>
        <w:rFonts w:ascii="黑体" w:hAns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25" name="线条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线条9"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6uVmr3gEAANADAAAOAAAAZHJzL2Uyb0RvYy54bWytU0uO&#10;EzEQ3SNxB8t70p0gBmilM4sJwwZBJIYDVPxJW/JPLk86OQwLrsGG28A1KLszGRg2WdALd7lc9are&#10;c3l5fXCW7VVCE3zP57OWM+VFkMbvev7l7vbFG84wg5dgg1c9Pyrk16vnz5Zj7NQiDMFKlRiBeOzG&#10;2PMh59g1DYpBOcBZiMrToQ7JQaZt2jUywUjozjaLtr1qxpBkTEEoRPKup0N+QkyXAAatjVDrIO6d&#10;8nlCTcpCJko4mIh8VbvVWon8SWtUmdmeE9NcVypC9raszWoJ3S5BHIw4tQCXtPCEkwPjqegZag0Z&#10;2H0y/0A5I1LAoPNMBNdMRKoixGLePtHm8wBRVS4kNcaz6Pj/YMXH/SYxI3u+eMWZB0c3/uv7j59f&#10;v70t2owROwq58Zt02mHcpEL0oJMrf6LADlXP41lPdchMkPNqTqRektTi4ax5TIwJ83sVHCtGz63x&#10;hSp0sP+AmYpR6ENIcVvPRhrXxeu24AENnqYLJ9NFah79riZjsEbeGmtLCqbd9sYmtody+fUrnAj4&#10;r7BSZQ04THH1aBqLQYF85yXLx0iqeHoNvPTglOTMKno8xSJA6DIYe0kklbaeOiiyTkIWaxvksepb&#10;/XTRtcfTUJZJ+nNfsx8f4u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0ctdNcAAAAIAQAADwAA&#10;AAAAAAABACAAAAAiAAAAZHJzL2Rvd25yZXYueG1sUEsBAhQAFAAAAAgAh07iQHq5WaveAQAA0AMA&#10;AA4AAAAAAAAAAQAgAAAAJgEAAGRycy9lMm9Eb2MueG1sUEsFBgAAAAAGAAYAWQEAAHYFAAAAAA==&#10;">
              <v:fill on="f" focussize="0,0"/>
              <v:stroke weight="1pt" color="#000000" joinstyle="round"/>
              <v:imagedata o:title=""/>
              <o:lock v:ext="edit" aspectratio="f"/>
            </v:line>
          </w:pict>
        </mc:Fallback>
      </mc:AlternateContent>
    </w:r>
    <w:r>
      <w:rPr>
        <w:rFonts w:ascii="黑体" w:hAnsi="黑体" w:eastAsia="黑体"/>
      </w:rPr>
      <w:t>2006.7</w:t>
    </w:r>
  </w:p>
  <w:p w14:paraId="520047B2">
    <w:pPr>
      <w:pStyle w:val="8"/>
      <w:tabs>
        <w:tab w:val="left" w:pos="2805"/>
        <w:tab w:val="clear" w:pos="4153"/>
        <w:tab w:val="clear" w:pos="830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6388D">
    <w:pPr>
      <w:pStyle w:val="8"/>
      <w:tabs>
        <w:tab w:val="left" w:pos="2805"/>
        <w:tab w:val="clear" w:pos="4153"/>
        <w:tab w:val="clear" w:pos="8306"/>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CE970">
    <w:pPr>
      <w:pStyle w:val="8"/>
      <w:tabs>
        <w:tab w:val="left" w:pos="2805"/>
        <w:tab w:val="clear" w:pos="4153"/>
        <w:tab w:val="clear" w:pos="8306"/>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F339F">
    <w:pPr>
      <w:pStyle w:val="8"/>
      <w:tabs>
        <w:tab w:val="left" w:pos="4905"/>
        <w:tab w:val="clear" w:pos="4153"/>
        <w:tab w:val="clear" w:pos="8306"/>
      </w:tabs>
      <w:spacing w:line="200" w:lineRule="exact"/>
      <w:jc w:val="both"/>
      <w:rPr>
        <w:rFonts w:eastAsia="黑体"/>
      </w:rPr>
    </w:pPr>
    <w:r>
      <w:drawing>
        <wp:anchor distT="0" distB="0" distL="114300" distR="114300" simplePos="0" relativeHeight="251663360"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6" name="图片 3"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4D56B7B8">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2" name="直线 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dN913gEAANADAAAOAAAAZHJzL2Uyb0RvYy54bWytU0tu&#10;2zAQ3RfoHQjuY8kKkBaC5SzippuiNdD2AGOSkgjwBw5j2WfpNbrqpsfJNTqkHCdNN15UC2o4nHkz&#10;73G4uj1Yw/Yqovau48tFzZlywkvtho5//3Z/9Z4zTOAkGO9Ux48K+e367ZvVFFrV+NEbqSIjEIft&#10;FDo+phTaqkIxKgu48EE5Oux9tJBoG4dKRpgI3ZqqqeubavJRhuiFQiTvZj7kJ8R4CaDvey3UxosH&#10;q1yaUaMykIgSjjogX5du+16J9KXvUSVmOk5MU1mpCNm7vFbrFbRDhDBqcWoBLmnhFScL2lHRM9QG&#10;ErCHqP+BslpEj75PC+FtNRMpihCLZf1Km68jBFW4kNQYzqLj/4MVn/fbyLTseMOZA0sX/vjj5+Ov&#10;36zJ2kwBWwq5c9t42mHYxkz00Eeb/0SBHYqex7Oe6pCYIOfNkkhdk9Ti6ax6TgwR00flLctGx412&#10;mSq0sP+EiYpR6FNIdhvHJhrX5l2d8YAGr6cLJ9MGah7dUJLRGy3vtTE5BeOwuzOR7SFffvkyJwL+&#10;KyxX2QCOc1w5msdiVCA/OMnSMZAsjl4Dzz1YJTkzih5PtggQ2gTaXBJJpY2jDrKss5DZ2nl5LPoW&#10;P1106fE0lHmSXu5L9vND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0ctdNcAAAAIAQAADwAA&#10;AAAAAAABACAAAAAiAAAAZHJzL2Rvd25yZXYueG1sUEsBAhQAFAAAAAgAh07iQIZ033XeAQAA0AMA&#10;AA4AAAAAAAAAAQAgAAAAJgEAAGRycy9lMm9Eb2MueG1sUEsFBgAAAAAGAAYAWQEAAHYFAAAAAA==&#10;">
              <v:fill on="f" focussize="0,0"/>
              <v:stroke weight="1pt" color="#000000" joinstyle="round"/>
              <v:imagedata o:title=""/>
              <o:lock v:ext="edit" aspectratio="f"/>
            </v:line>
          </w:pict>
        </mc:Fallback>
      </mc:AlternateContent>
    </w:r>
    <w:r>
      <w:rPr>
        <w:rFonts w:hint="eastAsia" w:ascii="黑体" w:eastAsia="黑体"/>
      </w:rPr>
      <w:t>2006.7</w:t>
    </w:r>
  </w:p>
  <w:p w14:paraId="33EA36DD">
    <w:pPr>
      <w:pStyle w:val="8"/>
      <w:tabs>
        <w:tab w:val="left" w:pos="2805"/>
        <w:tab w:val="clear" w:pos="4153"/>
        <w:tab w:val="clear" w:pos="8306"/>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222CA">
    <w:pPr>
      <w:pStyle w:val="8"/>
      <w:tabs>
        <w:tab w:val="left" w:pos="4905"/>
        <w:tab w:val="clear" w:pos="4153"/>
        <w:tab w:val="clear" w:pos="8306"/>
      </w:tabs>
      <w:spacing w:line="200" w:lineRule="exact"/>
      <w:jc w:val="both"/>
      <w:rPr>
        <w:rFonts w:eastAsia="黑体"/>
      </w:rPr>
    </w:pPr>
    <w:r>
      <w:drawing>
        <wp:anchor distT="0" distB="0" distL="114300" distR="114300" simplePos="0" relativeHeight="251666432"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0" name="图片 7"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73C68FEF">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5408"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margin-left:0.15pt;margin-top:-12.35pt;height:0pt;width:481.9pt;z-index:25166540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iqmr3QEAANADAAAOAAAAZHJzL2Uyb0RvYy54bWytU0uO&#10;EzEQ3SNxB8t70kmQArTSmcWEYYMgEnCAij/dlvyTy5NOzsI1WLHhOHMNyu5MBoZNFvTCXS5Xvar3&#10;XF7fHJ1lB5XQBN/xxWzOmfIiSOP7jn/7evfqLWeYwUuwwauOnxTym83LF+sxtmoZhmClSoxAPLZj&#10;7PiQc2ybBsWgHOAsROXpUIfkINM29Y1MMBK6s81yPl81Y0gypiAUInm30yE/I6ZrAIPWRqhtEPdO&#10;+TyhJmUhEyUcTES+qd1qrUT+rDWqzGzHiWmuKxUhe1/WZrOGtk8QByPOLcA1LTzj5MB4KnqB2kIG&#10;dp/MP1DOiBQw6DwTwTUTkaoIsVjMn2nzZYCoKheSGuNFdPx/sOLTYZeYkR1/x5kHRxf+8P3Hw89f&#10;bFW0GSO2FHLrd+m8w7hLhehRJ1f+RIEdq56ni57qmJkg52pBpF6T1OLxrHlKjAnzBxUcK0bHrfGF&#10;KrRw+IiZilHoY0hxW89GGtflm3nBAxo8TRdOpovUPPq+JmOwRt4Za0sKpn5/axM7QLn8+hVOBPxX&#10;WKmyBRymuHo0jcWgQL73kuVTJFk8vQZeenBKcmYVPZ5iESC0GYy9JpJKW08dFFknIYu1D/JU9a1+&#10;uuja43koyyT9ua/ZTw9x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zRy101wAAAAgBAAAPAAAA&#10;AAAAAAEAIAAAACIAAABkcnMvZG93bnJldi54bWxQSwECFAAUAAAACACHTuJAhoqpq90BAADQAwAA&#10;DgAAAAAAAAABACAAAAAmAQAAZHJzL2Uyb0RvYy54bWxQSwUGAAAAAAYABgBZAQAAdQUAAAAA&#10;">
              <v:fill on="f" focussize="0,0"/>
              <v:stroke weight="1pt" color="#000000" joinstyle="round"/>
              <v:imagedata o:title=""/>
              <o:lock v:ext="edit" aspectratio="f"/>
            </v:line>
          </w:pict>
        </mc:Fallback>
      </mc:AlternateContent>
    </w:r>
    <w:r>
      <w:rPr>
        <w:rFonts w:hint="eastAsia" w:ascii="黑体" w:eastAsia="黑体"/>
      </w:rPr>
      <w:t>2006.7</w:t>
    </w:r>
  </w:p>
  <w:p w14:paraId="63C41DED">
    <w:pPr>
      <w:pStyle w:val="8"/>
      <w:tabs>
        <w:tab w:val="left" w:pos="2805"/>
        <w:tab w:val="clear" w:pos="4153"/>
        <w:tab w:val="clear" w:pos="8306"/>
      </w:tabs>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DE45E">
    <w:pPr>
      <w:jc w:val="center"/>
      <w:outlineLvl w:val="0"/>
      <w:rPr>
        <w:rFonts w:ascii="黑体" w:hAnsi="黑体" w:eastAsia="黑体"/>
        <w:b/>
        <w:spacing w:val="89"/>
        <w:kern w:val="1"/>
        <w:sz w:val="28"/>
      </w:rPr>
    </w:pPr>
    <w:r>
      <w:rPr>
        <w:rFonts w:ascii="黑体" w:hAnsi="黑体" w:eastAsia="黑体"/>
        <w:b/>
        <w:spacing w:val="89"/>
        <w:kern w:val="1"/>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23" name="线条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线条10"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JdKm7dAQAA0QMAAA4AAABkcnMvZTJvRG9jLnhtbK1TS44T&#10;MRDdI3EHy3vSSUYaUCudWUwYNggiAQeo+NNtyT+5POnkMCy4BhtuA9eg7M4kMGyyoBfusl31qt6r&#10;8uru4Czbq4Qm+I4vZnPOlBdBGt93/Mvnh1dvOMMMXoINXnX8qJDfrV++WI2xVcswBCtVYgTisR1j&#10;x4ecY9s0KAblAGchKk+XOiQHmbapb2SCkdCdbZbz+W0zhiRjCkIh0ulmuuQnxHQNYNDaCLUJ4tEp&#10;nyfUpCxkooSDicjXtVqtlcgftUaVme04Mc11pSRk78rarFfQ9gniYMSpBLimhGecHBhPSc9QG8jA&#10;HpP5B8oZkQIGnWciuGYiUhUhFov5M20+DRBV5UJSYzyLjv8PVnzYbxMzsuPLG848OOr4r+8/fn79&#10;tqjijBFb8rn320RSlR3GbSpMDzq58icO7FAFPZ4FVYfMBB3eLojVDWktnu6aS2BMmN+p4FgxOm6N&#10;L1yhhf17zJSMXJ9cyrH1bKR5Xb6eFzygydPUcTJdpOrR9zUYgzXywVhbQjD1u3ub2B5K9+tXGk7A&#10;f7mVLBvAYfKrV9NcDArkWy9ZPkaSxdNz4KUGpyRnVtHrKVadoAzGXuNJqa2nCi5CFmsX5LHqW8+p&#10;07XG01SWUfpzX6MvL3H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9UnZXWAAAABgEAAA8AAAAA&#10;AAAAAQAgAAAAIgAAAGRycy9kb3ducmV2LnhtbFBLAQIUABQAAAAIAIdO4kCCXSpu3QEAANEDAAAO&#10;AAAAAAAAAAEAIAAAACUBAABkcnMvZTJvRG9jLnhtbFBLBQYAAAAABgAGAFkBAAB0BQAAAAA=&#10;">
              <v:fill on="f" focussize="0,0"/>
              <v:stroke weight="1pt" color="#000000" joinstyle="round"/>
              <v:imagedata o:title=""/>
              <o:lock v:ext="edit" aspectratio="f"/>
            </v:line>
          </w:pict>
        </mc:Fallback>
      </mc:AlternateContent>
    </w:r>
    <w:r>
      <w:rPr>
        <w:rFonts w:hint="eastAsia" w:ascii="黑体" w:hAnsi="黑体" w:eastAsia="黑体"/>
        <w:b/>
        <w:spacing w:val="89"/>
        <w:kern w:val="1"/>
        <w:sz w:val="28"/>
      </w:rPr>
      <w:t>众联专利文本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49555">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8480"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7" name="直线 1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4" o:spid="_x0000_s1026" o:spt="20" style="position:absolute;left:0pt;margin-left:0pt;margin-top:28.35pt;height:0pt;width:481.9pt;z-index:25166848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OPML13fAQAA0gMAAA4AAABkcnMvZTJvRG9jLnhtbK1TS44T&#10;MRDdI3EHy3vSnYBmUCudWUwYNggiwRyg4k/akn9yedLJWbgGKzYcZ65B2Z3JwLDJgl64y+WqV/We&#10;y8ubg7NsrxKa4Hs+n7WcKS+CNH7X8/tvd2/ec4YZvAQbvOr5USG/Wb1+tRxjpxZhCFaqxAjEYzfG&#10;ng85x65pUAzKAc5CVJ4OdUgOMm3TrpEJRkJ3tlm07VUzhiRjCkIhknc9HfITYroEMGhthFoH8eCU&#10;zxNqUhYyUcLBROSr2q3WSuQvWqPKzPacmOa6UhGyt2VtVkvodgniYMSpBbikhRecHBhPRc9Qa8jA&#10;HpL5B8oZkQIGnWciuGYiUhUhFvP2hTZfB4iqciGpMZ5Fx/8HKz7vN4kZSZNwzZkHRzf++P3H489f&#10;bP6uqDNG7Cjo1m/SaYdxkwrVg06u/IkEO1RFj2dF1SEzQc6rOdF6S2KLp7PmOTEmzB9VcKwYPbfG&#10;F7LQwf4TZipGoU8hxW09G6nNxXVb8IBGT9OVk+kitY9+V5MxWCPvjLUlBdNue2sT20O5/voVTgT8&#10;V1ipsgYcprh6NA3GoEB+8JLlYyRdPL0HXnpwSnJmFT2fYhEgdBmMvSSSSltPHRRZJyGLtQ3yWPWt&#10;frrq2uNpLMss/bmv2c9Pcf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OPML13fAQAA0g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6FD05">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4"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0pt;margin-top:28.35pt;height:0pt;width:481.9pt;z-index:251667456;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l/urfAQAA0gMAAA4AAABkcnMvZTJvRG9jLnhtbK1TzY7T&#10;MBC+I/EOlu80SUELipruYbvLBUEl4AGmtpNY8p883qZ9Fl6DExceZ1+DsdPtwnLpYXNwxuOZb+b7&#10;PF5dH6xhexVRe9fxZlFzppzwUruh49+/3b35wBkmcBKMd6rjR4X8ev361WoKrVr60RupIiMQh+0U&#10;Oj6mFNqqQjEqC7jwQTk67H20kGgbh0pGmAjdmmpZ11fV5KMM0QuFSN7NfMhPiPESQN/3WqiNF/dW&#10;uTSjRmUgESUcdUC+Lt32vRLpS9+jSsx0nJimslIRsnd5rdYraIcIYdTi1AJc0sIzTha0o6JnqA0k&#10;YPdR/wdltYgefZ8WwttqJlIUIRZN/UybryMEVbiQ1BjOouPLwYrP+21kWtIkvOPMgaUbf/jx8+HX&#10;b9Y0WZ0pYEtBN24bTzsM25ipHvpo859IsENR9HhWVB0SE+S8aojWWxJbPJ5VT4khYvqovGXZ6LjR&#10;LpOFFvafMFExCn0MyW7j2ERtLt/XGQ9o9Hq6cjJtoPbRDSUZvdHyThuTUzAOuxsT2R7y9ZcvcyLg&#10;f8JylQ3gOMeVo3kwRgXy1kmWjoF0cfQeeO7BKsmZUfR8skWA0CbQ5pJIKm0cdZBlnYXM1s7LY9G3&#10;+OmqS4+nscyz9Pe+ZD89x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M/l/urfAQAA0g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19234">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HyEItzdAQAA0AMAAA4AAABkcnMvZTJvRG9jLnhtbK1TS24b&#10;MQzdF+gdBO3jsR0gLQYeZxE33RStgbYHoPWZEaAfRMVjn6XX6KqbHifXKKVxnDTdeNFZaCiKfOR7&#10;ola3B2fZXiU0wXd8MZtzprwI0vi+49+/3V+95wwzeAk2eNXxo0J+u377ZjXGVi3DEKxUiRGIx3aM&#10;HR9yjm3ToBiUA5yFqDwd6pAcZNqmvpEJRkJ3tlnO5zfNGJKMKQiFSN7NdMhPiOkSwKC1EWoTxINT&#10;Pk+oSVnIRAkHE5Gva7daK5G/aI0qM9txYprrSkXI3pW1Wa+g7RPEwYhTC3BJC684OTCeip6hNpCB&#10;PSTzD5QzIgUMOs9EcM1EpCpCLBbzV9p8HSCqyoWkxngWHf8frPi83yZmJE0CZx4cXfjjj5+Pv36z&#10;RdFmjNhSyJ3fptMO4zYVogedXPkTBXaoeh7PeqpDZoKcNwsidU1Si6ez5jkxJswfVXCsGB23xheq&#10;0ML+E2YqRqFPIcVtPRupyeW7ecEDGjxNF06mi9Q8+r4mY7BG3htrSwqmfndnE9tDufz6FU4E/FdY&#10;qbIBHKa4ejSNxaBAfvCS5WMkWTy9Bl56cEpyZhU9nmIRILQZjL0kkkpbTx0UWSchi7UL8lj1rX66&#10;6NrjaSjLJL3c1+znh7j+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9UnZXWAAAABgEAAA8AAAAA&#10;AAAAAQAgAAAAIgAAAGRycy9kb3ducmV2LnhtbFBLAQIUABQAAAAIAIdO4kB8hCLc3QEAANADAAAO&#10;AAAAAAAAAAEAIAAAACUBAABkcnMvZTJvRG9jLnhtbFBLBQYAAAAABgAGAFkBAAB0BQAAAAA=&#10;">
              <v:fill on="f" focussize="0,0"/>
              <v:stroke weight="1pt" color="#000000" joinstyle="round"/>
              <v:imagedata o:title=""/>
              <o:lock v:ext="edit" aspectratio="f"/>
            </v:line>
          </w:pict>
        </mc:Fallback>
      </mc:AlternateContent>
    </w:r>
    <w:r>
      <w:rPr>
        <w:rFonts w:hint="eastAsia" w:eastAsia="黑体"/>
        <w:b/>
        <w:spacing w:val="90"/>
        <w:sz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ECF7">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7" name="直线 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3hgfTeAQAA0AMAAA4AAABkcnMvZTJvRG9jLnhtbK1TS44T&#10;MRDdI3EHy3vSnYBmUCudWUwYNggiwRyg4k/akn9yedLJWbgGKzYcZ65B2Z3JwLDJgl64y+WqV/We&#10;y8ubg7NsrxKa4Hs+n7WcKS+CNH7X8/tvd2/ec4YZvAQbvOr5USG/Wb1+tRxjpxZhCFaqxAjEYzfG&#10;ng85x65pUAzKAc5CVJ4OdUgOMm3TrpEJRkJ3tlm07VUzhiRjCkIhknc9HfITYroEMGhthFoH8eCU&#10;zxNqUhYyUcLBROSr2q3WSuQvWqPKzPacmOa6UhGyt2VtVkvodgniYMSpBbikhRecHBhPRc9Qa8jA&#10;HpL5B8oZkQIGnWciuGYiUhUhFvP2hTZfB4iqciGpMZ5Fx/8HKz7vN4kZ2fNrzjw4uvDH7z8ef/5i&#10;74o2Y8SOQm79Jp12GDepED3o5MqfKLBD1fN41lMdMhPkvJoTqbcktXg6a54TY8L8UQXHitFza3yh&#10;Ch3sP2GmYhT6FFLc1rORxnVx3RY8oMHTdOFkukjNo9/VZAzWyDtjbUnBtNve2sT2UC6/foUTAf8V&#10;VqqsAYcprh5NYzEokB+8ZPkYSRZPr4GXHpySnFlFj6dYBAhdBmMviaTS1lMHRdZJyGJtgzxWfauf&#10;Lrr2eBrKMkl/7mv280Nc/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VJ2V1gAAAAYBAAAPAAAA&#10;AAAAAAEAIAAAACIAAABkcnMvZG93bnJldi54bWxQSwECFAAUAAAACACHTuJAbeGB9N4BAADQAwAA&#10;DgAAAAAAAAABACAAAAAlAQAAZHJzL2Uyb0RvYy54bWxQSwUGAAAAAAYABgBZAQAAdQUAAAAA&#10;">
              <v:fill on="f" focussize="0,0"/>
              <v:stroke weight="1pt" color="#000000" joinstyle="round"/>
              <v:imagedata o:title=""/>
              <o:lock v:ext="edit" aspectratio="f"/>
            </v:line>
          </w:pict>
        </mc:Fallback>
      </mc:AlternateContent>
    </w:r>
    <w:r>
      <w:rPr>
        <w:rFonts w:hint="eastAsia" w:eastAsia="黑体"/>
        <w:b/>
        <w:spacing w:val="90"/>
        <w:sz w:val="28"/>
      </w:rPr>
      <w:t xml:space="preserve">说明书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67CE6">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438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8"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0pt;margin-top:28.35pt;height:0pt;width:481.9pt;z-index:25166438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fbHLrdAQAA0AMAAA4AAABkcnMvZTJvRG9jLnhtbK1TS44T&#10;MRDdI3EHy3vSnSAG1EpnFpMZNggiAQeo+JO25J9cnnRyFq7Big3HmWtQdmcyMGyymF64y3bVq3qv&#10;ysvrg7NsrxKa4Hs+n7WcKS+CNH7X8+/f7t584AwzeAk2eNXzo0J+vXr9ajnGTi3CEKxUiRGIx26M&#10;PR9yjl3ToBiUA5yFqDxd6pAcZNqmXSMTjITubLNo26tmDEnGFIRCpNP1dMlPiOkSwKC1EWodxL1T&#10;Pk+oSVnIRAkHE5GvarVaK5G/aI0qM9tzYprrSknI3pa1WS2h2yWIgxGnEuCSEp5xcmA8JT1DrSED&#10;u0/mPyhnRAoYdJ6J4JqJSFWEWMzbZ9p8HSCqyoWkxngWHV8OVnzebxIzsufUdg+OGv7w4+fDr9/s&#10;XdFmjNiRy43fpNMO4yYVogedXPkTBXaoeh7PeqpDZoIOr+ZE6i1JLR7vmqfAmDB/VMGxYvTcGl+o&#10;Qgf7T5gpGbk+upRj69lI47p43xY8oMHT1HAyXaTi0e9qMAZr5J2xtoRg2m1vbGJ7KM2vX+FEwP+4&#10;lSxrwGHyq1fTWAwK5K2XLB8jyeLpNfBSg1OSM6vo8RSLAKHLYOwlnpTaeqqgyDoJWaxtkMeqbz2n&#10;RtcaT0NZJunvfY1+eoi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9UnZXWAAAABgEAAA8AAAAA&#10;AAAAAQAgAAAAIgAAAGRycy9kb3ducmV2LnhtbFBLAQIUABQAAAAIAIdO4kDX2xy63QEAANADAAAO&#10;AAAAAAAAAAEAIAAAACUBAABkcnMvZTJvRG9jLnhtbFBLBQYAAAAABgAGAFkBAAB0BQAAAAA=&#10;">
              <v:fill on="f" focussize="0,0"/>
              <v:stroke weight="1pt" color="#000000" joinstyle="round"/>
              <v:imagedata o:title=""/>
              <o:lock v:ext="edit" aspectratio="f"/>
            </v:line>
          </w:pict>
        </mc:Fallback>
      </mc:AlternateContent>
    </w:r>
    <w:r>
      <w:rPr>
        <w:rFonts w:hint="eastAsia" w:eastAsia="黑体"/>
        <w:b/>
        <w:spacing w:val="90"/>
        <w:sz w:val="28"/>
      </w:rPr>
      <w:t xml:space="preserve">摘要附图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BF0B5"/>
    <w:multiLevelType w:val="singleLevel"/>
    <w:tmpl w:val="97FBF0B5"/>
    <w:lvl w:ilvl="0" w:tentative="0">
      <w:start w:val="321"/>
      <w:numFmt w:val="decimal"/>
      <w:suff w:val="nothing"/>
      <w:lvlText w:val="（%1）"/>
      <w:lvlJc w:val="left"/>
      <w:pPr>
        <w:ind w:left="0" w:firstLine="420"/>
      </w:pPr>
    </w:lvl>
  </w:abstractNum>
  <w:abstractNum w:abstractNumId="1">
    <w:nsid w:val="AEC0C102"/>
    <w:multiLevelType w:val="singleLevel"/>
    <w:tmpl w:val="AEC0C102"/>
    <w:lvl w:ilvl="0" w:tentative="0">
      <w:start w:val="341"/>
      <w:numFmt w:val="decimal"/>
      <w:suff w:val="nothing"/>
      <w:lvlText w:val="（%1）"/>
      <w:lvlJc w:val="left"/>
      <w:pPr>
        <w:ind w:left="0" w:firstLine="420"/>
      </w:pPr>
    </w:lvl>
  </w:abstractNum>
  <w:abstractNum w:abstractNumId="2">
    <w:nsid w:val="AFE85846"/>
    <w:multiLevelType w:val="singleLevel"/>
    <w:tmpl w:val="AFE85846"/>
    <w:lvl w:ilvl="0" w:tentative="0">
      <w:start w:val="21"/>
      <w:numFmt w:val="decimal"/>
      <w:suff w:val="nothing"/>
      <w:lvlText w:val="（%1）"/>
      <w:lvlJc w:val="left"/>
    </w:lvl>
  </w:abstractNum>
  <w:abstractNum w:abstractNumId="3">
    <w:nsid w:val="D4DF29AD"/>
    <w:multiLevelType w:val="singleLevel"/>
    <w:tmpl w:val="D4DF29AD"/>
    <w:lvl w:ilvl="0" w:tentative="0">
      <w:start w:val="11"/>
      <w:numFmt w:val="decimal"/>
      <w:suff w:val="nothing"/>
      <w:lvlText w:val="（%1）"/>
      <w:lvlJc w:val="left"/>
    </w:lvl>
  </w:abstractNum>
  <w:abstractNum w:abstractNumId="4">
    <w:nsid w:val="D8123709"/>
    <w:multiLevelType w:val="singleLevel"/>
    <w:tmpl w:val="D8123709"/>
    <w:lvl w:ilvl="0" w:tentative="0">
      <w:start w:val="21"/>
      <w:numFmt w:val="decimal"/>
      <w:suff w:val="nothing"/>
      <w:lvlText w:val="（%1）"/>
      <w:lvlJc w:val="left"/>
    </w:lvl>
  </w:abstractNum>
  <w:abstractNum w:abstractNumId="5">
    <w:nsid w:val="E8E71205"/>
    <w:multiLevelType w:val="singleLevel"/>
    <w:tmpl w:val="E8E71205"/>
    <w:lvl w:ilvl="0" w:tentative="0">
      <w:start w:val="311"/>
      <w:numFmt w:val="decimal"/>
      <w:suff w:val="nothing"/>
      <w:lvlText w:val="（%1）"/>
      <w:lvlJc w:val="left"/>
      <w:pPr>
        <w:ind w:left="0" w:firstLine="420"/>
      </w:pPr>
    </w:lvl>
  </w:abstractNum>
  <w:abstractNum w:abstractNumId="6">
    <w:nsid w:val="ED584F7E"/>
    <w:multiLevelType w:val="singleLevel"/>
    <w:tmpl w:val="ED584F7E"/>
    <w:lvl w:ilvl="0" w:tentative="0">
      <w:start w:val="321"/>
      <w:numFmt w:val="decimal"/>
      <w:suff w:val="nothing"/>
      <w:lvlText w:val="（%1）"/>
      <w:lvlJc w:val="left"/>
      <w:pPr>
        <w:ind w:left="0" w:firstLine="420"/>
      </w:pPr>
    </w:lvl>
  </w:abstractNum>
  <w:abstractNum w:abstractNumId="7">
    <w:nsid w:val="ED6F70FE"/>
    <w:multiLevelType w:val="singleLevel"/>
    <w:tmpl w:val="ED6F70FE"/>
    <w:lvl w:ilvl="0" w:tentative="0">
      <w:start w:val="31"/>
      <w:numFmt w:val="decimal"/>
      <w:suff w:val="nothing"/>
      <w:lvlText w:val="（%1）"/>
      <w:lvlJc w:val="left"/>
    </w:lvl>
  </w:abstractNum>
  <w:abstractNum w:abstractNumId="8">
    <w:nsid w:val="F5CB6E1E"/>
    <w:multiLevelType w:val="singleLevel"/>
    <w:tmpl w:val="F5CB6E1E"/>
    <w:lvl w:ilvl="0" w:tentative="0">
      <w:start w:val="311"/>
      <w:numFmt w:val="decimal"/>
      <w:suff w:val="nothing"/>
      <w:lvlText w:val="（%1）"/>
      <w:lvlJc w:val="left"/>
      <w:pPr>
        <w:ind w:left="0" w:firstLine="420"/>
      </w:pPr>
    </w:lvl>
  </w:abstractNum>
  <w:abstractNum w:abstractNumId="9">
    <w:nsid w:val="FA226223"/>
    <w:multiLevelType w:val="singleLevel"/>
    <w:tmpl w:val="FA226223"/>
    <w:lvl w:ilvl="0" w:tentative="0">
      <w:start w:val="341"/>
      <w:numFmt w:val="decimal"/>
      <w:suff w:val="nothing"/>
      <w:lvlText w:val="（%1）"/>
      <w:lvlJc w:val="left"/>
      <w:pPr>
        <w:ind w:left="0" w:firstLine="420"/>
      </w:pPr>
    </w:lvl>
  </w:abstractNum>
  <w:abstractNum w:abstractNumId="10">
    <w:nsid w:val="FE8C873B"/>
    <w:multiLevelType w:val="singleLevel"/>
    <w:tmpl w:val="FE8C873B"/>
    <w:lvl w:ilvl="0" w:tentative="0">
      <w:start w:val="1"/>
      <w:numFmt w:val="decimal"/>
      <w:suff w:val="nothing"/>
      <w:lvlText w:val="（%1）"/>
      <w:lvlJc w:val="left"/>
    </w:lvl>
  </w:abstractNum>
  <w:abstractNum w:abstractNumId="11">
    <w:nsid w:val="095B8BEB"/>
    <w:multiLevelType w:val="singleLevel"/>
    <w:tmpl w:val="095B8BEB"/>
    <w:lvl w:ilvl="0" w:tentative="0">
      <w:start w:val="1"/>
      <w:numFmt w:val="decimal"/>
      <w:suff w:val="nothing"/>
      <w:lvlText w:val="（%1）"/>
      <w:lvlJc w:val="left"/>
      <w:pPr>
        <w:ind w:left="0" w:firstLine="420"/>
      </w:pPr>
    </w:lvl>
  </w:abstractNum>
  <w:abstractNum w:abstractNumId="12">
    <w:nsid w:val="0AE0EC80"/>
    <w:multiLevelType w:val="singleLevel"/>
    <w:tmpl w:val="0AE0EC80"/>
    <w:lvl w:ilvl="0" w:tentative="0">
      <w:start w:val="31"/>
      <w:numFmt w:val="decimal"/>
      <w:suff w:val="nothing"/>
      <w:lvlText w:val="（%1）"/>
      <w:lvlJc w:val="left"/>
    </w:lvl>
  </w:abstractNum>
  <w:abstractNum w:abstractNumId="13">
    <w:nsid w:val="7AF77BE9"/>
    <w:multiLevelType w:val="singleLevel"/>
    <w:tmpl w:val="7AF77BE9"/>
    <w:lvl w:ilvl="0" w:tentative="0">
      <w:start w:val="11"/>
      <w:numFmt w:val="decimal"/>
      <w:suff w:val="nothing"/>
      <w:lvlText w:val="（%1）"/>
      <w:lvlJc w:val="left"/>
    </w:lvl>
  </w:abstractNum>
  <w:num w:numId="1">
    <w:abstractNumId w:val="13"/>
  </w:num>
  <w:num w:numId="2">
    <w:abstractNumId w:val="2"/>
  </w:num>
  <w:num w:numId="3">
    <w:abstractNumId w:val="12"/>
  </w:num>
  <w:num w:numId="4">
    <w:abstractNumId w:val="8"/>
  </w:num>
  <w:num w:numId="5">
    <w:abstractNumId w:val="0"/>
  </w:num>
  <w:num w:numId="6">
    <w:abstractNumId w:val="9"/>
  </w:num>
  <w:num w:numId="7">
    <w:abstractNumId w:val="3"/>
  </w:num>
  <w:num w:numId="8">
    <w:abstractNumId w:val="4"/>
  </w:num>
  <w:num w:numId="9">
    <w:abstractNumId w:val="7"/>
  </w:num>
  <w:num w:numId="10">
    <w:abstractNumId w:val="5"/>
  </w:num>
  <w:num w:numId="11">
    <w:abstractNumId w:val="6"/>
  </w:num>
  <w:num w:numId="12">
    <w:abstractNumId w:val="1"/>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lYzU0ZWY2OTk0M2IwOGI2OGY0MWEzNDNiOWM4ODYifQ=="/>
  </w:docVars>
  <w:rsids>
    <w:rsidRoot w:val="00B67C54"/>
    <w:rsid w:val="00052A9A"/>
    <w:rsid w:val="000F2175"/>
    <w:rsid w:val="00120EEA"/>
    <w:rsid w:val="003B654C"/>
    <w:rsid w:val="003C1EF4"/>
    <w:rsid w:val="003E3433"/>
    <w:rsid w:val="00514DD6"/>
    <w:rsid w:val="00584102"/>
    <w:rsid w:val="00627D30"/>
    <w:rsid w:val="0067160F"/>
    <w:rsid w:val="00717A2E"/>
    <w:rsid w:val="007534D9"/>
    <w:rsid w:val="007F634C"/>
    <w:rsid w:val="008F5B53"/>
    <w:rsid w:val="00AC5F85"/>
    <w:rsid w:val="00B67C54"/>
    <w:rsid w:val="00BD6BFD"/>
    <w:rsid w:val="00C41EB1"/>
    <w:rsid w:val="00D51056"/>
    <w:rsid w:val="00D67696"/>
    <w:rsid w:val="00D84F9F"/>
    <w:rsid w:val="00DA5C7E"/>
    <w:rsid w:val="00E03DF3"/>
    <w:rsid w:val="00E0768F"/>
    <w:rsid w:val="00E217D1"/>
    <w:rsid w:val="00EF3525"/>
    <w:rsid w:val="00FD2709"/>
    <w:rsid w:val="02832A46"/>
    <w:rsid w:val="0C4574AD"/>
    <w:rsid w:val="0D95362E"/>
    <w:rsid w:val="0DC30133"/>
    <w:rsid w:val="19E926F9"/>
    <w:rsid w:val="1C5E4C40"/>
    <w:rsid w:val="1DE86518"/>
    <w:rsid w:val="233E2EA6"/>
    <w:rsid w:val="254918A9"/>
    <w:rsid w:val="31F8095C"/>
    <w:rsid w:val="33A01066"/>
    <w:rsid w:val="3A46002D"/>
    <w:rsid w:val="40A86E84"/>
    <w:rsid w:val="430A02F4"/>
    <w:rsid w:val="4AC92F5B"/>
    <w:rsid w:val="4CC02217"/>
    <w:rsid w:val="4CFE5A6E"/>
    <w:rsid w:val="4E4E20C0"/>
    <w:rsid w:val="4E837436"/>
    <w:rsid w:val="51797438"/>
    <w:rsid w:val="54C8481F"/>
    <w:rsid w:val="5A124543"/>
    <w:rsid w:val="669E2A6C"/>
    <w:rsid w:val="69F46EC4"/>
    <w:rsid w:val="766557BC"/>
    <w:rsid w:val="77453AFE"/>
    <w:rsid w:val="7A486D1D"/>
    <w:rsid w:val="7B742621"/>
    <w:rsid w:val="7FD21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3"/>
    <w:semiHidden/>
    <w:unhideWhenUsed/>
    <w:qFormat/>
    <w:uiPriority w:val="99"/>
    <w:pPr>
      <w:jc w:val="left"/>
    </w:pPr>
  </w:style>
  <w:style w:type="paragraph" w:styleId="7">
    <w:name w:val="Balloon Text"/>
    <w:basedOn w:val="1"/>
    <w:link w:val="22"/>
    <w:semiHidden/>
    <w:unhideWhenUsed/>
    <w:qFormat/>
    <w:uiPriority w:val="99"/>
    <w:rPr>
      <w:sz w:val="18"/>
      <w:szCs w:val="18"/>
    </w:rPr>
  </w:style>
  <w:style w:type="paragraph" w:styleId="8">
    <w:name w:val="footer"/>
    <w:basedOn w:val="1"/>
    <w:link w:val="21"/>
    <w:unhideWhenUsed/>
    <w:qFormat/>
    <w:uiPriority w:val="0"/>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szCs w:val="24"/>
    </w:rPr>
  </w:style>
  <w:style w:type="paragraph" w:styleId="11">
    <w:name w:val="annotation subject"/>
    <w:basedOn w:val="6"/>
    <w:next w:val="6"/>
    <w:link w:val="24"/>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basedOn w:val="14"/>
    <w:qFormat/>
    <w:uiPriority w:val="0"/>
  </w:style>
  <w:style w:type="character" w:styleId="17">
    <w:name w:val="line number"/>
    <w:basedOn w:val="14"/>
    <w:semiHidden/>
    <w:unhideWhenUsed/>
    <w:qFormat/>
    <w:uiPriority w:val="99"/>
  </w:style>
  <w:style w:type="character" w:styleId="18">
    <w:name w:val="Hyperlink"/>
    <w:basedOn w:val="14"/>
    <w:unhideWhenUsed/>
    <w:qFormat/>
    <w:uiPriority w:val="99"/>
    <w:rPr>
      <w:color w:val="0000FF"/>
      <w:u w:val="single"/>
    </w:rPr>
  </w:style>
  <w:style w:type="character" w:styleId="19">
    <w:name w:val="annotation reference"/>
    <w:basedOn w:val="14"/>
    <w:unhideWhenUsed/>
    <w:qFormat/>
    <w:uiPriority w:val="0"/>
    <w:rPr>
      <w:sz w:val="21"/>
      <w:szCs w:val="21"/>
    </w:rPr>
  </w:style>
  <w:style w:type="character" w:customStyle="1" w:styleId="20">
    <w:name w:val="页眉 字符"/>
    <w:basedOn w:val="14"/>
    <w:link w:val="9"/>
    <w:qFormat/>
    <w:uiPriority w:val="99"/>
    <w:rPr>
      <w:sz w:val="18"/>
      <w:szCs w:val="18"/>
    </w:rPr>
  </w:style>
  <w:style w:type="character" w:customStyle="1" w:styleId="21">
    <w:name w:val="页脚 字符"/>
    <w:basedOn w:val="14"/>
    <w:link w:val="8"/>
    <w:semiHidden/>
    <w:qFormat/>
    <w:uiPriority w:val="99"/>
    <w:rPr>
      <w:sz w:val="18"/>
      <w:szCs w:val="18"/>
    </w:rPr>
  </w:style>
  <w:style w:type="character" w:customStyle="1" w:styleId="22">
    <w:name w:val="批注框文本 字符"/>
    <w:basedOn w:val="14"/>
    <w:link w:val="7"/>
    <w:semiHidden/>
    <w:qFormat/>
    <w:uiPriority w:val="99"/>
    <w:rPr>
      <w:rFonts w:ascii="Times New Roman" w:hAnsi="Times New Roman" w:eastAsia="宋体" w:cs="Times New Roman"/>
      <w:sz w:val="18"/>
      <w:szCs w:val="18"/>
    </w:rPr>
  </w:style>
  <w:style w:type="character" w:customStyle="1" w:styleId="23">
    <w:name w:val="批注文字 字符"/>
    <w:basedOn w:val="14"/>
    <w:link w:val="6"/>
    <w:semiHidden/>
    <w:qFormat/>
    <w:uiPriority w:val="99"/>
    <w:rPr>
      <w:rFonts w:ascii="Times New Roman" w:hAnsi="Times New Roman" w:eastAsia="宋体" w:cs="Times New Roman"/>
      <w:szCs w:val="20"/>
    </w:rPr>
  </w:style>
  <w:style w:type="character" w:customStyle="1" w:styleId="24">
    <w:name w:val="批注主题 字符"/>
    <w:basedOn w:val="23"/>
    <w:link w:val="11"/>
    <w:semiHidden/>
    <w:qFormat/>
    <w:uiPriority w:val="99"/>
    <w:rPr>
      <w:rFonts w:ascii="Times New Roman" w:hAnsi="Times New Roman" w:eastAsia="宋体" w:cs="Times New Roman"/>
      <w:b/>
      <w:bCs/>
      <w:szCs w:val="20"/>
    </w:rPr>
  </w:style>
  <w:style w:type="paragraph" w:styleId="25">
    <w:name w:val="List Paragraph"/>
    <w:basedOn w:val="1"/>
    <w:qFormat/>
    <w:uiPriority w:val="34"/>
    <w:pPr>
      <w:ind w:firstLine="420" w:firstLineChars="200"/>
    </w:pPr>
  </w:style>
  <w:style w:type="paragraph" w:customStyle="1" w:styleId="26">
    <w:name w:val="claim-text"/>
    <w:basedOn w:val="1"/>
    <w:qFormat/>
    <w:uiPriority w:val="0"/>
    <w:pPr>
      <w:widowControl/>
      <w:spacing w:before="100" w:beforeAutospacing="1" w:after="100" w:afterAutospacing="1"/>
      <w:jc w:val="left"/>
    </w:pPr>
    <w:rPr>
      <w:rFonts w:ascii="宋体" w:hAnsi="宋体" w:cs="宋体"/>
      <w:sz w:val="24"/>
      <w:szCs w:val="24"/>
    </w:rPr>
  </w:style>
  <w:style w:type="character" w:customStyle="1" w:styleId="27">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24</Pages>
  <Words>929</Words>
  <Characters>1331</Characters>
  <Lines>113</Lines>
  <Paragraphs>31</Paragraphs>
  <TotalTime>19</TotalTime>
  <ScaleCrop>false</ScaleCrop>
  <LinksUpToDate>false</LinksUpToDate>
  <CharactersWithSpaces>1501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2022-11-11T07:22:00Z</dcterms:created>
  <dc:creator>Administrator</dc:creator>
  <cp:lastModifiedBy>赵子辰</cp:lastModifiedBy>
  <dcterms:modified xsi:type="dcterms:W3CDTF">2026-04-07T08:42:00Z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EE591EF3446C4EDDA72007F59B84EC2B_13</vt:lpwstr>
  </property>
  <property fmtid="{D5CDD505-2E9C-101B-9397-08002B2CF9AE}" pid="4" name="KSOTemplateDocerSaveRecord">
    <vt:lpwstr>eyJoZGlkIjoiMTZjZDNiZjE0NGFiZmYyNzk5ODZjZDdmNWZlY2YxY2IiLCJ1c2VySWQiOiI0NDkwMzgyNTEifQ==</vt:lpwstr>
  </property>
</Properties>
</file>