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56579">
      <w:pPr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附表1：</w:t>
      </w:r>
    </w:p>
    <w:p w14:paraId="2A52A767">
      <w:pPr>
        <w:spacing w:line="360" w:lineRule="auto"/>
        <w:jc w:val="center"/>
        <w:rPr>
          <w:rFonts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东南大学校级SRTP项目中期检查表</w:t>
      </w:r>
    </w:p>
    <w:p w14:paraId="3FECE918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院系名称：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1"/>
        <w:gridCol w:w="1421"/>
        <w:gridCol w:w="1422"/>
        <w:gridCol w:w="1422"/>
        <w:gridCol w:w="1422"/>
      </w:tblGrid>
      <w:tr w14:paraId="339C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20" w:type="dxa"/>
            <w:vAlign w:val="top"/>
          </w:tcPr>
          <w:p w14:paraId="7EB70CEA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项目名称</w:t>
            </w:r>
          </w:p>
        </w:tc>
        <w:tc>
          <w:tcPr>
            <w:tcW w:w="7108" w:type="dxa"/>
            <w:gridSpan w:val="5"/>
            <w:vAlign w:val="top"/>
          </w:tcPr>
          <w:p w14:paraId="4F776CF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基于连续双帧射频指纹的LoRa设备识别技术研究</w:t>
            </w:r>
          </w:p>
        </w:tc>
      </w:tr>
      <w:tr w14:paraId="64FB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20" w:type="dxa"/>
            <w:vAlign w:val="top"/>
          </w:tcPr>
          <w:p w14:paraId="24B0EC9A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项目编号</w:t>
            </w:r>
          </w:p>
        </w:tc>
        <w:tc>
          <w:tcPr>
            <w:tcW w:w="1421" w:type="dxa"/>
            <w:vAlign w:val="top"/>
          </w:tcPr>
          <w:p w14:paraId="32719D0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202509002</w:t>
            </w:r>
          </w:p>
        </w:tc>
        <w:tc>
          <w:tcPr>
            <w:tcW w:w="1421" w:type="dxa"/>
            <w:vAlign w:val="top"/>
          </w:tcPr>
          <w:p w14:paraId="4BA2ABA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学生负责人</w:t>
            </w:r>
          </w:p>
        </w:tc>
        <w:tc>
          <w:tcPr>
            <w:tcW w:w="1422" w:type="dxa"/>
            <w:vAlign w:val="top"/>
          </w:tcPr>
          <w:p w14:paraId="3AA0EF47">
            <w:pPr>
              <w:jc w:val="center"/>
              <w:rPr>
                <w:rFonts w:hint="eastAsia" w:ascii="仿宋_GB2312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szCs w:val="21"/>
                <w:lang w:val="en-US" w:eastAsia="zh-CN"/>
              </w:rPr>
              <w:t>曹睿</w:t>
            </w:r>
          </w:p>
        </w:tc>
        <w:tc>
          <w:tcPr>
            <w:tcW w:w="1422" w:type="dxa"/>
            <w:vAlign w:val="top"/>
          </w:tcPr>
          <w:p w14:paraId="4B08520E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指导教师</w:t>
            </w:r>
          </w:p>
        </w:tc>
        <w:tc>
          <w:tcPr>
            <w:tcW w:w="1422" w:type="dxa"/>
            <w:vAlign w:val="top"/>
          </w:tcPr>
          <w:p w14:paraId="1940C612">
            <w:pPr>
              <w:jc w:val="center"/>
              <w:rPr>
                <w:rFonts w:hint="eastAsia" w:ascii="仿宋_GB2312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szCs w:val="21"/>
                <w:lang w:val="en-US" w:eastAsia="zh-CN"/>
              </w:rPr>
              <w:t>吴文甲</w:t>
            </w:r>
          </w:p>
        </w:tc>
      </w:tr>
      <w:tr w14:paraId="4DBF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28" w:type="dxa"/>
            <w:gridSpan w:val="6"/>
            <w:vAlign w:val="top"/>
          </w:tcPr>
          <w:p w14:paraId="1885529F">
            <w:pPr>
              <w:numPr>
                <w:ilvl w:val="0"/>
                <w:numId w:val="1"/>
              </w:numPr>
              <w:rPr>
                <w:rFonts w:hint="eastAsia" w:ascii="Times New Roman" w:hAnsi="Times New Roman" w:eastAsia="仿宋_GB2312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</w:rPr>
              <w:t>项目进展状况：</w:t>
            </w:r>
          </w:p>
          <w:p w14:paraId="204C8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完成数据的采集和预处理全流程</w:t>
            </w:r>
          </w:p>
          <w:p w14:paraId="55D79A7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（1）数据采集：</w:t>
            </w:r>
          </w:p>
          <w:p w14:paraId="7B52EAA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采用 USRP N210 作为信号接收设备，使用 GNU Radio 进行原始 I/Q 射频信号采集。采用 gr-lora 开源项目进行 LoRa 帧解析，并将信号数据按帧单位存储。</w:t>
            </w:r>
          </w:p>
          <w:p w14:paraId="6761EE3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  <w:p w14:paraId="1EB215B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（2）数据预处理：</w:t>
            </w:r>
          </w:p>
          <w:p w14:paraId="78489A5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完成同步，前导码提取，CFO（载波频率偏移）补偿，这里采用均值瞬时频率估计进行 粗 CFO 补偿；采用自相关分析进行精 CFO 补偿，减少温度等因素对 CFO 估计的影响，以及归一化操作。</w:t>
            </w:r>
          </w:p>
          <w:p w14:paraId="1775909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  <w:p w14:paraId="513DB6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实现核心模型及对比模型</w:t>
            </w:r>
          </w:p>
          <w:p w14:paraId="3FC95A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（1）核心模型：基于连续双帧相位差分特征的 LoRa 设备识别模型（Diff-ADF）</w:t>
            </w:r>
          </w:p>
          <w:p w14:paraId="3A37A6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通过相位差分特征提取方法，从连续双帧信号中提取设备固有的相位噪声特征，消除信道影响。结合 CFO 作为辅助特征，设计 混合特征分类器 Diff-ADF 进行设备身份识别。</w:t>
            </w:r>
          </w:p>
          <w:p w14:paraId="222A42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采用最大最小归一化处理相位噪声，提高特征的区分度与稳定性。</w:t>
            </w:r>
          </w:p>
          <w:p w14:paraId="0AE40E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采用均方误差（MSE）匹配策略 进行设备分类，确保模型对设备的精准识别。</w:t>
            </w:r>
          </w:p>
          <w:p w14:paraId="70306D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  <w:p w14:paraId="3F8208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（2）对比模型：基于深度学习的可扩展且信道鲁棒的无线射频指纹识别（SC-RFFI）</w:t>
            </w:r>
          </w:p>
          <w:p w14:paraId="66A295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采用深度度量学习训练 RFF 提取器，能够从未见过的设备中提取唯一的RFF。</w:t>
            </w:r>
          </w:p>
          <w:p w14:paraId="5CFB9D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设计信道无关特征</w:t>
            </w: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通过 STFT 频谱归一化消除信道影响。</w:t>
            </w:r>
          </w:p>
          <w:p w14:paraId="39D04E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采用 k-NN 分类器 替代传统 softmax 分类神经网络，提高模型可扩展性，支持新设备动态加入和退出。</w:t>
            </w:r>
          </w:p>
          <w:p w14:paraId="2E5EB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通过 Triplet Loss 训练模型，使其在设备分类时具有更好的鲁棒性。</w:t>
            </w:r>
          </w:p>
          <w:p w14:paraId="7CDFAA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  <w:p w14:paraId="08142F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完成测试及模型鲁棒性评估</w:t>
            </w:r>
          </w:p>
          <w:p w14:paraId="40F3181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440" w:firstLineChars="200"/>
              <w:jc w:val="both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对Diff-ADF和SC-RFFI 进行对比分析，测试不同时间采集的数据对模型的影响。</w:t>
            </w:r>
            <w:r>
              <w:rPr>
                <w:rFonts w:hint="eastAsia" w:eastAsia="仿宋_GB2312"/>
                <w:sz w:val="22"/>
                <w:szCs w:val="22"/>
                <w:lang w:val="en-US" w:eastAsia="zh-CN"/>
              </w:rPr>
              <w:t>并</w:t>
            </w: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评估训练集和测试集在同一天/不同天的情况下，模型的分类准确率。</w:t>
            </w:r>
          </w:p>
          <w:p w14:paraId="18EF1DFC">
            <w:pPr>
              <w:widowControl w:val="0"/>
              <w:numPr>
                <w:numId w:val="0"/>
              </w:numPr>
              <w:ind w:leftChars="0"/>
              <w:jc w:val="both"/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drawing>
                <wp:inline distT="0" distB="0" distL="114300" distR="114300">
                  <wp:extent cx="4161790" cy="2221865"/>
                  <wp:effectExtent l="0" t="0" r="3810" b="635"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790" cy="222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8A3E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drawing>
                <wp:inline distT="0" distB="0" distL="114300" distR="114300">
                  <wp:extent cx="4309745" cy="2334895"/>
                  <wp:effectExtent l="0" t="0" r="8255" b="1905"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745" cy="233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C0C89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287010" cy="3016250"/>
                  <wp:effectExtent l="4445" t="4445" r="17145" b="14605"/>
                  <wp:docPr id="2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  <w:p w14:paraId="35AF02C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Diff-ADF 在相同环境下的识别准确率较高，表明其具有较好的区分能力。</w:t>
            </w:r>
          </w:p>
          <w:p w14:paraId="4594048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Diff-ADF 在不同天的数据集上仍然优于 SC-RFFI，</w:t>
            </w: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我们的核心模型受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设备位置、信道条件变化的影响更小。</w:t>
            </w:r>
          </w:p>
          <w:p w14:paraId="1C633AB2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</w:tc>
      </w:tr>
      <w:tr w14:paraId="5FDAC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28" w:type="dxa"/>
            <w:gridSpan w:val="6"/>
            <w:vAlign w:val="top"/>
          </w:tcPr>
          <w:p w14:paraId="3EF88A34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Times New Roman" w:hAnsi="Times New Roman" w:eastAsia="仿宋_GB2312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</w:rPr>
              <w:t>项目存在问题及解决方案</w:t>
            </w:r>
          </w:p>
          <w:p w14:paraId="4A4AB0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CFO 对实验结果的影响较大，优化计算方案</w:t>
            </w:r>
          </w:p>
          <w:p w14:paraId="63755F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（1）问题描述：</w:t>
            </w:r>
          </w:p>
          <w:p w14:paraId="08719F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由于载波频率偏移（CFO）会随着温度、硬件老化等因素发生变化，影响射频指纹识别的稳定性，导致设备分类准确率下降。现有的粗 CFO 补偿 + 精 CFO 补偿方法虽然可以一定程度上缓解 CFO 影响，但仍然存在残余误差，影响识别性能。</w:t>
            </w:r>
          </w:p>
          <w:p w14:paraId="06D62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（2）解决方案：</w:t>
            </w:r>
            <w:bookmarkStart w:id="0" w:name="_GoBack"/>
            <w:bookmarkEnd w:id="0"/>
          </w:p>
          <w:p w14:paraId="43B046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·优化 CFO 估计方法：采用自适应 CFO 补偿，即结合时间序列分析（如ARIMA或卡尔曼滤波） 预测 CFO 变化趋势，并进行动态补偿，同时通过温度 - 频率漂移建模，建立温度变化与 CFO 之间的关系，在补偿时考虑温度影响。</w:t>
            </w:r>
          </w:p>
          <w:p w14:paraId="28FB52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·采用增强型 CFO 估计算法：结合最大似然估计（MLE） 和 傅里叶变换（FFT）分析 提高 CFO 估计精度。</w:t>
            </w:r>
          </w:p>
          <w:p w14:paraId="101A42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·消融实验（Ablation Study）验证最稳定的射频指纹特征：设计消融实验，评估 CFO 与相位差分特征的贡献。</w:t>
            </w:r>
          </w:p>
          <w:p w14:paraId="0385CD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  <w:p w14:paraId="04489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模型在多种环境下的评估不足，进一步扩展实验</w:t>
            </w:r>
          </w:p>
          <w:p w14:paraId="0B44A12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（1）问题描述：</w:t>
            </w:r>
          </w:p>
          <w:p w14:paraId="44F3A32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目前的测试数据尚缺乏多样性，需要进一步测试非视距（NLoS）环境、信噪比（SNR）变化、前导符号数量的影响以及不同双帧特征计算方法的比较。</w:t>
            </w:r>
          </w:p>
          <w:p w14:paraId="5161846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b/>
                <w:bCs/>
                <w:sz w:val="21"/>
                <w:szCs w:val="21"/>
                <w:lang w:val="en-US" w:eastAsia="zh-CN"/>
              </w:rPr>
              <w:t>（2）</w:t>
            </w: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解决方案：</w:t>
            </w:r>
          </w:p>
          <w:p w14:paraId="3755416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非视距（NLoS）环境测试：</w:t>
            </w:r>
          </w:p>
          <w:p w14:paraId="05E562B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在USRP 设备之间放置障碍物（墙体、金属屏障等），采集不同位置的信号数据。对比 LoS vs. NLoS 识别准确率，分析多径效应对模型的影响。</w:t>
            </w:r>
          </w:p>
          <w:p w14:paraId="0A07963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信噪比（SNR）变化影响评估：</w:t>
            </w:r>
          </w:p>
          <w:p w14:paraId="6F786A2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通过加入高斯白噪声，模拟不同 SNR 环境（16dB ~ 5dB）。观察 SNR 变化对设备识别准确率的影响，优化低 SNR 条件下的鲁棒性。</w:t>
            </w:r>
          </w:p>
          <w:p w14:paraId="6285933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前导符号数量的影响：</w:t>
            </w:r>
          </w:p>
          <w:p w14:paraId="0A9BC45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通过修改提取的前导符号个数（6~16 个），分析特征维度对识别性能的影响，优化参数设置。</w:t>
            </w:r>
          </w:p>
          <w:p w14:paraId="379E52B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不同连续双帧特征计算方法对比：</w:t>
            </w:r>
          </w:p>
          <w:p w14:paraId="0402AE8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差分操作（计算两帧相位噪声差值）</w:t>
            </w: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；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拼接操作（将第二帧相位噪声拼接到第一帧后）</w:t>
            </w: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；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相加操作（两帧相位噪声相加）</w:t>
            </w: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；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单帧操作（仅使用第一帧或第二帧）</w:t>
            </w:r>
          </w:p>
          <w:p w14:paraId="376E918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记录各方法的识别准确率，确定最优特征提取方式。</w:t>
            </w:r>
          </w:p>
          <w:p w14:paraId="51222E9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  <w:p w14:paraId="779BE2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数据预处理</w:t>
            </w: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仍需继续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优化，增强模型鲁棒性</w:t>
            </w:r>
          </w:p>
          <w:p w14:paraId="2A8931D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b/>
                <w:bCs/>
                <w:sz w:val="21"/>
                <w:szCs w:val="21"/>
                <w:lang w:val="en-US" w:eastAsia="zh-CN"/>
              </w:rPr>
              <w:t>（1）</w:t>
            </w: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问题描述：</w:t>
            </w:r>
          </w:p>
          <w:p w14:paraId="5A9804F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420" w:firstLineChars="20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采集数据受到噪声干扰，可能影响设备识别的稳定性。信道变化（如多径效应）可能导致设备特征不稳定。现有 CFO 补偿和信道归一化方法仍然有优化空间。</w:t>
            </w:r>
          </w:p>
          <w:p w14:paraId="1A1EF44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b/>
                <w:bCs/>
                <w:sz w:val="21"/>
                <w:szCs w:val="21"/>
                <w:lang w:val="en-US" w:eastAsia="zh-CN"/>
              </w:rPr>
              <w:t>（2）</w:t>
            </w: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解决方案：</w:t>
            </w:r>
          </w:p>
          <w:p w14:paraId="393A04E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噪声过滤和信号增强：自适应噪声抑制（ANC）：结合卡尔曼滤波或低通滤波以去除高斯白噪声。经验模态分解（EMD）或小波变换（Wavelet Transform） 进行信号降噪，增强信号质量。</w:t>
            </w:r>
          </w:p>
          <w:p w14:paraId="7E1DF81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多径效应补偿：采用拉格朗日插值 进行信号对齐，减少多径时延误差。短时傅里叶变换（STFT）分析时频特征，应用最小均方（LMS）自适应滤波进行补偿。</w:t>
            </w:r>
          </w:p>
          <w:p w14:paraId="654CD41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仿宋_GB2312"/>
                <w:sz w:val="21"/>
                <w:szCs w:val="21"/>
                <w:lang w:val="en-US" w:eastAsia="zh-CN"/>
              </w:rPr>
              <w:t>信道归一化：采用信道估计 + 反向均衡方法，减少信道影响，提高指纹特征稳定性。尝试噪声过滤，消除无关噪声，自适应噪声抑制等方法。同时校正信道影响，消除信道效应对射频指纹的影响，使特征更稳定。</w:t>
            </w:r>
          </w:p>
          <w:p w14:paraId="6044D09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  <w:p w14:paraId="315B14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探索新的模型架构，提高设备识别性能</w:t>
            </w:r>
          </w:p>
          <w:p w14:paraId="7D0BE66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（1）</w:t>
            </w:r>
            <w:r>
              <w:rPr>
                <w:rFonts w:hint="default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问题描述：</w:t>
            </w:r>
          </w:p>
          <w:p w14:paraId="288E6C7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  <w:t>目前使用的 Diff-ADF（基于相位差分特征 + CFO 分类）虽然具有较强的鲁棒性，但仍然可能存在信息损失，影响识别准确率。SC-RFFI（基于深度学习的 RFFI） 泛化能力较差，对信道变化较敏感。</w:t>
            </w:r>
          </w:p>
          <w:p w14:paraId="6957C17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b/>
                <w:bCs/>
                <w:sz w:val="21"/>
                <w:szCs w:val="21"/>
                <w:lang w:val="en-US" w:eastAsia="zh-CN"/>
              </w:rPr>
              <w:t>（2）</w:t>
            </w:r>
            <w:r>
              <w:rPr>
                <w:rFonts w:hint="default" w:ascii="Times New Roman" w:hAnsi="Times New Roman" w:eastAsia="仿宋_GB2312"/>
                <w:b/>
                <w:bCs/>
                <w:sz w:val="21"/>
                <w:szCs w:val="21"/>
                <w:lang w:val="en-US" w:eastAsia="zh-CN"/>
              </w:rPr>
              <w:t>优化方向：</w:t>
            </w:r>
          </w:p>
          <w:p w14:paraId="4D1FFC1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  <w:t>轻量级深度学习架构：采用 1D-CNN + LSTM/GRU 组合：1D-CNN 提取时序特征，提高特征表示能力。LSTM/GRU 处理时间序列，增强对信道动态变化的适应能力。结合注意力机制（Self-Attention），聚焦关键特征，提高设备分类准确率。</w:t>
            </w:r>
          </w:p>
          <w:p w14:paraId="593945C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 w:val="21"/>
                <w:szCs w:val="21"/>
                <w:lang w:val="en-US" w:eastAsia="zh-CN"/>
              </w:rPr>
              <w:t>·</w:t>
            </w:r>
            <w:r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  <w:t>优化 RFF 数据库更新机制：采用在线学习（Online Learning） 适应新设备的加入和退出。</w:t>
            </w:r>
          </w:p>
          <w:p w14:paraId="26638234">
            <w:pPr>
              <w:widowControl w:val="0"/>
              <w:numPr>
                <w:numId w:val="0"/>
              </w:numPr>
              <w:jc w:val="both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</w:p>
        </w:tc>
      </w:tr>
      <w:tr w14:paraId="4133B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8528" w:type="dxa"/>
            <w:gridSpan w:val="6"/>
            <w:vAlign w:val="top"/>
          </w:tcPr>
          <w:p w14:paraId="67AA9E3B">
            <w:pPr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 xml:space="preserve">三、指导教师意见： </w:t>
            </w:r>
          </w:p>
          <w:p w14:paraId="17853878">
            <w:pPr>
              <w:rPr>
                <w:rFonts w:ascii="仿宋_GB2312" w:eastAsia="仿宋_GB2312"/>
                <w:szCs w:val="21"/>
              </w:rPr>
            </w:pPr>
          </w:p>
          <w:p w14:paraId="6CD410CF">
            <w:pPr>
              <w:rPr>
                <w:rFonts w:ascii="仿宋_GB2312" w:hAnsi="宋体" w:eastAsia="仿宋_GB2312"/>
                <w:szCs w:val="21"/>
              </w:rPr>
            </w:pPr>
          </w:p>
          <w:p w14:paraId="1E95BE67">
            <w:pPr>
              <w:rPr>
                <w:rFonts w:ascii="仿宋_GB2312" w:hAnsi="宋体" w:eastAsia="仿宋_GB2312"/>
                <w:szCs w:val="21"/>
              </w:rPr>
            </w:pPr>
          </w:p>
          <w:p w14:paraId="71B629CA">
            <w:pPr>
              <w:rPr>
                <w:rFonts w:ascii="仿宋_GB2312" w:hAnsi="宋体" w:eastAsia="仿宋_GB2312"/>
                <w:szCs w:val="21"/>
              </w:rPr>
            </w:pPr>
          </w:p>
          <w:p w14:paraId="746E294F">
            <w:pPr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 xml:space="preserve">                                    签字：            日期</w:t>
            </w:r>
          </w:p>
        </w:tc>
      </w:tr>
      <w:tr w14:paraId="4DC55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8528" w:type="dxa"/>
            <w:gridSpan w:val="6"/>
            <w:vAlign w:val="top"/>
          </w:tcPr>
          <w:p w14:paraId="77077252">
            <w:pPr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四、院系中期检查小组结论及意见：</w:t>
            </w:r>
          </w:p>
          <w:p w14:paraId="73B9A0BB">
            <w:pPr>
              <w:rPr>
                <w:rFonts w:ascii="仿宋_GB2312" w:hAnsi="宋体" w:eastAsia="仿宋_GB2312"/>
                <w:szCs w:val="21"/>
              </w:rPr>
            </w:pPr>
          </w:p>
          <w:p w14:paraId="33582A55">
            <w:pPr>
              <w:ind w:firstLine="420" w:firstLineChars="200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□ 优秀      □ 良好      □通过     □不通过</w:t>
            </w:r>
          </w:p>
          <w:p w14:paraId="585CD738">
            <w:pPr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 xml:space="preserve"> </w:t>
            </w:r>
          </w:p>
          <w:p w14:paraId="7CB95F19">
            <w:pPr>
              <w:ind w:firstLine="420" w:firstLineChars="200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 xml:space="preserve">推荐排序：   </w:t>
            </w:r>
          </w:p>
          <w:p w14:paraId="6E824787">
            <w:pPr>
              <w:ind w:firstLine="420" w:firstLineChars="200"/>
              <w:rPr>
                <w:rFonts w:ascii="仿宋_GB2312" w:hAnsi="宋体" w:eastAsia="仿宋_GB2312"/>
                <w:szCs w:val="21"/>
              </w:rPr>
            </w:pPr>
          </w:p>
          <w:p w14:paraId="16FEF337">
            <w:pPr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 xml:space="preserve">                                   签字：            日期</w:t>
            </w:r>
          </w:p>
        </w:tc>
      </w:tr>
    </w:tbl>
    <w:p w14:paraId="48856938">
      <w:pPr>
        <w:spacing w:line="360" w:lineRule="auto"/>
        <w:rPr>
          <w:rFonts w:hint="eastAsia" w:ascii="仿宋_GB2312" w:hAnsi="宋体" w:eastAsia="仿宋_GB2312"/>
          <w:bCs/>
          <w:szCs w:val="21"/>
        </w:rPr>
      </w:pPr>
      <w:r>
        <w:rPr>
          <w:rFonts w:hint="eastAsia" w:ascii="仿宋_GB2312" w:hAnsi="宋体" w:eastAsia="仿宋_GB2312"/>
          <w:bCs/>
          <w:szCs w:val="21"/>
        </w:rPr>
        <w:t>注：表头及第一、第二栏由学生负责人填写。（可附页）</w:t>
      </w:r>
    </w:p>
    <w:sectPr>
      <w:pgSz w:w="11906" w:h="16838"/>
      <w:pgMar w:top="1440" w:right="1797" w:bottom="1134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565C6"/>
    <w:multiLevelType w:val="singleLevel"/>
    <w:tmpl w:val="936565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3AC303A"/>
    <w:multiLevelType w:val="singleLevel"/>
    <w:tmpl w:val="B3AC303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ACB2B0"/>
    <w:multiLevelType w:val="singleLevel"/>
    <w:tmpl w:val="53ACB2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6E7"/>
    <w:rsid w:val="000B3478"/>
    <w:rsid w:val="004D4123"/>
    <w:rsid w:val="005C76E7"/>
    <w:rsid w:val="005E5719"/>
    <w:rsid w:val="007D2940"/>
    <w:rsid w:val="00EB6FB0"/>
    <w:rsid w:val="00F56BE6"/>
    <w:rsid w:val="00F61C9E"/>
    <w:rsid w:val="5D3D340B"/>
    <w:rsid w:val="5F1C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SEU\SEUFile2\srtp_&#23556;&#39057;&#25351;&#32441;\&#20013;&#26399;\&#26032;&#24314;%20XLSX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>
                <a:solidFill>
                  <a:sysClr val="windowText" lastClr="000000"/>
                </a:solidFill>
              </a:rPr>
              <a:t>两种模型结果比较</a:t>
            </a:r>
            <a:endParaRPr>
              <a:solidFill>
                <a:sysClr val="windowText" lastClr="000000"/>
              </a:solid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'[新建 XLSX 工作表.xlsx]Sheet1'!$A$2</c:f>
              <c:strCache>
                <c:ptCount val="1"/>
                <c:pt idx="0">
                  <c:v>Diff-ADF</c:v>
                </c:pt>
              </c:strCache>
            </c:strRef>
          </c:tx>
          <c:spPr>
            <a:solidFill>
              <a:srgbClr val="A5D08D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'[新建 XLSX 工作表.xlsx]Sheet1'!$B$1:$C$1</c:f>
              <c:strCache>
                <c:ptCount val="2"/>
                <c:pt idx="0">
                  <c:v>测试集和训练集来自同一天</c:v>
                </c:pt>
                <c:pt idx="1">
                  <c:v>测试集和训练集来自不同天</c:v>
                </c:pt>
              </c:strCache>
            </c:strRef>
          </c:cat>
          <c:val>
            <c:numRef>
              <c:f>'[新建 XLSX 工作表.xlsx]Sheet1'!$B$2:$C$2</c:f>
              <c:numCache>
                <c:formatCode>General</c:formatCode>
                <c:ptCount val="2"/>
                <c:pt idx="0">
                  <c:v>0.9022</c:v>
                </c:pt>
                <c:pt idx="1">
                  <c:v>0.6567</c:v>
                </c:pt>
              </c:numCache>
            </c:numRef>
          </c:val>
        </c:ser>
        <c:ser>
          <c:idx val="1"/>
          <c:order val="1"/>
          <c:tx>
            <c:strRef>
              <c:f>'[新建 XLSX 工作表.xlsx]Sheet1'!$A$3</c:f>
              <c:strCache>
                <c:ptCount val="1"/>
                <c:pt idx="0">
                  <c:v>信道无关频谱图</c:v>
                </c:pt>
              </c:strCache>
            </c:strRef>
          </c:tx>
          <c:spPr>
            <a:solidFill>
              <a:srgbClr val="FFA57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'[新建 XLSX 工作表.xlsx]Sheet1'!$B$1:$C$1</c:f>
              <c:strCache>
                <c:ptCount val="2"/>
                <c:pt idx="0">
                  <c:v>测试集和训练集来自同一天</c:v>
                </c:pt>
                <c:pt idx="1">
                  <c:v>测试集和训练集来自不同天</c:v>
                </c:pt>
              </c:strCache>
            </c:strRef>
          </c:cat>
          <c:val>
            <c:numRef>
              <c:f>'[新建 XLSX 工作表.xlsx]Sheet1'!$B$3:$C$3</c:f>
              <c:numCache>
                <c:formatCode>General</c:formatCode>
                <c:ptCount val="2"/>
                <c:pt idx="0">
                  <c:v>0.954</c:v>
                </c:pt>
                <c:pt idx="1">
                  <c:v>0.6022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01394476"/>
        <c:axId val="664247916"/>
      </c:barChart>
      <c:catAx>
        <c:axId val="90139447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</a:p>
        </c:txPr>
        <c:crossAx val="664247916"/>
        <c:crosses val="autoZero"/>
        <c:auto val="1"/>
        <c:lblAlgn val="ctr"/>
        <c:lblOffset val="100"/>
        <c:noMultiLvlLbl val="0"/>
      </c:catAx>
      <c:valAx>
        <c:axId val="6642479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013944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c3b595-3f1e-4f89-99ef-722053683b8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136</Words>
  <Characters>139</Characters>
  <Lines>2</Lines>
  <Paragraphs>1</Paragraphs>
  <TotalTime>12</TotalTime>
  <ScaleCrop>false</ScaleCrop>
  <LinksUpToDate>false</LinksUpToDate>
  <CharactersWithSpaces>258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2022-03-29T03:48:00Z</dcterms:created>
  <dc:creator>任亚梨</dc:creator>
  <cp:lastModifiedBy>曹睿</cp:lastModifiedBy>
  <dcterms:modified xsi:type="dcterms:W3CDTF">2025-03-20T03:09:15Z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eyJoZGlkIjoiNjJhNGI4NDY4ZWI0N2FlZTY3ZWZjYjRmNjM0M2M3YTAiLCJ1c2VySWQiOiIxNTM0MTIwMjgwIn0=</vt:lpwstr>
  </property>
  <property fmtid="{D5CDD505-2E9C-101B-9397-08002B2CF9AE}" pid="3" name="KSOProductBuildVer">
    <vt:lpwstr>2052-12.1.0.20305</vt:lpwstr>
  </property>
  <property fmtid="{D5CDD505-2E9C-101B-9397-08002B2CF9AE}" pid="4" name="ICV">
    <vt:lpwstr>B7A5F150F1E9441A948999102F26A77F_12</vt:lpwstr>
  </property>
</Properties>
</file>