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D9DC4">
      <w:pPr>
        <w:pStyle w:val="164"/>
        <w:jc w:val="center"/>
      </w:pPr>
      <w:r>
        <w:t>第三章  基于集成学习的LoRa设备身份识别方案</w:t>
      </w:r>
    </w:p>
    <w:p w14:paraId="229C868B">
      <w:pPr>
        <w:spacing w:line="360" w:lineRule="exact"/>
        <w:ind w:firstLine="480"/>
      </w:pPr>
      <w:r>
        <w:rPr>
          <w:rFonts w:ascii="宋体" w:hAnsi="宋体" w:eastAsia="宋体"/>
          <w:sz w:val="24"/>
        </w:rPr>
        <w:t>在完成连续双帧协同特征提取与信号预处理后，系统获得了每个样本的12维融合指纹特征向量F，其中包含8维归一化相位差特征和4维双帧载波频偏（CFO）特征。为进一步提升设备识别的准确性和可靠性，本章提出一种基于集成学习的加权融合分类框架，以四种异构基础分类器的协同输出为基础，通过静态权重与动态置信度联合加权的概率融合机制实现多分类器决策融合，并结合双阈值拒识策略实现开集条件下对未知设备的有效判别。</w:t>
      </w:r>
    </w:p>
    <w:p w14:paraId="6D0EF121">
      <w:pPr>
        <w:spacing w:line="240" w:lineRule="auto"/>
        <w:jc w:val="center"/>
        <w:rPr>
          <w:rFonts w:hint="eastAsia" w:eastAsia="宋体"/>
          <w:lang w:eastAsia="zh-CN"/>
        </w:rPr>
      </w:pPr>
      <w:r>
        <w:rPr>
          <w:rFonts w:hint="eastAsia" w:eastAsia="宋体"/>
          <w:lang w:eastAsia="zh-CN"/>
        </w:rPr>
        <w:drawing>
          <wp:inline distT="0" distB="0" distL="114300" distR="114300">
            <wp:extent cx="3356610" cy="5036820"/>
            <wp:effectExtent l="0" t="0" r="8890" b="5080"/>
            <wp:docPr id="6" name="图片 6" descr="ChatGPT Image 2026年4月2日 00_26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Image 2026年4月2日 00_26_21"/>
                    <pic:cNvPicPr>
                      <a:picLocks noChangeAspect="1"/>
                    </pic:cNvPicPr>
                  </pic:nvPicPr>
                  <pic:blipFill>
                    <a:blip r:embed="rId6"/>
                    <a:stretch>
                      <a:fillRect/>
                    </a:stretch>
                  </pic:blipFill>
                  <pic:spPr>
                    <a:xfrm>
                      <a:off x="0" y="0"/>
                      <a:ext cx="3356610" cy="5036820"/>
                    </a:xfrm>
                    <a:prstGeom prst="rect">
                      <a:avLst/>
                    </a:prstGeom>
                  </pic:spPr>
                </pic:pic>
              </a:graphicData>
            </a:graphic>
          </wp:inline>
        </w:drawing>
      </w:r>
    </w:p>
    <w:p w14:paraId="0C213E58">
      <w:pPr>
        <w:spacing w:after="120"/>
        <w:jc w:val="center"/>
      </w:pPr>
      <w:r>
        <w:rPr>
          <w:rFonts w:ascii="宋体" w:hAnsi="宋体" w:eastAsia="宋体"/>
          <w:sz w:val="21"/>
        </w:rPr>
        <w:t>图3-1  集成学习加权融合分类框架</w:t>
      </w:r>
    </w:p>
    <w:p w14:paraId="2612A046">
      <w:pPr>
        <w:pStyle w:val="165"/>
      </w:pPr>
      <w:r>
        <w:t>3.1  特征向量构造</w:t>
      </w:r>
    </w:p>
    <w:p w14:paraId="346DC175">
      <w:pPr>
        <w:spacing w:line="360" w:lineRule="exact"/>
        <w:ind w:firstLine="480"/>
      </w:pPr>
      <w:r>
        <w:rPr>
          <w:rFonts w:ascii="宋体" w:hAnsi="宋体" w:eastAsia="宋体"/>
          <w:sz w:val="24"/>
        </w:rPr>
        <w:t>特征向量的质量直接决定了后续分类识别的性能上限。本方案在信号预处理阶段完成帧同步、载波频偏估计与补偿以及幅度归一化后，分别从相位域和频偏域提取互补的设备指纹特征，构建统一的融合指纹特征向量。</w:t>
      </w:r>
    </w:p>
    <w:p w14:paraId="6D88EA57">
      <w:pPr>
        <w:spacing w:line="360" w:lineRule="exact"/>
        <w:ind w:firstLine="480"/>
      </w:pPr>
      <w:r>
        <w:rPr>
          <w:rFonts w:ascii="宋体" w:hAnsi="宋体" w:eastAsia="宋体"/>
          <w:sz w:val="24"/>
        </w:rPr>
        <w:t>在相位域，对经过预处理的连续双帧前导码信号，计算相邻采样点之间的归一化相位差。每个前导码包含8个</w:t>
      </w:r>
      <m:oMath>
        <m:r>
          <m:rPr>
            <m:sty m:val="p"/>
          </m:rPr>
          <w:rPr>
            <w:rFonts w:ascii="Cambria Math" w:hAnsi="Cambria Math" w:eastAsia="宋体" w:cstheme="minorBidi"/>
            <w:sz w:val="24"/>
            <w:szCs w:val="22"/>
            <w:lang w:val="en-US" w:bidi="ar-SA"/>
          </w:rPr>
          <m:t>upchirp</m:t>
        </m:r>
      </m:oMath>
      <w:r>
        <w:rPr>
          <w:rFonts w:ascii="宋体" w:hAnsi="宋体" w:eastAsia="宋体"/>
          <w:sz w:val="24"/>
        </w:rPr>
        <w:t>符号，每个符号计算一个归一化相位差值，共获得8维相位差特征向量</w:t>
      </w:r>
      <m:oMath>
        <m:r>
          <m:rPr>
            <m:sty m:val="p"/>
          </m:rPr>
          <w:rPr>
            <w:rFonts w:ascii="Cambria Math" w:hAnsi="Cambria Math" w:eastAsia="宋体" w:cstheme="minorBidi"/>
            <w:sz w:val="24"/>
            <w:szCs w:val="22"/>
            <w:lang w:val="en-US" w:bidi="ar-SA"/>
          </w:rPr>
          <m:t>φ = [φ₁, φ₂, ..., φ₈]</m:t>
        </m:r>
      </m:oMath>
      <w:r>
        <w:rPr>
          <w:rFonts w:ascii="宋体" w:hAnsi="宋体" w:eastAsia="宋体"/>
          <w:sz w:val="24"/>
        </w:rPr>
        <w:t>。归一化相位差能够有效反映设备硬件损伤引起的相位非线性特征，且通过差分运算在一定程度上消除了信道引起的公共相位偏移。</w:t>
      </w:r>
    </w:p>
    <w:p w14:paraId="2127D37C">
      <w:pPr>
        <w:spacing w:line="360" w:lineRule="exact"/>
        <w:ind w:firstLine="480"/>
      </w:pPr>
      <w:r>
        <w:rPr>
          <w:rFonts w:ascii="宋体" w:hAnsi="宋体" w:eastAsia="宋体"/>
          <w:sz w:val="24"/>
        </w:rPr>
        <w:t>在频偏域，分别对连续接收到的第一帧信号和第二帧信号进行载波频偏估计，得到对应的频偏估计值ε₁和ε₂。基于这两个估计值构建4维双帧CFO特征向量：</w:t>
      </w:r>
    </w:p>
    <w:p w14:paraId="401DF7EB">
      <w:pPr>
        <w:spacing w:before="60" w:after="60"/>
        <w:jc w:val="center"/>
      </w:pPr>
      <m:oMath>
        <m:sSub>
          <m:sSubPr>
            <m:ctrlPr>
              <w:rPr>
                <w:rFonts w:hint="default" w:ascii="Cambria Math" w:hAnsi="Cambria Math"/>
                <w:sz w:val="28"/>
                <w:highlight w:val="none"/>
              </w:rPr>
            </m:ctrlPr>
          </m:sSubPr>
          <m:e>
            <m:r>
              <m:rPr/>
              <w:rPr>
                <w:rFonts w:hint="default" w:ascii="Cambria Math" w:hAnsi="Cambria Math"/>
                <w:sz w:val="28"/>
                <w:highlight w:val="none"/>
              </w:rPr>
              <m:t>f</m:t>
            </m:r>
            <m:ctrlPr>
              <w:rPr>
                <w:rFonts w:ascii="Cambria Math" w:hAnsi="Cambria Math"/>
                <w:sz w:val="28"/>
                <w:highlight w:val="none"/>
              </w:rPr>
            </m:ctrlPr>
          </m:e>
          <m:sub>
            <m:r>
              <m:rPr/>
              <w:rPr>
                <w:rFonts w:hint="default" w:ascii="Cambria Math" w:hAnsi="Cambria Math"/>
                <w:sz w:val="28"/>
                <w:highlight w:val="none"/>
              </w:rPr>
              <m:t>cfo</m:t>
            </m:r>
            <m:ctrlPr>
              <w:rPr>
                <w:rFonts w:ascii="Cambria Math" w:hAnsi="Cambria Math"/>
                <w:sz w:val="28"/>
                <w:highlight w:val="none"/>
              </w:rPr>
            </m:ctrlPr>
          </m:sub>
        </m:sSub>
        <m:r>
          <m:rPr/>
          <w:rPr>
            <w:rFonts w:hint="default" w:ascii="Cambria Math" w:hAnsi="Cambria Math"/>
            <w:sz w:val="28"/>
            <w:highlight w:val="none"/>
          </w:rPr>
          <m:t>=[</m:t>
        </m:r>
        <m:sSub>
          <m:sSubPr>
            <m:ctrlPr>
              <w:rPr>
                <w:rFonts w:hint="default" w:ascii="Cambria Math" w:hAnsi="Cambria Math"/>
                <w:sz w:val="28"/>
                <w:highlight w:val="none"/>
              </w:rPr>
            </m:ctrlPr>
          </m:sSubPr>
          <m:e>
            <m:acc>
              <m:accPr>
                <m:ctrlPr>
                  <w:rPr>
                    <w:rFonts w:hint="default" w:ascii="Cambria Math" w:hAnsi="Cambria Math"/>
                    <w:sz w:val="28"/>
                    <w:highlight w:val="none"/>
                  </w:rPr>
                </m:ctrlPr>
              </m:accPr>
              <m:e>
                <m:r>
                  <m:rPr/>
                  <w:rPr>
                    <w:rFonts w:hint="default" w:ascii="Cambria Math" w:hAnsi="Cambria Math"/>
                    <w:sz w:val="28"/>
                    <w:highlight w:val="none"/>
                  </w:rPr>
                  <m:t>ε</m:t>
                </m:r>
                <m:ctrlPr>
                  <w:rPr>
                    <w:rFonts w:ascii="Cambria Math" w:hAnsi="Cambria Math"/>
                    <w:sz w:val="28"/>
                    <w:highlight w:val="none"/>
                  </w:rPr>
                </m:ctrlPr>
              </m:e>
            </m:acc>
            <m:ctrlPr>
              <w:rPr>
                <w:rFonts w:hint="default" w:ascii="Cambria Math" w:hAnsi="Cambria Math"/>
                <w:sz w:val="28"/>
                <w:highlight w:val="none"/>
              </w:rPr>
            </m:ctrlPr>
          </m:e>
          <m:sub>
            <m:r>
              <m:rPr/>
              <w:rPr>
                <w:rFonts w:hint="default" w:ascii="Cambria Math" w:hAnsi="Cambria Math"/>
                <w:sz w:val="28"/>
                <w:highlight w:val="none"/>
              </w:rPr>
              <m:t>1</m:t>
            </m:r>
            <m:ctrlPr>
              <w:rPr>
                <w:rFonts w:hint="default" w:ascii="Cambria Math" w:hAnsi="Cambria Math"/>
                <w:sz w:val="28"/>
                <w:highlight w:val="none"/>
              </w:rPr>
            </m:ctrlPr>
          </m:sub>
        </m:sSub>
        <m:r>
          <m:rPr/>
          <w:rPr>
            <w:rFonts w:hint="default" w:ascii="Cambria Math" w:hAnsi="Cambria Math"/>
            <w:sz w:val="28"/>
            <w:highlight w:val="none"/>
          </w:rPr>
          <m:t>,</m:t>
        </m:r>
        <m:sSub>
          <m:sSubPr>
            <m:ctrlPr>
              <w:rPr>
                <w:rFonts w:hint="default" w:ascii="Cambria Math" w:hAnsi="Cambria Math"/>
                <w:sz w:val="28"/>
                <w:highlight w:val="none"/>
              </w:rPr>
            </m:ctrlPr>
          </m:sSubPr>
          <m:e>
            <m:acc>
              <m:accPr>
                <m:ctrlPr>
                  <w:rPr>
                    <w:rFonts w:hint="default" w:ascii="Cambria Math" w:hAnsi="Cambria Math"/>
                    <w:sz w:val="28"/>
                    <w:highlight w:val="none"/>
                  </w:rPr>
                </m:ctrlPr>
              </m:accPr>
              <m:e>
                <m:r>
                  <m:rPr/>
                  <w:rPr>
                    <w:rFonts w:hint="default" w:ascii="Cambria Math" w:hAnsi="Cambria Math"/>
                    <w:sz w:val="28"/>
                    <w:highlight w:val="none"/>
                  </w:rPr>
                  <m:t>ε</m:t>
                </m:r>
                <m:ctrlPr>
                  <w:rPr>
                    <w:rFonts w:ascii="Cambria Math" w:hAnsi="Cambria Math"/>
                    <w:sz w:val="28"/>
                    <w:highlight w:val="none"/>
                  </w:rPr>
                </m:ctrlPr>
              </m:e>
            </m:acc>
            <m:ctrlPr>
              <w:rPr>
                <w:rFonts w:hint="default" w:ascii="Cambria Math" w:hAnsi="Cambria Math"/>
                <w:sz w:val="28"/>
                <w:highlight w:val="none"/>
              </w:rPr>
            </m:ctrlPr>
          </m:e>
          <m:sub>
            <m:r>
              <m:rPr/>
              <w:rPr>
                <w:rFonts w:hint="default" w:ascii="Cambria Math" w:hAnsi="Cambria Math"/>
                <w:sz w:val="28"/>
                <w:highlight w:val="none"/>
              </w:rPr>
              <m:t>2</m:t>
            </m:r>
            <m:ctrlPr>
              <w:rPr>
                <w:rFonts w:hint="default" w:ascii="Cambria Math" w:hAnsi="Cambria Math"/>
                <w:sz w:val="28"/>
                <w:highlight w:val="none"/>
              </w:rPr>
            </m:ctrlPr>
          </m:sub>
        </m:sSub>
        <m:r>
          <m:rPr/>
          <w:rPr>
            <w:rFonts w:hint="default" w:ascii="Cambria Math" w:hAnsi="Cambria Math"/>
            <w:sz w:val="28"/>
            <w:highlight w:val="none"/>
          </w:rPr>
          <m:t>,</m:t>
        </m:r>
        <m:f>
          <m:fPr>
            <m:ctrlPr>
              <w:rPr>
                <w:rFonts w:hint="default" w:ascii="Cambria Math" w:hAnsi="Cambria Math"/>
                <w:i/>
                <w:sz w:val="28"/>
                <w:highlight w:val="none"/>
              </w:rPr>
            </m:ctrlPr>
          </m:fPr>
          <m:num>
            <m:sSub>
              <m:sSubPr>
                <m:ctrlPr>
                  <w:rPr>
                    <w:rFonts w:hint="default" w:ascii="Cambria Math" w:hAnsi="Cambria Math"/>
                    <w:sz w:val="28"/>
                    <w:highlight w:val="none"/>
                  </w:rPr>
                </m:ctrlPr>
              </m:sSubPr>
              <m:e>
                <m:acc>
                  <m:accPr>
                    <m:ctrlPr>
                      <w:rPr>
                        <w:rFonts w:hint="default" w:ascii="Cambria Math" w:hAnsi="Cambria Math"/>
                        <w:sz w:val="28"/>
                        <w:highlight w:val="none"/>
                      </w:rPr>
                    </m:ctrlPr>
                  </m:accPr>
                  <m:e>
                    <m:r>
                      <m:rPr/>
                      <w:rPr>
                        <w:rFonts w:hint="default" w:ascii="Cambria Math" w:hAnsi="Cambria Math"/>
                        <w:sz w:val="28"/>
                        <w:highlight w:val="none"/>
                      </w:rPr>
                      <m:t>ε</m:t>
                    </m:r>
                    <m:ctrlPr>
                      <w:rPr>
                        <w:rFonts w:ascii="Cambria Math" w:hAnsi="Cambria Math"/>
                        <w:sz w:val="28"/>
                        <w:highlight w:val="none"/>
                      </w:rPr>
                    </m:ctrlPr>
                  </m:e>
                </m:acc>
                <m:ctrlPr>
                  <w:rPr>
                    <w:rFonts w:hint="default" w:ascii="Cambria Math" w:hAnsi="Cambria Math"/>
                    <w:sz w:val="28"/>
                    <w:highlight w:val="none"/>
                  </w:rPr>
                </m:ctrlPr>
              </m:e>
              <m:sub>
                <m:r>
                  <m:rPr/>
                  <w:rPr>
                    <w:rFonts w:hint="default" w:ascii="Cambria Math" w:hAnsi="Cambria Math"/>
                    <w:sz w:val="28"/>
                    <w:highlight w:val="none"/>
                  </w:rPr>
                  <m:t>1</m:t>
                </m:r>
                <m:ctrlPr>
                  <w:rPr>
                    <w:rFonts w:hint="default" w:ascii="Cambria Math" w:hAnsi="Cambria Math"/>
                    <w:sz w:val="28"/>
                    <w:highlight w:val="none"/>
                  </w:rPr>
                </m:ctrlPr>
              </m:sub>
            </m:sSub>
            <m:r>
              <m:rPr/>
              <w:rPr>
                <w:rFonts w:hint="default" w:ascii="Cambria Math" w:hAnsi="Cambria Math"/>
                <w:sz w:val="28"/>
                <w:highlight w:val="none"/>
              </w:rPr>
              <m:t>+</m:t>
            </m:r>
            <m:sSub>
              <m:sSubPr>
                <m:ctrlPr>
                  <w:rPr>
                    <w:rFonts w:hint="default" w:ascii="Cambria Math" w:hAnsi="Cambria Math"/>
                    <w:sz w:val="28"/>
                    <w:highlight w:val="none"/>
                  </w:rPr>
                </m:ctrlPr>
              </m:sSubPr>
              <m:e>
                <m:acc>
                  <m:accPr>
                    <m:ctrlPr>
                      <w:rPr>
                        <w:rFonts w:hint="default" w:ascii="Cambria Math" w:hAnsi="Cambria Math"/>
                        <w:sz w:val="28"/>
                        <w:highlight w:val="none"/>
                      </w:rPr>
                    </m:ctrlPr>
                  </m:accPr>
                  <m:e>
                    <m:r>
                      <m:rPr/>
                      <w:rPr>
                        <w:rFonts w:hint="default" w:ascii="Cambria Math" w:hAnsi="Cambria Math"/>
                        <w:sz w:val="28"/>
                        <w:highlight w:val="none"/>
                      </w:rPr>
                      <m:t>ε</m:t>
                    </m:r>
                    <m:ctrlPr>
                      <w:rPr>
                        <w:rFonts w:ascii="Cambria Math" w:hAnsi="Cambria Math"/>
                        <w:sz w:val="28"/>
                        <w:highlight w:val="none"/>
                      </w:rPr>
                    </m:ctrlPr>
                  </m:e>
                </m:acc>
                <m:ctrlPr>
                  <w:rPr>
                    <w:rFonts w:hint="default" w:ascii="Cambria Math" w:hAnsi="Cambria Math"/>
                    <w:sz w:val="28"/>
                    <w:highlight w:val="none"/>
                  </w:rPr>
                </m:ctrlPr>
              </m:e>
              <m:sub>
                <m:r>
                  <m:rPr/>
                  <w:rPr>
                    <w:rFonts w:hint="default" w:ascii="Cambria Math" w:hAnsi="Cambria Math"/>
                    <w:sz w:val="28"/>
                    <w:highlight w:val="none"/>
                  </w:rPr>
                  <m:t>2</m:t>
                </m:r>
                <m:ctrlPr>
                  <w:rPr>
                    <w:rFonts w:hint="default" w:ascii="Cambria Math" w:hAnsi="Cambria Math"/>
                    <w:sz w:val="28"/>
                    <w:highlight w:val="none"/>
                  </w:rPr>
                </m:ctrlPr>
              </m:sub>
            </m:sSub>
            <m:ctrlPr>
              <w:rPr>
                <w:rFonts w:hint="default" w:ascii="Cambria Math" w:hAnsi="Cambria Math"/>
                <w:sz w:val="28"/>
                <w:highlight w:val="none"/>
              </w:rPr>
            </m:ctrlPr>
          </m:num>
          <m:den>
            <m:r>
              <m:rPr/>
              <w:rPr>
                <w:rFonts w:hint="default" w:ascii="Cambria Math" w:hAnsi="Cambria Math"/>
                <w:sz w:val="28"/>
                <w:highlight w:val="none"/>
              </w:rPr>
              <m:t>2</m:t>
            </m:r>
            <m:ctrlPr>
              <w:rPr>
                <w:rFonts w:hint="default" w:ascii="Cambria Math" w:hAnsi="Cambria Math"/>
                <w:sz w:val="28"/>
                <w:highlight w:val="none"/>
              </w:rPr>
            </m:ctrlPr>
          </m:den>
        </m:f>
        <m:r>
          <m:rPr/>
          <w:rPr>
            <w:rFonts w:hint="default" w:ascii="Cambria Math" w:hAnsi="Cambria Math"/>
            <w:sz w:val="28"/>
            <w:highlight w:val="none"/>
          </w:rPr>
          <m:t>,</m:t>
        </m:r>
        <m:sSub>
          <m:sSubPr>
            <m:ctrlPr>
              <w:rPr>
                <w:rFonts w:hint="default" w:ascii="Cambria Math" w:hAnsi="Cambria Math"/>
                <w:sz w:val="28"/>
                <w:highlight w:val="none"/>
              </w:rPr>
            </m:ctrlPr>
          </m:sSubPr>
          <m:e>
            <m:acc>
              <m:accPr>
                <m:ctrlPr>
                  <w:rPr>
                    <w:rFonts w:hint="default" w:ascii="Cambria Math" w:hAnsi="Cambria Math"/>
                    <w:sz w:val="28"/>
                    <w:highlight w:val="none"/>
                  </w:rPr>
                </m:ctrlPr>
              </m:accPr>
              <m:e>
                <m:r>
                  <m:rPr/>
                  <w:rPr>
                    <w:rFonts w:hint="default" w:ascii="Cambria Math" w:hAnsi="Cambria Math"/>
                    <w:sz w:val="28"/>
                    <w:highlight w:val="none"/>
                  </w:rPr>
                  <m:t>ε</m:t>
                </m:r>
                <m:ctrlPr>
                  <w:rPr>
                    <w:rFonts w:hint="default" w:ascii="Cambria Math" w:hAnsi="Cambria Math"/>
                    <w:sz w:val="28"/>
                    <w:highlight w:val="none"/>
                  </w:rPr>
                </m:ctrlPr>
              </m:e>
            </m:acc>
            <m:ctrlPr>
              <w:rPr>
                <w:rFonts w:hint="default" w:ascii="Cambria Math" w:hAnsi="Cambria Math"/>
                <w:sz w:val="28"/>
                <w:highlight w:val="none"/>
              </w:rPr>
            </m:ctrlPr>
          </m:e>
          <m:sub>
            <m:r>
              <m:rPr/>
              <w:rPr>
                <w:rFonts w:hint="default" w:ascii="Cambria Math" w:hAnsi="Cambria Math"/>
                <w:sz w:val="28"/>
                <w:highlight w:val="none"/>
              </w:rPr>
              <m:t>2</m:t>
            </m:r>
            <m:ctrlPr>
              <w:rPr>
                <w:rFonts w:hint="default" w:ascii="Cambria Math" w:hAnsi="Cambria Math"/>
                <w:sz w:val="28"/>
                <w:highlight w:val="none"/>
              </w:rPr>
            </m:ctrlPr>
          </m:sub>
        </m:sSub>
        <m:r>
          <m:rPr/>
          <w:rPr>
            <w:rFonts w:hint="default" w:ascii="Cambria Math" w:hAnsi="Cambria Math"/>
            <w:sz w:val="28"/>
            <w:highlight w:val="none"/>
          </w:rPr>
          <m:t>−</m:t>
        </m:r>
        <m:sSub>
          <m:sSubPr>
            <m:ctrlPr>
              <w:rPr>
                <w:rFonts w:hint="default" w:ascii="Cambria Math" w:hAnsi="Cambria Math"/>
                <w:sz w:val="28"/>
                <w:highlight w:val="none"/>
              </w:rPr>
            </m:ctrlPr>
          </m:sSubPr>
          <m:e>
            <m:acc>
              <m:accPr>
                <m:ctrlPr>
                  <w:rPr>
                    <w:rFonts w:hint="default" w:ascii="Cambria Math" w:hAnsi="Cambria Math"/>
                    <w:sz w:val="28"/>
                    <w:highlight w:val="none"/>
                  </w:rPr>
                </m:ctrlPr>
              </m:accPr>
              <m:e>
                <m:r>
                  <m:rPr/>
                  <w:rPr>
                    <w:rFonts w:hint="default" w:ascii="Cambria Math" w:hAnsi="Cambria Math"/>
                    <w:sz w:val="28"/>
                    <w:highlight w:val="none"/>
                  </w:rPr>
                  <m:t>ε</m:t>
                </m:r>
                <m:ctrlPr>
                  <w:rPr>
                    <w:rFonts w:hint="default" w:ascii="Cambria Math" w:hAnsi="Cambria Math"/>
                    <w:sz w:val="28"/>
                    <w:highlight w:val="none"/>
                  </w:rPr>
                </m:ctrlPr>
              </m:e>
            </m:acc>
            <m:ctrlPr>
              <w:rPr>
                <w:rFonts w:hint="default" w:ascii="Cambria Math" w:hAnsi="Cambria Math"/>
                <w:sz w:val="28"/>
                <w:highlight w:val="none"/>
              </w:rPr>
            </m:ctrlPr>
          </m:e>
          <m:sub>
            <m:r>
              <m:rPr/>
              <w:rPr>
                <w:rFonts w:hint="default" w:ascii="Cambria Math" w:hAnsi="Cambria Math"/>
                <w:sz w:val="28"/>
                <w:highlight w:val="none"/>
              </w:rPr>
              <m:t>1</m:t>
            </m:r>
            <m:ctrlPr>
              <w:rPr>
                <w:rFonts w:hint="default" w:ascii="Cambria Math" w:hAnsi="Cambria Math"/>
                <w:sz w:val="28"/>
                <w:highlight w:val="none"/>
              </w:rPr>
            </m:ctrlPr>
          </m:sub>
        </m:sSub>
        <m:r>
          <m:rPr/>
          <w:rPr>
            <w:rFonts w:hint="default" w:ascii="Cambria Math" w:hAnsi="Cambria Math"/>
            <w:sz w:val="28"/>
            <w:highlight w:val="none"/>
          </w:rPr>
          <m:t>]</m:t>
        </m:r>
      </m:oMath>
      <w:r>
        <w:rPr>
          <w:rFonts w:ascii="Times New Roman" w:hAnsi="Times New Roman"/>
          <w:sz w:val="24"/>
        </w:rPr>
        <w:t xml:space="preserve">    (3-1)</w:t>
      </w:r>
    </w:p>
    <w:p w14:paraId="17799E35">
      <w:pPr>
        <w:spacing w:line="360" w:lineRule="exact"/>
        <w:ind w:firstLine="480"/>
      </w:pPr>
      <w:r>
        <w:rPr>
          <w:rFonts w:ascii="宋体" w:hAnsi="宋体" w:eastAsia="宋体"/>
          <w:sz w:val="24"/>
        </w:rPr>
        <w:t>其中ε₁和ε₂分别为两帧的载波频偏估计值；</w:t>
      </w:r>
      <m:oMath>
        <m:r>
          <m:rPr>
            <m:sty m:val="p"/>
          </m:rPr>
          <w:rPr>
            <w:rFonts w:ascii="Cambria Math" w:hAnsi="Cambria Math" w:eastAsia="宋体" w:cstheme="minorBidi"/>
            <w:sz w:val="24"/>
            <w:szCs w:val="22"/>
            <w:lang w:val="en-US" w:bidi="ar-SA"/>
          </w:rPr>
          <m:t>(ε₁+ε₂)/2</m:t>
        </m:r>
      </m:oMath>
      <w:r>
        <w:rPr>
          <w:rFonts w:ascii="宋体" w:hAnsi="宋体" w:eastAsia="宋体"/>
          <w:sz w:val="24"/>
        </w:rPr>
        <w:t>为连续双帧频偏均值特征，通过取均值抑制单帧估计中的随机噪声干扰，提供更稳定的设备频率偏差表征；</w:t>
      </w:r>
      <m:oMath>
        <m:r>
          <m:rPr>
            <m:sty m:val="p"/>
          </m:rPr>
          <w:rPr>
            <w:rFonts w:ascii="Cambria Math" w:hAnsi="Cambria Math" w:eastAsia="宋体" w:cstheme="minorBidi"/>
            <w:sz w:val="24"/>
            <w:szCs w:val="22"/>
            <w:lang w:val="en-US" w:bidi="ar-SA"/>
          </w:rPr>
          <m:t>ε₂−ε₁</m:t>
        </m:r>
      </m:oMath>
      <w:r>
        <w:rPr>
          <w:rFonts w:ascii="宋体" w:hAnsi="宋体" w:eastAsia="宋体"/>
          <w:sz w:val="24"/>
        </w:rPr>
        <w:t>为连续双帧间的频偏差分特征，刻画设备在短时间连续发射过程中的频率漂移特性，该特性与设备本振器件的热漂移、老化等硬件特性密切相关，是区分不同设备的重要指纹信息。</w:t>
      </w:r>
    </w:p>
    <w:p w14:paraId="5C8D5AA5">
      <w:pPr>
        <w:spacing w:line="360" w:lineRule="exact"/>
        <w:ind w:firstLine="480"/>
      </w:pPr>
      <w:r>
        <w:rPr>
          <w:rFonts w:ascii="宋体" w:hAnsi="宋体" w:eastAsia="宋体"/>
          <w:sz w:val="24"/>
        </w:rPr>
        <w:t>最终，将相位差特征和双帧CFO特征拼接，形成12维融合指纹特征向量：</w:t>
      </w:r>
    </w:p>
    <w:p w14:paraId="74FCAFBE">
      <w:pPr>
        <w:spacing w:before="60" w:after="60"/>
        <w:jc w:val="center"/>
      </w:pPr>
      <m:oMath>
        <m:r>
          <m:rPr/>
          <w:rPr>
            <w:rFonts w:hint="default" w:ascii="Cambria Math" w:hAnsi="Cambria Math"/>
            <w:sz w:val="24"/>
          </w:rPr>
          <m:t>F=[φ</m:t>
        </m:r>
        <m:r>
          <m:rPr>
            <m:sty m:val="p"/>
          </m:rPr>
          <w:rPr>
            <w:rFonts w:hint="default" w:ascii="Cambria Math" w:hAnsi="Cambria Math"/>
            <w:sz w:val="24"/>
          </w:rPr>
          <m:t>₁</m:t>
        </m:r>
        <m:r>
          <m:rPr/>
          <w:rPr>
            <w:rFonts w:hint="default" w:ascii="Cambria Math" w:hAnsi="Cambria Math"/>
            <w:sz w:val="24"/>
          </w:rPr>
          <m:t>,φ</m:t>
        </m:r>
        <m:r>
          <m:rPr>
            <m:sty m:val="p"/>
          </m:rPr>
          <w:rPr>
            <w:rFonts w:hint="default" w:ascii="Cambria Math" w:hAnsi="Cambria Math"/>
            <w:sz w:val="24"/>
          </w:rPr>
          <m:t>₂</m:t>
        </m:r>
        <m:r>
          <m:rPr/>
          <w:rPr>
            <w:rFonts w:hint="default" w:ascii="Cambria Math" w:hAnsi="Cambria Math"/>
            <w:sz w:val="24"/>
          </w:rPr>
          <m:t>,...,φ</m:t>
        </m:r>
        <m:r>
          <m:rPr>
            <m:sty m:val="p"/>
          </m:rPr>
          <w:rPr>
            <w:rFonts w:hint="default" w:ascii="Cambria Math" w:hAnsi="Cambria Math"/>
            <w:sz w:val="24"/>
          </w:rPr>
          <m:t>₈</m:t>
        </m:r>
        <m:r>
          <m:rPr/>
          <w:rPr>
            <w:rFonts w:hint="default" w:ascii="Cambria Math" w:hAnsi="Cambria Math"/>
            <w:sz w:val="24"/>
          </w:rPr>
          <m:t>,ε</m:t>
        </m:r>
        <m:r>
          <m:rPr>
            <m:sty m:val="p"/>
          </m:rPr>
          <w:rPr>
            <w:rFonts w:hint="default" w:ascii="Cambria Math" w:hAnsi="Cambria Math"/>
            <w:sz w:val="24"/>
          </w:rPr>
          <m:t>₁</m:t>
        </m:r>
        <m:r>
          <m:rPr/>
          <w:rPr>
            <w:rFonts w:hint="default" w:ascii="Cambria Math" w:hAnsi="Cambria Math"/>
            <w:sz w:val="24"/>
          </w:rPr>
          <m:t>,ε</m:t>
        </m:r>
        <m:r>
          <m:rPr>
            <m:sty m:val="p"/>
          </m:rPr>
          <w:rPr>
            <w:rFonts w:hint="default" w:ascii="Cambria Math" w:hAnsi="Cambria Math"/>
            <w:sz w:val="24"/>
          </w:rPr>
          <m:t>₂</m:t>
        </m:r>
        <m:r>
          <m:rPr/>
          <w:rPr>
            <w:rFonts w:hint="default" w:ascii="Cambria Math" w:hAnsi="Cambria Math"/>
            <w:sz w:val="24"/>
          </w:rPr>
          <m:t>,(ε</m:t>
        </m:r>
        <m:r>
          <m:rPr>
            <m:sty m:val="p"/>
          </m:rPr>
          <w:rPr>
            <w:rFonts w:hint="default" w:ascii="Cambria Math" w:hAnsi="Cambria Math"/>
            <w:sz w:val="24"/>
          </w:rPr>
          <m:t>₁</m:t>
        </m:r>
        <m:r>
          <m:rPr/>
          <w:rPr>
            <w:rFonts w:hint="default" w:ascii="Cambria Math" w:hAnsi="Cambria Math"/>
            <w:sz w:val="24"/>
          </w:rPr>
          <m:t>+ε</m:t>
        </m:r>
        <m:r>
          <m:rPr>
            <m:sty m:val="p"/>
          </m:rPr>
          <w:rPr>
            <w:rFonts w:hint="default" w:ascii="Cambria Math" w:hAnsi="Cambria Math"/>
            <w:sz w:val="24"/>
          </w:rPr>
          <m:t>₂</m:t>
        </m:r>
        <m:r>
          <m:rPr/>
          <w:rPr>
            <w:rFonts w:hint="default" w:ascii="Cambria Math" w:hAnsi="Cambria Math"/>
            <w:sz w:val="24"/>
          </w:rPr>
          <m:t>)/2,ε</m:t>
        </m:r>
        <m:r>
          <m:rPr>
            <m:sty m:val="p"/>
          </m:rPr>
          <w:rPr>
            <w:rFonts w:hint="default" w:ascii="Cambria Math" w:hAnsi="Cambria Math"/>
            <w:sz w:val="24"/>
          </w:rPr>
          <m:t>₂</m:t>
        </m:r>
        <m:r>
          <m:rPr/>
          <w:rPr>
            <w:rFonts w:hint="default" w:ascii="Cambria Math" w:hAnsi="Cambria Math"/>
            <w:sz w:val="24"/>
          </w:rPr>
          <m:t>−ε</m:t>
        </m:r>
        <m:r>
          <m:rPr>
            <m:sty m:val="p"/>
          </m:rPr>
          <w:rPr>
            <w:rFonts w:hint="default" w:ascii="Cambria Math" w:hAnsi="Cambria Math"/>
            <w:sz w:val="24"/>
          </w:rPr>
          <m:t>₁</m:t>
        </m:r>
        <m:r>
          <m:rPr/>
          <w:rPr>
            <w:rFonts w:hint="default" w:ascii="Cambria Math" w:hAnsi="Cambria Math"/>
            <w:sz w:val="24"/>
          </w:rPr>
          <m:t>]</m:t>
        </m:r>
      </m:oMath>
      <w:r>
        <w:rPr>
          <w:rFonts w:ascii="Times New Roman" w:hAnsi="Times New Roman"/>
          <w:sz w:val="24"/>
        </w:rPr>
        <w:t xml:space="preserve">   (3-2)</w:t>
      </w:r>
    </w:p>
    <w:p w14:paraId="3E8198E7">
      <w:pPr>
        <w:spacing w:line="360" w:lineRule="exact"/>
        <w:ind w:firstLine="480"/>
      </w:pPr>
      <w:r>
        <w:rPr>
          <w:rFonts w:ascii="宋体" w:hAnsi="宋体" w:eastAsia="宋体"/>
          <w:sz w:val="24"/>
        </w:rPr>
        <w:t>该特征向量融合了相位域和频偏域的互补信息，既保留了设备相位非线性特征的高维表达能力，又利用双帧CFO的均值和差分特征增强了对设备频率偏差特性的刻画，为后续集成学习分类器提供了高质量的输入特征。</w:t>
      </w:r>
    </w:p>
    <w:p w14:paraId="4C81BB1D">
      <w:pPr>
        <w:pStyle w:val="165"/>
      </w:pPr>
      <w:r>
        <w:t>3.2  异构基础分类器设计</w:t>
      </w:r>
    </w:p>
    <w:p w14:paraId="6D7B9052">
      <w:pPr>
        <w:spacing w:line="360" w:lineRule="exact"/>
        <w:ind w:firstLine="480"/>
      </w:pPr>
      <w:r>
        <w:rPr>
          <w:rFonts w:ascii="宋体" w:hAnsi="宋体" w:eastAsia="宋体"/>
          <w:sz w:val="24"/>
        </w:rPr>
        <w:t>本方案选取四种具有代表性的异构基础分类器，以12维融合指纹特征向量F为统一输入，在训练集上独立训练。训练完成后，各分类器均以后验概率向量的形式输出分类结果：</w:t>
      </w:r>
    </w:p>
    <w:p w14:paraId="749CC874">
      <w:pPr>
        <w:spacing w:before="60" w:after="60"/>
        <w:jc w:val="center"/>
      </w:pP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(1|F),</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(2|F),...,</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(M|F)]</m:t>
        </m:r>
        <m:r>
          <m:rPr>
            <m:sty m:val="p"/>
          </m:rPr>
          <w:rPr>
            <w:rFonts w:hint="default" w:ascii="Cambria Math" w:hAnsi="Cambria Math"/>
            <w:sz w:val="24"/>
          </w:rPr>
          <m:t>ᵀ</m:t>
        </m:r>
        <m:r>
          <m:rPr/>
          <w:rPr>
            <w:rFonts w:hint="default" w:ascii="Cambria Math" w:hAnsi="Cambria Math"/>
            <w:sz w:val="24"/>
          </w:rPr>
          <m:t>,k=1,2,3,4</m:t>
        </m:r>
      </m:oMath>
      <w:r>
        <w:rPr>
          <w:rFonts w:ascii="Times New Roman" w:hAnsi="Times New Roman"/>
          <w:sz w:val="24"/>
        </w:rPr>
        <w:t xml:space="preserve">   (3-3)</w:t>
      </w:r>
    </w:p>
    <w:p w14:paraId="687A44A6">
      <w:pPr>
        <w:spacing w:line="360" w:lineRule="exact"/>
        <w:ind w:firstLine="480"/>
      </w:pPr>
      <w:r>
        <w:rPr>
          <w:rFonts w:ascii="宋体" w:hAnsi="宋体" w:eastAsia="宋体"/>
          <w:sz w:val="24"/>
        </w:rPr>
        <w:t>其中M为已注册设备类别总数（本实验中M=30），k为分类器索引。四种分类器的选择依据及设计细节如下：</w:t>
      </w:r>
    </w:p>
    <w:p w14:paraId="1C4DD265">
      <w:pPr>
        <w:spacing w:line="360" w:lineRule="exact"/>
        <w:ind w:firstLine="480"/>
      </w:pPr>
      <w:r>
        <w:rPr>
          <w:rFonts w:ascii="宋体" w:hAnsi="宋体" w:eastAsia="宋体"/>
          <w:b/>
          <w:sz w:val="24"/>
        </w:rPr>
        <w:t>（1）支持向量机（SVM）：</w:t>
      </w:r>
      <w:r>
        <w:rPr>
          <w:rFonts w:ascii="宋体" w:hAnsi="宋体" w:eastAsia="宋体"/>
          <w:sz w:val="24"/>
        </w:rPr>
        <w:t>采用径向基核函数（Radial Basis Function, RBF）建立非线性决策边界，通过Platt缩放将决策函数值转换为类别后验概率。SVM对高维特征空间中的小样本分类问题具有良好的泛化能力，适合射频指纹这类特征维度较高但训练样本有限的场景。在实际实现中，使用scikit-learn库的SVC类，设置kernel="rbf"，probability=True以启用Platt缩放概率输出。</w:t>
      </w:r>
    </w:p>
    <w:p w14:paraId="013E41AB">
      <w:pPr>
        <w:spacing w:line="360" w:lineRule="exact"/>
        <w:ind w:firstLine="480"/>
      </w:pPr>
      <w:r>
        <w:rPr>
          <w:rFonts w:ascii="宋体" w:hAnsi="宋体" w:eastAsia="宋体"/>
          <w:b/>
          <w:sz w:val="24"/>
        </w:rPr>
        <w:t>（2）随机森林（RF）：</w:t>
      </w:r>
      <w:r>
        <w:rPr>
          <w:rFonts w:ascii="宋体" w:hAnsi="宋体" w:eastAsia="宋体"/>
          <w:sz w:val="24"/>
        </w:rPr>
        <w:t>由多棵决策树通过Bagging集成构成，以各叶节点中各类别样本数量之比估计后验概率。随机森林对噪声和特征波动具有较强抵抗力，能够捕捉特征间的非线性交互关系。实现中使用RandomForestClassifier，设置n_estimators=200棵决策树，以充分的集成规模保证预测的稳定性。</w:t>
      </w:r>
    </w:p>
    <w:p w14:paraId="04AECFA8">
      <w:pPr>
        <w:spacing w:line="360" w:lineRule="exact"/>
        <w:ind w:firstLine="480"/>
      </w:pPr>
      <w:r>
        <w:rPr>
          <w:rFonts w:ascii="宋体" w:hAnsi="宋体" w:eastAsia="宋体"/>
          <w:b/>
          <w:sz w:val="24"/>
        </w:rPr>
        <w:t>（3）线性判别分析（LDA）：</w:t>
      </w:r>
      <w:r>
        <w:rPr>
          <w:rFonts w:ascii="宋体" w:hAnsi="宋体" w:eastAsia="宋体"/>
          <w:sz w:val="24"/>
        </w:rPr>
        <w:t>通过最大化类间散度与类内散度之比构建线性投影，基于高斯分布假设计算各类别的后验概率。LDA计算开销低、可解释性强，在特征具有较好线性可分性时表现突出。采用SVD求解器（solver="svd"）进行降维投影，避免了直接求解协方差矩阵的逆可能带来的数值不稳定问题。</w:t>
      </w:r>
    </w:p>
    <w:p w14:paraId="5F86E41A">
      <w:pPr>
        <w:spacing w:line="360" w:lineRule="exact"/>
        <w:ind w:firstLine="480"/>
      </w:pPr>
      <w:r>
        <w:rPr>
          <w:rFonts w:ascii="宋体" w:hAnsi="宋体" w:eastAsia="宋体"/>
          <w:b/>
          <w:sz w:val="24"/>
        </w:rPr>
        <w:t>（4）K近邻分类器（KNN）：</w:t>
      </w:r>
      <w:r>
        <w:rPr>
          <w:rFonts w:ascii="宋体" w:hAnsi="宋体" w:eastAsia="宋体"/>
          <w:sz w:val="24"/>
        </w:rPr>
        <w:t>对输入特征首先进行标准化处理（零均值单位方差），然后采用欧氏距离度量标准化后样本间的距离。在标准化特征空间中使用欧氏距离等价于在原始特征空间中使用马氏距离，从而有效消除各维度量纲差异的影响。以最近邻样本的类别分布估计后验概率，KNN对局部特征分布信息保留完整，能有效捕获同一设备样本在特征空间中的聚类结构。实验中设置K=5。</w:t>
      </w:r>
    </w:p>
    <w:p w14:paraId="02BC3051">
      <w:pPr>
        <w:spacing w:line="360" w:lineRule="exact"/>
        <w:ind w:firstLine="480"/>
      </w:pPr>
      <w:r>
        <w:rPr>
          <w:rFonts w:ascii="宋体" w:hAnsi="宋体" w:eastAsia="宋体"/>
          <w:sz w:val="24"/>
        </w:rPr>
        <w:t>上述四种分类器学习范式各异——分别属于边界优化型、集成树型、线性判别型和实例型，保证了集成框架的多样性，有利于降低各分类器同时出错的概率。在训练之前，所有特征统一通过StandardScaler进行标准化，以消除不同特征维度之间的量纲差异。</w:t>
      </w:r>
    </w:p>
    <w:p w14:paraId="0C2CBBBD">
      <w:pPr>
        <w:pStyle w:val="165"/>
      </w:pPr>
      <w:r>
        <w:t>3.3  静态权重与动态置信度联合加权融合</w:t>
      </w:r>
    </w:p>
    <w:p w14:paraId="6F615E39">
      <w:pPr>
        <w:spacing w:line="360" w:lineRule="exact"/>
        <w:ind w:firstLine="480"/>
      </w:pPr>
      <w:r>
        <w:rPr>
          <w:rFonts w:ascii="宋体" w:hAnsi="宋体" w:eastAsia="宋体"/>
          <w:sz w:val="24"/>
        </w:rPr>
        <w:t>传统集成方法通常采用简单等权投票或固定权重融合，无法根据当前样本的分类难度自适应地调整各分类器的贡献。为此，本方案设计了静态权重与动态置信度联合估计机制，使权重分配兼顾分类器的全局训练性能与局部样本信息。</w:t>
      </w:r>
    </w:p>
    <w:p w14:paraId="3C92841B">
      <w:pPr>
        <w:pStyle w:val="166"/>
      </w:pPr>
      <w:r>
        <w:t>3.3.1  静态基权重计算</w:t>
      </w:r>
    </w:p>
    <w:p w14:paraId="19F5010F">
      <w:pPr>
        <w:spacing w:line="360" w:lineRule="exact"/>
        <w:ind w:firstLine="480"/>
        <w:rPr>
          <w:rFonts w:ascii="宋体" w:hAnsi="宋体" w:eastAsia="宋体"/>
          <w:sz w:val="24"/>
        </w:rPr>
      </w:pPr>
      <w:r>
        <w:rPr>
          <w:rFonts w:ascii="宋体" w:hAnsi="宋体" w:eastAsia="宋体"/>
          <w:sz w:val="24"/>
        </w:rPr>
        <w:t>设第k个基础分类器在留出验证集上的识别准确率为</w:t>
      </w:r>
      <m:oMath>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oMath>
      <w:r>
        <w:rPr>
          <w:rFonts w:ascii="宋体" w:hAnsi="宋体" w:eastAsia="宋体"/>
          <w:sz w:val="24"/>
        </w:rPr>
        <w:t>，其静态基权重定义为：</w:t>
      </w:r>
    </w:p>
    <w:p w14:paraId="7881A13A">
      <w:pPr>
        <w:spacing w:line="360" w:lineRule="auto"/>
        <w:jc w:val="center"/>
        <w:rPr>
          <w:rFonts w:ascii="Times New Roman" w:hAnsi="Times New Roman"/>
          <w:sz w:val="24"/>
        </w:rPr>
      </w:pPr>
      <m:oMathPara>
        <m:oMath>
          <m:sSubSup>
            <m:sSubSupPr>
              <m:ctrlPr>
                <w:rPr>
                  <w:rFonts w:ascii="Cambria Math" w:hAnsi="Cambria Math"/>
                  <w:i/>
                  <w:sz w:val="24"/>
                  <w:szCs w:val="28"/>
                </w:rPr>
              </m:ctrlPr>
            </m:sSubSupPr>
            <m:e>
              <m:r>
                <m:rPr/>
                <w:rPr>
                  <w:rFonts w:ascii="Cambria Math" w:hAnsi="Cambria Math"/>
                  <w:sz w:val="24"/>
                  <w:szCs w:val="28"/>
                </w:rPr>
                <m:t>α</m:t>
              </m:r>
              <m:ctrlPr>
                <w:rPr>
                  <w:rFonts w:ascii="Cambria Math" w:hAnsi="Cambria Math"/>
                  <w:i/>
                  <w:sz w:val="24"/>
                  <w:szCs w:val="28"/>
                </w:rPr>
              </m:ctrlPr>
            </m:e>
            <m:sub>
              <m:r>
                <m:rPr/>
                <w:rPr>
                  <w:rFonts w:ascii="Cambria Math" w:hAnsi="Cambria Math"/>
                  <w:sz w:val="24"/>
                  <w:szCs w:val="28"/>
                </w:rPr>
                <m:t>k</m:t>
              </m:r>
              <m:ctrlPr>
                <w:rPr>
                  <w:rFonts w:ascii="Cambria Math" w:hAnsi="Cambria Math"/>
                  <w:i/>
                  <w:sz w:val="24"/>
                  <w:szCs w:val="28"/>
                </w:rPr>
              </m:ctrlPr>
            </m:sub>
            <m:sup>
              <m:r>
                <m:rPr>
                  <m:sty m:val="p"/>
                </m:rPr>
                <w:rPr>
                  <w:rFonts w:ascii="Cambria Math" w:hAnsi="Cambria Math"/>
                  <w:sz w:val="24"/>
                  <w:szCs w:val="28"/>
                </w:rPr>
                <m:t>(0)</m:t>
              </m:r>
              <m:ctrlPr>
                <w:rPr>
                  <w:rFonts w:ascii="Cambria Math" w:hAnsi="Cambria Math"/>
                  <w:i/>
                  <w:sz w:val="24"/>
                  <w:szCs w:val="28"/>
                </w:rPr>
              </m:ctrlPr>
            </m:sup>
          </m:sSubSup>
          <m:r>
            <m:rPr>
              <m:sty m:val="p"/>
            </m:rPr>
            <w:rPr>
              <w:rFonts w:ascii="Cambria Math" w:hAnsi="Cambria Math"/>
              <w:sz w:val="24"/>
              <w:szCs w:val="28"/>
            </w:rPr>
            <m:t xml:space="preserve"> = </m:t>
          </m:r>
          <m:f>
            <m:fPr>
              <m:ctrlPr>
                <w:rPr>
                  <w:rFonts w:ascii="Cambria Math" w:hAnsi="Cambria Math"/>
                  <w:i/>
                  <w:sz w:val="24"/>
                  <w:szCs w:val="28"/>
                </w:rPr>
              </m:ctrlPr>
            </m:fPr>
            <m:num>
              <m:sSub>
                <m:sSubPr>
                  <m:ctrlPr>
                    <w:rPr>
                      <w:rFonts w:ascii="Cambria Math" w:hAnsi="Cambria Math"/>
                      <w:i/>
                      <w:sz w:val="24"/>
                      <w:szCs w:val="28"/>
                    </w:rPr>
                  </m:ctrlPr>
                </m:sSubPr>
                <m:e>
                  <m:r>
                    <m:rPr/>
                    <w:rPr>
                      <w:rFonts w:ascii="Cambria Math" w:hAnsi="Cambria Math"/>
                      <w:sz w:val="24"/>
                      <w:szCs w:val="28"/>
                    </w:rPr>
                    <m:t>A</m:t>
                  </m:r>
                  <m:ctrlPr>
                    <w:rPr>
                      <w:rFonts w:ascii="Cambria Math" w:hAnsi="Cambria Math"/>
                      <w:i/>
                      <w:sz w:val="24"/>
                      <w:szCs w:val="28"/>
                    </w:rPr>
                  </m:ctrlPr>
                </m:e>
                <m:sub>
                  <m:r>
                    <m:rPr/>
                    <w:rPr>
                      <w:rFonts w:ascii="Cambria Math" w:hAnsi="Cambria Math"/>
                      <w:sz w:val="24"/>
                      <w:szCs w:val="28"/>
                    </w:rPr>
                    <m:t>k</m:t>
                  </m:r>
                  <m:ctrlPr>
                    <w:rPr>
                      <w:rFonts w:ascii="Cambria Math" w:hAnsi="Cambria Math"/>
                      <w:i/>
                      <w:sz w:val="24"/>
                      <w:szCs w:val="28"/>
                    </w:rPr>
                  </m:ctrlPr>
                </m:sub>
              </m:sSub>
              <m:ctrlPr>
                <w:rPr>
                  <w:rFonts w:ascii="Cambria Math" w:hAnsi="Cambria Math"/>
                  <w:i/>
                  <w:sz w:val="24"/>
                  <w:szCs w:val="28"/>
                </w:rPr>
              </m:ctrlPr>
            </m:num>
            <m:den>
              <m:nary>
                <m:naryPr>
                  <m:chr m:val="∑"/>
                  <m:limLoc m:val="subSup"/>
                  <m:ctrlPr>
                    <w:rPr>
                      <w:rFonts w:ascii="Cambria Math" w:hAnsi="Cambria Math"/>
                      <w:i/>
                      <w:sz w:val="24"/>
                      <w:szCs w:val="28"/>
                    </w:rPr>
                  </m:ctrlPr>
                </m:naryPr>
                <m:sub>
                  <m:r>
                    <m:rPr>
                      <m:sty m:val="p"/>
                    </m:rPr>
                    <w:rPr>
                      <w:rFonts w:ascii="Cambria Math" w:hAnsi="Cambria Math"/>
                      <w:sz w:val="24"/>
                      <w:szCs w:val="28"/>
                    </w:rPr>
                    <m:t>j=1</m:t>
                  </m:r>
                  <m:ctrlPr>
                    <w:rPr>
                      <w:rFonts w:ascii="Cambria Math" w:hAnsi="Cambria Math"/>
                      <w:i/>
                      <w:sz w:val="24"/>
                      <w:szCs w:val="28"/>
                    </w:rPr>
                  </m:ctrlPr>
                </m:sub>
                <m:sup>
                  <m:r>
                    <m:rPr/>
                    <w:rPr>
                      <w:rFonts w:hint="default" w:ascii="Cambria Math" w:hAnsi="Cambria Math"/>
                      <w:sz w:val="24"/>
                      <w:szCs w:val="28"/>
                      <w:lang w:val="en-US" w:eastAsia="zh-CN"/>
                    </w:rPr>
                    <m:t>4</m:t>
                  </m:r>
                  <m:ctrlPr>
                    <w:rPr>
                      <w:rFonts w:ascii="Cambria Math" w:hAnsi="Cambria Math"/>
                      <w:i/>
                      <w:sz w:val="24"/>
                      <w:szCs w:val="28"/>
                    </w:rPr>
                  </m:ctrlPr>
                </m:sup>
                <m:e>
                  <m:sSub>
                    <m:sSubPr>
                      <m:ctrlPr>
                        <w:rPr>
                          <w:rFonts w:ascii="Cambria Math" w:hAnsi="Cambria Math"/>
                          <w:i/>
                          <w:sz w:val="24"/>
                          <w:szCs w:val="28"/>
                        </w:rPr>
                      </m:ctrlPr>
                    </m:sSubPr>
                    <m:e>
                      <m:r>
                        <m:rPr/>
                        <w:rPr>
                          <w:rFonts w:ascii="Cambria Math" w:hAnsi="Cambria Math"/>
                          <w:sz w:val="24"/>
                          <w:szCs w:val="28"/>
                        </w:rPr>
                        <m:t>A</m:t>
                      </m:r>
                      <m:ctrlPr>
                        <w:rPr>
                          <w:rFonts w:ascii="Cambria Math" w:hAnsi="Cambria Math"/>
                          <w:i/>
                          <w:sz w:val="24"/>
                          <w:szCs w:val="28"/>
                        </w:rPr>
                      </m:ctrlPr>
                    </m:e>
                    <m:sub>
                      <m:r>
                        <m:rPr/>
                        <w:rPr>
                          <w:rFonts w:ascii="Cambria Math" w:hAnsi="Cambria Math"/>
                          <w:sz w:val="24"/>
                          <w:szCs w:val="28"/>
                        </w:rPr>
                        <m:t>j</m:t>
                      </m:r>
                      <m:ctrlPr>
                        <w:rPr>
                          <w:rFonts w:ascii="Cambria Math" w:hAnsi="Cambria Math"/>
                          <w:i/>
                          <w:sz w:val="24"/>
                          <w:szCs w:val="28"/>
                        </w:rPr>
                      </m:ctrlPr>
                    </m:sub>
                  </m:sSub>
                  <m:ctrlPr>
                    <w:rPr>
                      <w:rFonts w:ascii="Cambria Math" w:hAnsi="Cambria Math"/>
                      <w:i/>
                      <w:sz w:val="24"/>
                      <w:szCs w:val="28"/>
                    </w:rPr>
                  </m:ctrlPr>
                </m:e>
              </m:nary>
              <m:ctrlPr>
                <w:rPr>
                  <w:rFonts w:ascii="Cambria Math" w:hAnsi="Cambria Math"/>
                  <w:i/>
                  <w:sz w:val="24"/>
                  <w:szCs w:val="28"/>
                </w:rPr>
              </m:ctrlPr>
            </m:den>
          </m:f>
          <m:r>
            <m:rPr>
              <m:nor/>
              <m:sty m:val="p"/>
            </m:rPr>
            <w:rPr>
              <w:rFonts w:hint="default" w:ascii="Cambria Math" w:hAnsi="Cambria Math"/>
              <w:b w:val="0"/>
              <w:i w:val="0"/>
              <w:sz w:val="24"/>
              <w:szCs w:val="28"/>
              <w:lang w:val="en-US" w:eastAsia="zh-CN"/>
            </w:rPr>
            <m:t xml:space="preserve">      </m:t>
          </m:r>
          <m:r>
            <m:rPr>
              <m:nor/>
              <m:sty m:val="p"/>
            </m:rPr>
            <w:rPr>
              <w:rFonts w:hint="default" w:ascii="Times New Roman" w:hAnsi="Times New Roman" w:eastAsia="宋体" w:cs="Times New Roman"/>
              <w:b w:val="0"/>
              <w:i w:val="0"/>
              <w:sz w:val="24"/>
              <w:szCs w:val="24"/>
              <w:lang w:val="en-US" w:eastAsia="zh-CN"/>
            </w:rPr>
            <m:t>(3</m:t>
          </m:r>
          <m:r>
            <m:rPr>
              <m:nor/>
              <m:sty m:val="p"/>
            </m:rPr>
            <w:rPr>
              <w:rFonts w:hint="default" w:ascii="Times New Roman" w:hAnsi="Times New Roman" w:cs="Times New Roman"/>
              <w:b w:val="0"/>
              <w:i w:val="0"/>
              <w:sz w:val="24"/>
              <w:szCs w:val="24"/>
              <w:lang w:val="en-US" w:eastAsia="zh-CN"/>
            </w:rPr>
            <m:t>-</m:t>
          </m:r>
          <m:r>
            <m:rPr>
              <m:nor/>
              <m:sty m:val="p"/>
            </m:rPr>
            <w:rPr>
              <w:rFonts w:hint="default" w:ascii="Times New Roman" w:hAnsi="Times New Roman" w:eastAsia="宋体" w:cs="Times New Roman"/>
              <w:b w:val="0"/>
              <w:i w:val="0"/>
              <w:sz w:val="24"/>
              <w:szCs w:val="24"/>
              <w:lang w:val="en-US" w:eastAsia="zh-CN"/>
            </w:rPr>
            <m:t>4)</m:t>
          </m:r>
        </m:oMath>
      </m:oMathPara>
    </w:p>
    <w:p w14:paraId="01CCDE60">
      <w:pPr>
        <w:spacing w:line="360" w:lineRule="exact"/>
        <w:ind w:firstLine="480"/>
      </w:pPr>
      <w:r>
        <w:rPr>
          <w:rFonts w:ascii="宋体" w:hAnsi="宋体" w:eastAsia="宋体"/>
          <w:sz w:val="24"/>
        </w:rPr>
        <w:t>静态基权重反映了各分类器在训练阶段的综合判别能力，准确率越高的分类器在融合中贡献越大。该权重在模型训练完成后即确定，在推理阶段保持不变。</w:t>
      </w:r>
    </w:p>
    <w:p w14:paraId="6D4EDAB3">
      <w:pPr>
        <w:pStyle w:val="166"/>
      </w:pPr>
      <w:r>
        <w:t>3.3.2  动态置信因子计算</w:t>
      </w:r>
    </w:p>
    <w:p w14:paraId="4C4216CE">
      <w:pPr>
        <w:spacing w:line="360" w:lineRule="exact"/>
        <w:ind w:firstLine="480"/>
      </w:pPr>
      <w:r>
        <w:rPr>
          <w:rFonts w:ascii="宋体" w:hAnsi="宋体" w:eastAsia="宋体"/>
          <w:sz w:val="24"/>
        </w:rPr>
        <w:t>对于当前输入样本F，第k个分类器输出后验概率向量</w:t>
      </w: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oMath>
      <w:r>
        <w:rPr>
          <w:rFonts w:ascii="宋体" w:hAnsi="宋体" w:eastAsia="宋体"/>
          <w:sz w:val="24"/>
        </w:rPr>
        <w:t>，计算其预测熵：</w:t>
      </w:r>
    </w:p>
    <w:p w14:paraId="5216ED6D">
      <w:pPr>
        <w:spacing w:before="60" w:after="60"/>
        <w:jc w:val="center"/>
      </w:pP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r>
              <m:rPr>
                <m:sty m:val="p"/>
              </m:rPr>
              <w:rPr>
                <w:rFonts w:hint="default" w:ascii="Cambria Math" w:hAnsi="Cambria Math"/>
                <w:sz w:val="24"/>
              </w:rPr>
              <m:t>Σ</m:t>
            </m:r>
            <m:ctrlPr>
              <w:rPr>
                <w:rFonts w:ascii="Cambria Math" w:hAnsi="Cambria Math"/>
                <w:sz w:val="24"/>
              </w:rPr>
            </m:ctrlPr>
          </m:e>
          <m:sub>
            <m:r>
              <m:rPr/>
              <w:rPr>
                <w:rFonts w:hint="default" w:ascii="Cambria Math" w:hAnsi="Cambria Math"/>
                <w:sz w:val="24"/>
              </w:rPr>
              <m:t>c=1</m:t>
            </m:r>
            <m:ctrlPr>
              <w:rPr>
                <w:rFonts w:ascii="Cambria Math" w:hAnsi="Cambria Math"/>
                <w:sz w:val="24"/>
              </w:rPr>
            </m:ctrlPr>
          </m:sub>
          <m:sup>
            <m:r>
              <m:rPr/>
              <w:rPr>
                <w:rFonts w:hint="default" w:ascii="Cambria Math" w:hAnsi="Cambria Math"/>
                <w:sz w:val="24"/>
              </w:rPr>
              <m:t>M</m:t>
            </m:r>
            <m:ctrlPr>
              <w:rPr>
                <w:rFonts w:ascii="Cambria Math" w:hAnsi="Cambria Math"/>
                <w:sz w:val="24"/>
              </w:rPr>
            </m:ctrlPr>
          </m:sup>
        </m:sSubSup>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(c|F)log</m:t>
        </m:r>
        <m:r>
          <m:rPr>
            <m:sty m:val="p"/>
          </m:rPr>
          <w:rPr>
            <w:rFonts w:hint="default" w:ascii="Cambria Math" w:hAnsi="Cambria Math"/>
            <w:sz w:val="24"/>
          </w:rPr>
          <m:t>₂</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(c|F)</m:t>
        </m:r>
      </m:oMath>
      <w:r>
        <w:rPr>
          <w:rFonts w:ascii="Times New Roman" w:hAnsi="Times New Roman"/>
          <w:sz w:val="24"/>
        </w:rPr>
        <w:t xml:space="preserve">   (3-5)</w:t>
      </w:r>
    </w:p>
    <w:p w14:paraId="1516DA97">
      <w:pPr>
        <w:spacing w:line="360" w:lineRule="exact"/>
        <w:ind w:firstLine="480"/>
      </w:pPr>
      <w:r>
        <w:rPr>
          <w:rFonts w:ascii="宋体" w:hAnsi="宋体" w:eastAsia="宋体"/>
          <w:sz w:val="24"/>
        </w:rPr>
        <w:t>预测熵H_k度量分类器对当前样本预测的不确定性。</w:t>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oMath>
      <w:r>
        <w:rPr>
          <w:rFonts w:ascii="宋体" w:hAnsi="宋体" w:eastAsia="宋体"/>
          <w:sz w:val="24"/>
        </w:rPr>
        <w:t>越小，表明分类器对某一类别的置信越集中；越大，说明分类器对当前样本判断较为模糊，应赋予较低权重。基于预测熵定义动态置信因子：</w:t>
      </w:r>
    </w:p>
    <w:p w14:paraId="38DFDF0F">
      <w:pPr>
        <w:spacing w:before="60" w:after="60"/>
        <w:jc w:val="center"/>
      </w:pPr>
      <m:oMath>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exp</m:t>
        </m:r>
        <m:r>
          <m:rPr/>
          <w:rPr>
            <w:rFonts w:hint="default" w:ascii="Cambria Math" w:hAnsi="Cambria Math"/>
            <w:sz w:val="24"/>
          </w:rPr>
          <m:t>(−γ</m:t>
        </m:r>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oMath>
      <w:r>
        <w:rPr>
          <w:rFonts w:ascii="Times New Roman" w:hAnsi="Times New Roman"/>
          <w:sz w:val="24"/>
        </w:rPr>
        <w:t xml:space="preserve">   (3-6)</w:t>
      </w:r>
    </w:p>
    <w:p w14:paraId="5C3A5085">
      <w:pPr>
        <w:spacing w:line="360" w:lineRule="exact"/>
        <w:ind w:firstLine="480"/>
      </w:pPr>
      <w:r>
        <w:rPr>
          <w:rFonts w:ascii="宋体" w:hAnsi="宋体" w:eastAsia="宋体"/>
          <w:sz w:val="24"/>
        </w:rPr>
        <w:t>其中γ&gt;0为超参数，控制置信因子对熵值的敏感程度。本实验中γ=1.0。</w:t>
      </w:r>
    </w:p>
    <w:p w14:paraId="1FBE7635">
      <w:pPr>
        <w:pStyle w:val="166"/>
      </w:pPr>
      <w:r>
        <w:t>3.3.3  联合权重与加权概率融合</w:t>
      </w:r>
    </w:p>
    <w:p w14:paraId="7C0DB506">
      <w:pPr>
        <w:spacing w:line="360" w:lineRule="exact"/>
        <w:ind w:firstLine="480"/>
      </w:pPr>
      <w:r>
        <w:rPr>
          <w:rFonts w:ascii="宋体" w:hAnsi="宋体" w:eastAsia="宋体"/>
          <w:sz w:val="24"/>
        </w:rPr>
        <w:t>将静态基权重与动态置信因子结合，计算最终联合权重：</w:t>
      </w:r>
    </w:p>
    <w:p w14:paraId="6B43A8D0">
      <w:pPr>
        <w:spacing w:before="60" w:after="60"/>
        <w:jc w:val="center"/>
      </w:pPr>
      <m:oMath>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m:sty m:val="p"/>
          </m:rPr>
          <w:rPr>
            <w:rFonts w:hint="default" w:ascii="Cambria Math" w:hAnsi="Cambria Math"/>
            <w:sz w:val="24"/>
          </w:rPr>
          <m:t>⁽⁰⁾·</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Σⱼ₌₁⁴</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m:sty m:val="p"/>
          </m:rPr>
          <w:rPr>
            <w:rFonts w:hint="default" w:ascii="Cambria Math" w:hAnsi="Cambria Math"/>
            <w:sz w:val="24"/>
          </w:rPr>
          <m:t>⁽⁰⁾·</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m:t>
        </m:r>
      </m:oMath>
      <w:r>
        <w:rPr>
          <w:rFonts w:ascii="Times New Roman" w:hAnsi="Times New Roman"/>
          <w:sz w:val="24"/>
        </w:rPr>
        <w:t xml:space="preserve">    (3-7)</w:t>
      </w:r>
    </w:p>
    <w:p w14:paraId="57C5F261">
      <w:pPr>
        <w:spacing w:line="360" w:lineRule="exact"/>
        <w:ind w:firstLine="480"/>
      </w:pPr>
      <w:r>
        <w:rPr>
          <w:rFonts w:ascii="宋体" w:hAnsi="宋体" w:eastAsia="宋体"/>
          <w:sz w:val="24"/>
        </w:rPr>
        <w:t>联合权重</w:t>
      </w:r>
      <m:oMath>
        <m:sSub>
          <m:sSubPr>
            <m:ctrlPr>
              <w:rPr>
                <w:rFonts w:hint="default" w:ascii="Cambria Math" w:hAnsi="Cambria Math" w:eastAsia="宋体"/>
                <w:sz w:val="24"/>
              </w:rPr>
            </m:ctrlPr>
          </m:sSubPr>
          <m:e>
            <m:r>
              <m:rPr/>
              <w:rPr>
                <w:rFonts w:hint="default" w:ascii="Cambria Math" w:hAnsi="Cambria Math" w:eastAsia="宋体"/>
                <w:sz w:val="24"/>
              </w:rPr>
              <m:t>α</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oMath>
      <w:r>
        <w:rPr>
          <w:rFonts w:ascii="宋体" w:hAnsi="宋体" w:eastAsia="宋体"/>
          <w:sz w:val="24"/>
        </w:rPr>
        <w:t>同时考虑了分类器的历史准确率（静态稳健性）与当前样本的预测确定性（动态置信度），使权重分配兼顾全局训练性能与局部样本信息。</w:t>
      </w:r>
    </w:p>
    <w:p w14:paraId="66EF129B">
      <w:pPr>
        <w:spacing w:line="360" w:lineRule="exact"/>
        <w:ind w:firstLine="480"/>
      </w:pPr>
      <w:r>
        <w:rPr>
          <w:rFonts w:ascii="宋体" w:hAnsi="宋体" w:eastAsia="宋体"/>
          <w:sz w:val="24"/>
        </w:rPr>
        <w:t>对4个基础分类器输出的后验概率向量按联合权重进行加权求和，得到集成后验概率：</w:t>
      </w:r>
    </w:p>
    <w:p w14:paraId="6FCE4BE6">
      <w:pPr>
        <w:spacing w:before="60" w:after="60"/>
        <w:jc w:val="center"/>
      </w:pPr>
      <m:oMath>
        <m:r>
          <m:rPr/>
          <w:rPr>
            <w:rFonts w:hint="default" w:ascii="Cambria Math" w:hAnsi="Cambria Math"/>
            <w:sz w:val="24"/>
          </w:rPr>
          <m:t>p</m:t>
        </m:r>
        <m:r>
          <m:rPr>
            <m:sty m:val="p"/>
          </m:rPr>
          <w:rPr>
            <w:rFonts w:hint="default" w:ascii="Cambria Math" w:hAnsi="Cambria Math"/>
            <w:sz w:val="24"/>
          </w:rPr>
          <m:t>̄</m:t>
        </m:r>
        <m:r>
          <m:rPr/>
          <w:rPr>
            <w:rFonts w:hint="default" w:ascii="Cambria Math" w:hAnsi="Cambria Math"/>
            <w:sz w:val="24"/>
          </w:rPr>
          <m:t>(c|F)=</m:t>
        </m:r>
        <m:sSubSup>
          <m:sSubSupPr>
            <m:ctrlPr>
              <w:rPr>
                <w:rFonts w:hint="default" w:ascii="Cambria Math" w:hAnsi="Cambria Math"/>
                <w:sz w:val="24"/>
              </w:rPr>
            </m:ctrlPr>
          </m:sSubSupPr>
          <m:e>
            <m:r>
              <m:rPr>
                <m:sty m:val="p"/>
              </m:rPr>
              <w:rPr>
                <w:rFonts w:hint="default" w:ascii="Cambria Math" w:hAnsi="Cambria Math"/>
                <w:sz w:val="24"/>
              </w:rPr>
              <m:t>Σ</m:t>
            </m:r>
            <m:ctrlPr>
              <w:rPr>
                <w:rFonts w:ascii="Cambria Math" w:hAnsi="Cambria Math"/>
                <w:sz w:val="24"/>
              </w:rPr>
            </m:ctrlPr>
          </m:e>
          <m:sub>
            <m:r>
              <m:rPr/>
              <w:rPr>
                <w:rFonts w:hint="default" w:ascii="Cambria Math" w:hAnsi="Cambria Math"/>
                <w:sz w:val="24"/>
              </w:rPr>
              <m:t>k=1</m:t>
            </m:r>
            <m:ctrlPr>
              <w:rPr>
                <w:rFonts w:ascii="Cambria Math" w:hAnsi="Cambria Math"/>
                <w:sz w:val="24"/>
              </w:rPr>
            </m:ctrlPr>
          </m:sub>
          <m:sup>
            <m:r>
              <m:rPr/>
              <w:rPr>
                <w:rFonts w:hint="default" w:ascii="Cambria Math" w:hAnsi="Cambria Math"/>
                <w:sz w:val="24"/>
              </w:rPr>
              <m:t>4</m:t>
            </m:r>
            <m:ctrlPr>
              <w:rPr>
                <w:rFonts w:ascii="Cambria Math" w:hAnsi="Cambria Math"/>
                <w:sz w:val="24"/>
              </w:rPr>
            </m:ctrlPr>
          </m:sup>
        </m:sSubSup>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(c|F)</m:t>
        </m:r>
      </m:oMath>
      <w:r>
        <w:rPr>
          <w:rFonts w:ascii="Times New Roman" w:hAnsi="Times New Roman"/>
          <w:sz w:val="24"/>
        </w:rPr>
        <w:t xml:space="preserve">    (3-8)</w:t>
      </w:r>
    </w:p>
    <w:p w14:paraId="3F46E28E">
      <w:pPr>
        <w:spacing w:line="360" w:lineRule="exact"/>
        <w:ind w:firstLine="480"/>
      </w:pPr>
      <w:r>
        <w:rPr>
          <w:rFonts w:ascii="宋体" w:hAnsi="宋体" w:eastAsia="宋体"/>
          <w:sz w:val="24"/>
        </w:rPr>
        <w:t>取集成后验概率最大的设备类别作为识别输出：</w:t>
      </w:r>
    </w:p>
    <w:p w14:paraId="50E72E25">
      <w:pPr>
        <w:spacing w:before="60" w:after="60"/>
        <w:jc w:val="center"/>
      </w:pPr>
      <m:oMath>
        <m:r>
          <m:rPr>
            <m:sty m:val="p"/>
          </m:rPr>
          <w:rPr>
            <w:rFonts w:hint="default" w:ascii="Cambria Math" w:hAnsi="Cambria Math"/>
            <w:sz w:val="24"/>
          </w:rPr>
          <m:t>ĉ</m:t>
        </m:r>
        <m:r>
          <m:rPr/>
          <w:rPr>
            <w:rFonts w:hint="default" w:ascii="Cambria Math" w:hAnsi="Cambria Math"/>
            <w:sz w:val="24"/>
          </w:rPr>
          <m:t>=argma</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c∈1,...,M</m:t>
            </m:r>
            <m:ctrlPr>
              <w:rPr>
                <w:rFonts w:ascii="Cambria Math" w:hAnsi="Cambria Math"/>
                <w:sz w:val="24"/>
              </w:rPr>
            </m:ctrlPr>
          </m:sub>
        </m:sSub>
        <m:r>
          <m:rPr/>
          <w:rPr>
            <w:rFonts w:hint="default" w:ascii="Cambria Math" w:hAnsi="Cambria Math"/>
            <w:sz w:val="24"/>
          </w:rPr>
          <m:t>p</m:t>
        </m:r>
        <m:r>
          <m:rPr>
            <m:sty m:val="p"/>
          </m:rPr>
          <w:rPr>
            <w:rFonts w:hint="default" w:ascii="Cambria Math" w:hAnsi="Cambria Math"/>
            <w:sz w:val="24"/>
          </w:rPr>
          <m:t>̄</m:t>
        </m:r>
        <m:r>
          <m:rPr/>
          <w:rPr>
            <w:rFonts w:hint="default" w:ascii="Cambria Math" w:hAnsi="Cambria Math"/>
            <w:sz w:val="24"/>
          </w:rPr>
          <m:t>(c|F)</m:t>
        </m:r>
      </m:oMath>
      <w:r>
        <w:rPr>
          <w:rFonts w:ascii="Times New Roman" w:hAnsi="Times New Roman"/>
          <w:sz w:val="24"/>
        </w:rPr>
        <w:t xml:space="preserve">   (3-9)</w:t>
      </w:r>
    </w:p>
    <w:p w14:paraId="342D66B8">
      <w:pPr>
        <w:pStyle w:val="165"/>
      </w:pPr>
      <w:r>
        <w:t>3.4  基于置信度的双阈值拒识机制</w:t>
      </w:r>
    </w:p>
    <w:p w14:paraId="4F968349">
      <w:pPr>
        <w:spacing w:line="360" w:lineRule="exact"/>
        <w:ind w:firstLine="480"/>
      </w:pPr>
      <w:r>
        <w:rPr>
          <w:rFonts w:ascii="宋体" w:hAnsi="宋体" w:eastAsia="宋体"/>
          <w:sz w:val="24"/>
        </w:rPr>
        <w:t>在实际部署中，接收端可能收到未注册设备的信号，系统需要具备对未知设备的拒识能力。为此，在输出设备身份之前，对集成后验概率进行双阈值拒识检验。</w:t>
      </w:r>
    </w:p>
    <w:p w14:paraId="125DFA87">
      <w:pPr>
        <w:spacing w:line="360" w:lineRule="exact"/>
        <w:ind w:firstLine="480"/>
      </w:pPr>
      <w:r>
        <w:rPr>
          <w:rFonts w:ascii="宋体" w:hAnsi="宋体" w:eastAsia="宋体"/>
          <w:sz w:val="24"/>
        </w:rPr>
        <w:t>定义类间置信差：</w:t>
      </w:r>
    </w:p>
    <w:p w14:paraId="03A5F247">
      <w:pPr>
        <w:spacing w:before="60" w:after="60"/>
        <w:jc w:val="center"/>
      </w:pPr>
      <m:oMath>
        <m:r>
          <m:rPr>
            <m:sty m:val="p"/>
          </m:rPr>
          <w:rPr>
            <w:rFonts w:hint="default" w:ascii="Cambria Math" w:hAnsi="Cambria Math"/>
            <w:sz w:val="24"/>
          </w:rPr>
          <m:t>Δ</m:t>
        </m:r>
        <m:r>
          <m:rPr/>
          <w:rPr>
            <w:rFonts w:hint="default" w:ascii="Cambria Math" w:hAnsi="Cambria Math"/>
            <w:sz w:val="24"/>
          </w:rPr>
          <m:t>p=p</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ĉ</m:t>
        </m:r>
        <m:r>
          <m:rPr/>
          <w:rPr>
            <w:rFonts w:hint="default" w:ascii="Cambria Math" w:hAnsi="Cambria Math"/>
            <w:sz w:val="24"/>
          </w:rPr>
          <m:t>|F)−ma</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c≠</m:t>
            </m:r>
            <m:r>
              <m:rPr>
                <m:sty m:val="p"/>
              </m:rPr>
              <w:rPr>
                <w:rFonts w:hint="default" w:ascii="Cambria Math" w:hAnsi="Cambria Math"/>
                <w:sz w:val="24"/>
              </w:rPr>
              <m:t>ĉ</m:t>
            </m:r>
            <m:ctrlPr>
              <w:rPr>
                <w:rFonts w:ascii="Cambria Math" w:hAnsi="Cambria Math"/>
                <w:sz w:val="24"/>
              </w:rPr>
            </m:ctrlPr>
          </m:sub>
        </m:sSub>
        <m:r>
          <m:rPr/>
          <w:rPr>
            <w:rFonts w:hint="default" w:ascii="Cambria Math" w:hAnsi="Cambria Math"/>
            <w:sz w:val="24"/>
          </w:rPr>
          <m:t>p</m:t>
        </m:r>
        <m:r>
          <m:rPr>
            <m:sty m:val="p"/>
          </m:rPr>
          <w:rPr>
            <w:rFonts w:hint="default" w:ascii="Cambria Math" w:hAnsi="Cambria Math"/>
            <w:sz w:val="24"/>
          </w:rPr>
          <m:t>̄</m:t>
        </m:r>
        <m:r>
          <m:rPr/>
          <w:rPr>
            <w:rFonts w:hint="default" w:ascii="Cambria Math" w:hAnsi="Cambria Math"/>
            <w:sz w:val="24"/>
          </w:rPr>
          <m:t>(c|F)</m:t>
        </m:r>
      </m:oMath>
      <w:r>
        <w:rPr>
          <w:rFonts w:ascii="Times New Roman" w:hAnsi="Times New Roman"/>
          <w:sz w:val="24"/>
        </w:rPr>
        <w:t xml:space="preserve">    (3-10)</w:t>
      </w:r>
    </w:p>
    <w:p w14:paraId="192C9245">
      <w:pPr>
        <w:spacing w:line="360" w:lineRule="exact"/>
        <w:ind w:firstLine="480"/>
      </w:pPr>
      <w:r>
        <w:rPr>
          <w:rFonts w:ascii="宋体" w:hAnsi="宋体" w:eastAsia="宋体"/>
          <w:sz w:val="24"/>
        </w:rPr>
        <w:t>类间置信差</w:t>
      </w:r>
      <m:oMath>
        <m:r>
          <m:rPr>
            <m:sty m:val="p"/>
          </m:rPr>
          <w:rPr>
            <w:rFonts w:ascii="Cambria Math" w:hAnsi="Cambria Math" w:eastAsia="宋体" w:cstheme="minorBidi"/>
            <w:sz w:val="24"/>
            <w:szCs w:val="22"/>
            <w:lang w:val="en-US" w:bidi="ar-SA"/>
          </w:rPr>
          <m:t>Δp</m:t>
        </m:r>
      </m:oMath>
      <w:r>
        <w:rPr>
          <w:rFonts w:ascii="宋体" w:hAnsi="宋体" w:eastAsia="宋体"/>
          <w:sz w:val="24"/>
        </w:rPr>
        <w:t>度量最优类别相对于次优类别的置信优势，反映识别结果的区分度。拒识判决规则如下：若满足以下任一条件，则将当前样本判定为未知设备，拒绝输出身份标识：</w:t>
      </w:r>
    </w:p>
    <w:p w14:paraId="1E69363C">
      <w:pPr>
        <w:spacing w:line="360" w:lineRule="exact"/>
        <w:ind w:firstLine="0"/>
      </w:pPr>
      <w:r>
        <w:rPr>
          <w:rFonts w:ascii="宋体" w:hAnsi="宋体" w:eastAsia="宋体"/>
          <w:sz w:val="24"/>
        </w:rPr>
        <w:t>（i）绝对置信条件不满足：最大集成后验概率</w:t>
      </w:r>
      <m:oMath>
        <m:r>
          <m:rPr/>
          <w:rPr>
            <w:rFonts w:hint="default" w:ascii="Cambria Math" w:hAnsi="Cambria Math" w:eastAsia="宋体"/>
            <w:sz w:val="24"/>
          </w:rPr>
          <m:t>p</m:t>
        </m:r>
        <m:r>
          <m:rPr>
            <m:sty m:val="p"/>
          </m:rPr>
          <w:rPr>
            <w:rFonts w:hint="default" w:ascii="Cambria Math" w:hAnsi="Cambria Math" w:eastAsia="宋体"/>
            <w:sz w:val="24"/>
          </w:rPr>
          <m:t>̄</m:t>
        </m:r>
        <m:r>
          <m:rPr/>
          <w:rPr>
            <w:rFonts w:hint="default" w:ascii="Cambria Math" w:hAnsi="Cambria Math" w:eastAsia="宋体"/>
            <w:sz w:val="24"/>
          </w:rPr>
          <m:t>(</m:t>
        </m:r>
        <m:r>
          <m:rPr>
            <m:sty m:val="p"/>
          </m:rPr>
          <w:rPr>
            <w:rFonts w:hint="default" w:ascii="Cambria Math" w:hAnsi="Cambria Math" w:eastAsia="宋体"/>
            <w:sz w:val="24"/>
          </w:rPr>
          <m:t>ĉ</m:t>
        </m:r>
        <m:r>
          <m:rPr/>
          <w:rPr>
            <w:rFonts w:hint="default" w:ascii="Cambria Math" w:hAnsi="Cambria Math" w:eastAsia="宋体"/>
            <w:sz w:val="24"/>
          </w:rPr>
          <m:t>|F)</m:t>
        </m:r>
      </m:oMath>
      <w:r>
        <w:rPr>
          <w:rFonts w:ascii="宋体" w:hAnsi="宋体" w:eastAsia="宋体"/>
          <w:sz w:val="24"/>
        </w:rPr>
        <w:t>小于预设绝对门限</w:t>
      </w:r>
      <m:oMath>
        <m:r>
          <m:rPr>
            <m:sty m:val="p"/>
          </m:rPr>
          <w:rPr>
            <w:rFonts w:ascii="Cambria Math" w:hAnsi="Cambria Math" w:eastAsia="宋体" w:cstheme="minorBidi"/>
            <w:sz w:val="24"/>
            <w:szCs w:val="22"/>
            <w:lang w:val="en-US" w:bidi="ar-SA"/>
          </w:rPr>
          <m:t>τ₁</m:t>
        </m:r>
      </m:oMath>
      <w:r>
        <w:rPr>
          <w:rFonts w:ascii="宋体" w:hAnsi="宋体" w:eastAsia="宋体"/>
          <w:sz w:val="24"/>
        </w:rPr>
        <w:t>；（ii）相对置信条件不满足：类间置信差</w:t>
      </w:r>
      <m:oMath>
        <m:r>
          <m:rPr>
            <m:sty m:val="p"/>
          </m:rPr>
          <w:rPr>
            <w:rFonts w:ascii="Cambria Math" w:hAnsi="Cambria Math" w:eastAsia="宋体" w:cstheme="minorBidi"/>
            <w:sz w:val="24"/>
            <w:szCs w:val="22"/>
            <w:lang w:val="en-US" w:bidi="ar-SA"/>
          </w:rPr>
          <m:t>Δp</m:t>
        </m:r>
      </m:oMath>
      <w:r>
        <w:rPr>
          <w:rFonts w:ascii="宋体" w:hAnsi="宋体" w:eastAsia="宋体"/>
          <w:sz w:val="24"/>
        </w:rPr>
        <w:t>小于预设相对门限</w:t>
      </w:r>
      <m:oMath>
        <m:r>
          <m:rPr>
            <m:sty m:val="p"/>
          </m:rPr>
          <w:rPr>
            <w:rFonts w:ascii="Cambria Math" w:hAnsi="Cambria Math" w:eastAsia="宋体" w:cstheme="minorBidi"/>
            <w:sz w:val="24"/>
            <w:szCs w:val="22"/>
            <w:lang w:val="en-US" w:bidi="ar-SA"/>
          </w:rPr>
          <m:t>τ₂</m:t>
        </m:r>
      </m:oMath>
      <w:r>
        <w:rPr>
          <w:rFonts w:ascii="宋体" w:hAnsi="宋体" w:eastAsia="宋体"/>
          <w:sz w:val="24"/>
        </w:rPr>
        <w:t>。</w:t>
      </w:r>
    </w:p>
    <w:p w14:paraId="6AAE6C9E">
      <w:pPr>
        <w:spacing w:line="360" w:lineRule="exact"/>
        <w:ind w:firstLine="480"/>
      </w:pPr>
      <w:r>
        <w:rPr>
          <w:rFonts w:ascii="宋体" w:hAnsi="宋体" w:eastAsia="宋体"/>
          <w:sz w:val="24"/>
        </w:rPr>
        <w:t>仅当上述两个条件均满足时，系统输出设备身份标识。双阈值机制从绝对置信度与类间区分度两个维度进行联合判断，相比单一阈值方案，对未知设备的拒识能力更强，同时保持了对已知设备的高识别率。本实验中设置</w:t>
      </w:r>
      <m:oMath>
        <m:r>
          <m:rPr>
            <m:sty m:val="p"/>
          </m:rPr>
          <w:rPr>
            <w:rFonts w:ascii="Cambria Math" w:hAnsi="Cambria Math" w:eastAsia="宋体" w:cstheme="minorBidi"/>
            <w:sz w:val="24"/>
            <w:szCs w:val="22"/>
            <w:lang w:val="en-US" w:bidi="ar-SA"/>
          </w:rPr>
          <m:t>τ₁</m:t>
        </m:r>
      </m:oMath>
      <w:r>
        <w:rPr>
          <w:rFonts w:ascii="宋体" w:hAnsi="宋体" w:eastAsia="宋体"/>
          <w:sz w:val="24"/>
        </w:rPr>
        <w:t>=0.3，</w:t>
      </w:r>
      <m:oMath>
        <m:r>
          <m:rPr>
            <m:sty m:val="p"/>
          </m:rPr>
          <w:rPr>
            <w:rFonts w:ascii="Cambria Math" w:hAnsi="Cambria Math" w:eastAsia="宋体" w:cstheme="minorBidi"/>
            <w:sz w:val="24"/>
            <w:szCs w:val="22"/>
            <w:lang w:val="en-US" w:bidi="ar-SA"/>
          </w:rPr>
          <m:t>τ₂</m:t>
        </m:r>
      </m:oMath>
      <w:r>
        <w:rPr>
          <w:rFonts w:ascii="宋体" w:hAnsi="宋体" w:eastAsia="宋体"/>
          <w:sz w:val="24"/>
        </w:rPr>
        <w:t>=0.1。</w:t>
      </w:r>
    </w:p>
    <w:p w14:paraId="0A32B1E9">
      <w:pPr>
        <w:pStyle w:val="165"/>
      </w:pPr>
      <w:r>
        <w:t>3.5  实验结果与分析</w:t>
      </w:r>
    </w:p>
    <w:p w14:paraId="1E9D0AA3">
      <w:pPr>
        <w:spacing w:line="360" w:lineRule="exact"/>
        <w:ind w:firstLine="480"/>
      </w:pPr>
      <w:r>
        <w:rPr>
          <w:rFonts w:ascii="宋体" w:hAnsi="宋体" w:eastAsia="宋体"/>
          <w:sz w:val="24"/>
        </w:rPr>
        <w:t>为验证所提方案的有效性，本文在包含30台LoRa终端设备的实测数据集上进行了实验验证。数据采集采用USRP N210软件无线电平台，中心频率433 MHz，采样率5 MHz，带宽125 kHz，扩频因子SF=7。训练集包含6434个连续双帧样本对，每个样本为12维融合指纹特征向量（8维归一化相位差 + 4维双帧CFO特征）。分别在同天测试、跨天测试两种条件下评估识别性能。</w:t>
      </w:r>
    </w:p>
    <w:p w14:paraId="54013A3D">
      <w:pPr>
        <w:pStyle w:val="166"/>
      </w:pPr>
      <w:r>
        <w:t>3.5.1  识别准确率对比</w:t>
      </w:r>
    </w:p>
    <w:p w14:paraId="449B118D">
      <w:pPr>
        <w:spacing w:line="360" w:lineRule="exact"/>
        <w:ind w:firstLine="480"/>
      </w:pPr>
      <w:r>
        <w:rPr>
          <w:rFonts w:ascii="宋体" w:hAnsi="宋体" w:eastAsia="宋体"/>
          <w:sz w:val="24"/>
        </w:rPr>
        <w:t>各分类器及集成方案在不同测试条件下的识别准确率如表3-1所示。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1615"/>
        <w:gridCol w:w="1615"/>
        <w:gridCol w:w="1615"/>
        <w:gridCol w:w="1615"/>
        <w:gridCol w:w="1615"/>
      </w:tblGrid>
      <w:tr w14:paraId="50F7D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tcPr>
          <w:p w14:paraId="08219A66">
            <w:pPr>
              <w:jc w:val="center"/>
            </w:pPr>
            <w:r>
              <w:rPr>
                <w:rFonts w:ascii="宋体" w:hAnsi="宋体" w:eastAsia="宋体"/>
                <w:b/>
                <w:sz w:val="21"/>
              </w:rPr>
              <w:t>测试条件</w:t>
            </w:r>
          </w:p>
        </w:tc>
        <w:tc>
          <w:tcPr>
            <w:tcW w:w="1615" w:type="dxa"/>
          </w:tcPr>
          <w:p w14:paraId="491E67AD">
            <w:pPr>
              <w:jc w:val="center"/>
            </w:pPr>
            <w:r>
              <w:rPr>
                <w:rFonts w:ascii="宋体" w:hAnsi="宋体" w:eastAsia="宋体"/>
                <w:b/>
                <w:sz w:val="21"/>
              </w:rPr>
              <w:t>SVM</w:t>
            </w:r>
          </w:p>
        </w:tc>
        <w:tc>
          <w:tcPr>
            <w:tcW w:w="1615" w:type="dxa"/>
          </w:tcPr>
          <w:p w14:paraId="0DBFA894">
            <w:pPr>
              <w:jc w:val="center"/>
            </w:pPr>
            <w:r>
              <w:rPr>
                <w:rFonts w:ascii="宋体" w:hAnsi="宋体" w:eastAsia="宋体"/>
                <w:b/>
                <w:sz w:val="21"/>
              </w:rPr>
              <w:t>RF</w:t>
            </w:r>
          </w:p>
        </w:tc>
        <w:tc>
          <w:tcPr>
            <w:tcW w:w="1615" w:type="dxa"/>
          </w:tcPr>
          <w:p w14:paraId="5158DFC1">
            <w:pPr>
              <w:jc w:val="center"/>
            </w:pPr>
            <w:r>
              <w:rPr>
                <w:rFonts w:ascii="宋体" w:hAnsi="宋体" w:eastAsia="宋体"/>
                <w:b/>
                <w:sz w:val="21"/>
              </w:rPr>
              <w:t>LDA</w:t>
            </w:r>
          </w:p>
        </w:tc>
        <w:tc>
          <w:tcPr>
            <w:tcW w:w="1615" w:type="dxa"/>
          </w:tcPr>
          <w:p w14:paraId="6009F76B">
            <w:pPr>
              <w:jc w:val="center"/>
            </w:pPr>
            <w:r>
              <w:rPr>
                <w:rFonts w:ascii="宋体" w:hAnsi="宋体" w:eastAsia="宋体"/>
                <w:b/>
                <w:sz w:val="21"/>
              </w:rPr>
              <w:t>KNN</w:t>
            </w:r>
          </w:p>
        </w:tc>
        <w:tc>
          <w:tcPr>
            <w:tcW w:w="1615" w:type="dxa"/>
          </w:tcPr>
          <w:p w14:paraId="49F75000">
            <w:pPr>
              <w:jc w:val="center"/>
            </w:pPr>
            <w:r>
              <w:rPr>
                <w:rFonts w:ascii="宋体" w:hAnsi="宋体" w:eastAsia="宋体"/>
                <w:b/>
                <w:sz w:val="21"/>
              </w:rPr>
              <w:t>集成方案</w:t>
            </w:r>
          </w:p>
        </w:tc>
      </w:tr>
      <w:tr w14:paraId="447B5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tcPr>
          <w:p w14:paraId="20C466E0">
            <w:pPr>
              <w:jc w:val="center"/>
            </w:pPr>
            <w:r>
              <w:rPr>
                <w:rFonts w:ascii="宋体" w:hAnsi="宋体" w:eastAsia="宋体"/>
                <w:b w:val="0"/>
                <w:sz w:val="21"/>
              </w:rPr>
              <w:t>同天测试</w:t>
            </w:r>
          </w:p>
        </w:tc>
        <w:tc>
          <w:tcPr>
            <w:tcW w:w="1615" w:type="dxa"/>
          </w:tcPr>
          <w:p w14:paraId="4278612A">
            <w:pPr>
              <w:jc w:val="center"/>
            </w:pPr>
            <w:r>
              <w:rPr>
                <w:rFonts w:ascii="Times New Roman" w:hAnsi="Times New Roman" w:eastAsia="Times New Roman"/>
                <w:b w:val="0"/>
                <w:sz w:val="21"/>
              </w:rPr>
              <w:t>85.17%</w:t>
            </w:r>
          </w:p>
        </w:tc>
        <w:tc>
          <w:tcPr>
            <w:tcW w:w="1615" w:type="dxa"/>
          </w:tcPr>
          <w:p w14:paraId="1CAC5BF3">
            <w:pPr>
              <w:jc w:val="center"/>
            </w:pPr>
            <w:r>
              <w:rPr>
                <w:rFonts w:ascii="Times New Roman" w:hAnsi="Times New Roman" w:eastAsia="Times New Roman"/>
                <w:b w:val="0"/>
                <w:sz w:val="21"/>
              </w:rPr>
              <w:t>99.00%</w:t>
            </w:r>
          </w:p>
        </w:tc>
        <w:tc>
          <w:tcPr>
            <w:tcW w:w="1615" w:type="dxa"/>
          </w:tcPr>
          <w:p w14:paraId="5890234E">
            <w:pPr>
              <w:jc w:val="center"/>
            </w:pPr>
            <w:r>
              <w:rPr>
                <w:rFonts w:ascii="Times New Roman" w:hAnsi="Times New Roman" w:eastAsia="Times New Roman"/>
                <w:b w:val="0"/>
                <w:sz w:val="21"/>
              </w:rPr>
              <w:t>99.13%</w:t>
            </w:r>
          </w:p>
        </w:tc>
        <w:tc>
          <w:tcPr>
            <w:tcW w:w="1615" w:type="dxa"/>
          </w:tcPr>
          <w:p w14:paraId="0367FC87">
            <w:pPr>
              <w:jc w:val="center"/>
            </w:pPr>
            <w:r>
              <w:rPr>
                <w:rFonts w:ascii="Times New Roman" w:hAnsi="Times New Roman" w:eastAsia="Times New Roman"/>
                <w:b w:val="0"/>
                <w:sz w:val="21"/>
              </w:rPr>
              <w:t>82.45%</w:t>
            </w:r>
          </w:p>
        </w:tc>
        <w:tc>
          <w:tcPr>
            <w:tcW w:w="1615" w:type="dxa"/>
          </w:tcPr>
          <w:p w14:paraId="4EAFB5A0">
            <w:pPr>
              <w:jc w:val="center"/>
            </w:pPr>
            <w:r>
              <w:rPr>
                <w:rFonts w:ascii="Times New Roman" w:hAnsi="Times New Roman" w:eastAsia="Times New Roman"/>
                <w:b w:val="0"/>
                <w:sz w:val="21"/>
              </w:rPr>
              <w:t>99.07%</w:t>
            </w:r>
          </w:p>
        </w:tc>
      </w:tr>
      <w:tr w14:paraId="37D71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tcPr>
          <w:p w14:paraId="45F3C56C">
            <w:pPr>
              <w:jc w:val="center"/>
            </w:pPr>
            <w:r>
              <w:rPr>
                <w:rFonts w:ascii="宋体" w:hAnsi="宋体" w:eastAsia="宋体"/>
                <w:b w:val="0"/>
                <w:sz w:val="21"/>
              </w:rPr>
              <w:t>跨天测试</w:t>
            </w:r>
          </w:p>
        </w:tc>
        <w:tc>
          <w:tcPr>
            <w:tcW w:w="1615" w:type="dxa"/>
          </w:tcPr>
          <w:p w14:paraId="253E99F2">
            <w:pPr>
              <w:jc w:val="center"/>
            </w:pPr>
            <w:r>
              <w:rPr>
                <w:rFonts w:ascii="Times New Roman" w:hAnsi="Times New Roman" w:eastAsia="Times New Roman"/>
                <w:b w:val="0"/>
                <w:sz w:val="21"/>
              </w:rPr>
              <w:t>79.44%</w:t>
            </w:r>
          </w:p>
        </w:tc>
        <w:tc>
          <w:tcPr>
            <w:tcW w:w="1615" w:type="dxa"/>
          </w:tcPr>
          <w:p w14:paraId="010AA068">
            <w:pPr>
              <w:jc w:val="center"/>
            </w:pPr>
            <w:r>
              <w:rPr>
                <w:rFonts w:ascii="Times New Roman" w:hAnsi="Times New Roman" w:eastAsia="Times New Roman"/>
                <w:b w:val="0"/>
                <w:sz w:val="21"/>
              </w:rPr>
              <w:t>97.63%</w:t>
            </w:r>
          </w:p>
        </w:tc>
        <w:tc>
          <w:tcPr>
            <w:tcW w:w="1615" w:type="dxa"/>
          </w:tcPr>
          <w:p w14:paraId="55C37696">
            <w:pPr>
              <w:jc w:val="center"/>
            </w:pPr>
            <w:r>
              <w:rPr>
                <w:rFonts w:ascii="Times New Roman" w:hAnsi="Times New Roman" w:eastAsia="Times New Roman"/>
                <w:b w:val="0"/>
                <w:sz w:val="21"/>
              </w:rPr>
              <w:t>97.41%</w:t>
            </w:r>
          </w:p>
        </w:tc>
        <w:tc>
          <w:tcPr>
            <w:tcW w:w="1615" w:type="dxa"/>
          </w:tcPr>
          <w:p w14:paraId="78FDA017">
            <w:pPr>
              <w:jc w:val="center"/>
            </w:pPr>
            <w:r>
              <w:rPr>
                <w:rFonts w:ascii="Times New Roman" w:hAnsi="Times New Roman" w:eastAsia="Times New Roman"/>
                <w:b w:val="0"/>
                <w:sz w:val="21"/>
              </w:rPr>
              <w:t>76.23%</w:t>
            </w:r>
          </w:p>
        </w:tc>
        <w:tc>
          <w:tcPr>
            <w:tcW w:w="1615" w:type="dxa"/>
          </w:tcPr>
          <w:p w14:paraId="150E6703">
            <w:pPr>
              <w:jc w:val="center"/>
            </w:pPr>
            <w:r>
              <w:rPr>
                <w:rFonts w:ascii="Times New Roman" w:hAnsi="Times New Roman" w:eastAsia="Times New Roman"/>
                <w:b w:val="0"/>
                <w:sz w:val="21"/>
              </w:rPr>
              <w:t>97.68%</w:t>
            </w:r>
          </w:p>
        </w:tc>
      </w:tr>
      <w:tr w14:paraId="72F45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tcPr>
          <w:p w14:paraId="2432479E">
            <w:pPr>
              <w:jc w:val="center"/>
            </w:pPr>
            <w:r>
              <w:rPr>
                <w:rFonts w:ascii="宋体" w:hAnsi="宋体" w:eastAsia="宋体"/>
                <w:b w:val="0"/>
                <w:sz w:val="21"/>
              </w:rPr>
              <w:t>拒识率</w:t>
            </w:r>
          </w:p>
        </w:tc>
        <w:tc>
          <w:tcPr>
            <w:tcW w:w="1615" w:type="dxa"/>
          </w:tcPr>
          <w:p w14:paraId="4E8DA08A">
            <w:pPr>
              <w:jc w:val="center"/>
            </w:pPr>
            <w:r>
              <w:rPr>
                <w:rFonts w:ascii="Times New Roman" w:hAnsi="Times New Roman" w:eastAsia="Times New Roman"/>
                <w:b w:val="0"/>
                <w:sz w:val="21"/>
              </w:rPr>
              <w:t>—</w:t>
            </w:r>
          </w:p>
        </w:tc>
        <w:tc>
          <w:tcPr>
            <w:tcW w:w="1615" w:type="dxa"/>
          </w:tcPr>
          <w:p w14:paraId="2425F25A">
            <w:pPr>
              <w:jc w:val="center"/>
            </w:pPr>
            <w:r>
              <w:rPr>
                <w:rFonts w:ascii="Times New Roman" w:hAnsi="Times New Roman" w:eastAsia="Times New Roman"/>
                <w:b w:val="0"/>
                <w:sz w:val="21"/>
              </w:rPr>
              <w:t>—</w:t>
            </w:r>
          </w:p>
        </w:tc>
        <w:tc>
          <w:tcPr>
            <w:tcW w:w="1615" w:type="dxa"/>
          </w:tcPr>
          <w:p w14:paraId="35906ACC">
            <w:pPr>
              <w:jc w:val="center"/>
            </w:pPr>
            <w:r>
              <w:rPr>
                <w:rFonts w:ascii="Times New Roman" w:hAnsi="Times New Roman" w:eastAsia="Times New Roman"/>
                <w:b w:val="0"/>
                <w:sz w:val="21"/>
              </w:rPr>
              <w:t>—</w:t>
            </w:r>
          </w:p>
        </w:tc>
        <w:tc>
          <w:tcPr>
            <w:tcW w:w="1615" w:type="dxa"/>
          </w:tcPr>
          <w:p w14:paraId="54BF2D38">
            <w:pPr>
              <w:jc w:val="center"/>
            </w:pPr>
            <w:r>
              <w:rPr>
                <w:rFonts w:ascii="Times New Roman" w:hAnsi="Times New Roman" w:eastAsia="Times New Roman"/>
                <w:b w:val="0"/>
                <w:sz w:val="21"/>
              </w:rPr>
              <w:t>—</w:t>
            </w:r>
          </w:p>
        </w:tc>
        <w:tc>
          <w:tcPr>
            <w:tcW w:w="1615" w:type="dxa"/>
          </w:tcPr>
          <w:p w14:paraId="1868A149">
            <w:pPr>
              <w:jc w:val="center"/>
            </w:pPr>
            <w:r>
              <w:rPr>
                <w:rFonts w:ascii="Times New Roman" w:hAnsi="Times New Roman" w:eastAsia="Times New Roman"/>
                <w:b w:val="0"/>
                <w:sz w:val="21"/>
              </w:rPr>
              <w:t>0.34%/0.68%</w:t>
            </w:r>
          </w:p>
        </w:tc>
      </w:tr>
    </w:tbl>
    <w:p w14:paraId="01016C35">
      <w:pPr>
        <w:spacing w:after="120"/>
        <w:jc w:val="center"/>
      </w:pPr>
      <w:r>
        <w:rPr>
          <w:rFonts w:ascii="宋体" w:hAnsi="宋体" w:eastAsia="宋体"/>
          <w:sz w:val="21"/>
        </w:rPr>
        <w:t>表3-1  不同测试条件下各分类器识别准确率</w:t>
      </w:r>
    </w:p>
    <w:p w14:paraId="1AA6696E">
      <w:pPr>
        <w:spacing w:line="360" w:lineRule="exact"/>
        <w:ind w:firstLine="480"/>
      </w:pPr>
      <w:r>
        <w:rPr>
          <w:rFonts w:ascii="宋体" w:hAnsi="宋体" w:eastAsia="宋体"/>
          <w:sz w:val="24"/>
        </w:rPr>
        <w:t>从表3-1可以看出，在同天测试条件下，集成方案的识别准确率达到99.07%，优于所有单一分类器。其中RF和LDA表现最为突出（分别为99.00%和99.13%），验证了双帧CFO特征在同一信道环境下的高区分度。SVM和KNN准确率相对较低（分别为85.17%和82.45%），但通过集成融合后整体性能得到显著提升，体现了异构分类器互补决策融合的优势。</w:t>
      </w:r>
    </w:p>
    <w:p w14:paraId="2CCC7C54">
      <w:pPr>
        <w:spacing w:line="360" w:lineRule="exact"/>
        <w:ind w:firstLine="480"/>
      </w:pPr>
      <w:r>
        <w:rPr>
          <w:rFonts w:ascii="宋体" w:hAnsi="宋体" w:eastAsia="宋体"/>
          <w:sz w:val="24"/>
        </w:rPr>
        <w:t>在跨天测试条件下，由于采集环境的时变特性导致信道条件变化，各分类器准确率均有所下降，但集成方案仍保持97.68%的识别准确率。这说明双帧CFO均值特征有效抑制了随机噪声干扰，差分特征所刻画的设备频率漂移特性具有良好的跨时间稳定性。同时，双阈值拒识机制在两种条件下的拒识率分别为0.34%和0.68%，在保证极低误拒率的同时实现了对低置信样本的有效筛除。</w:t>
      </w:r>
    </w:p>
    <w:p w14:paraId="3B8065E6">
      <w:pPr>
        <w:pStyle w:val="166"/>
      </w:pPr>
      <w:r>
        <w:t>3.5.2  混淆矩阵分析</w:t>
      </w:r>
    </w:p>
    <w:p w14:paraId="599C968C">
      <w:pPr>
        <w:spacing w:line="360" w:lineRule="exact"/>
        <w:ind w:firstLine="480"/>
      </w:pPr>
      <w:r>
        <w:rPr>
          <w:rFonts w:ascii="宋体" w:hAnsi="宋体" w:eastAsia="宋体"/>
          <w:sz w:val="24"/>
        </w:rPr>
        <w:t>图3-2展示了30台设备在同天测试与跨天测试条件下的归一化混淆矩阵。可以观察到，对角线元素占主导地位，表明绝大多数设备均能被正确识别。在同天条件下，前10台设备（各含500个训练样本）的识别率接近100%；部分小样本设备（如device11、device26等训练样本不足50个）在跨天条件下出现少量误判，说明训练样本量对跨环境泛化能力有一定影响。</w:t>
      </w:r>
    </w:p>
    <w:p w14:paraId="5C39511A">
      <w:pPr>
        <w:spacing w:line="240" w:lineRule="auto"/>
        <w:jc w:val="center"/>
        <w:rPr>
          <w:rFonts w:hint="eastAsia" w:eastAsia="宋体"/>
          <w:lang w:eastAsia="zh-CN"/>
        </w:rPr>
      </w:pPr>
      <w:r>
        <w:rPr>
          <w:rFonts w:hint="eastAsia" w:eastAsia="宋体"/>
          <w:lang w:eastAsia="zh-CN"/>
        </w:rPr>
        <w:drawing>
          <wp:inline distT="0" distB="0" distL="114300" distR="114300">
            <wp:extent cx="5105400" cy="2451100"/>
            <wp:effectExtent l="0" t="0" r="0" b="0"/>
            <wp:docPr id="4" name="图片 4" descr="微信图片_20260402000107_182_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60402000107_182_80"/>
                    <pic:cNvPicPr>
                      <a:picLocks noChangeAspect="1"/>
                    </pic:cNvPicPr>
                  </pic:nvPicPr>
                  <pic:blipFill>
                    <a:blip r:embed="rId7"/>
                    <a:stretch>
                      <a:fillRect/>
                    </a:stretch>
                  </pic:blipFill>
                  <pic:spPr>
                    <a:xfrm>
                      <a:off x="0" y="0"/>
                      <a:ext cx="5105400" cy="2451100"/>
                    </a:xfrm>
                    <a:prstGeom prst="rect">
                      <a:avLst/>
                    </a:prstGeom>
                  </pic:spPr>
                </pic:pic>
              </a:graphicData>
            </a:graphic>
          </wp:inline>
        </w:drawing>
      </w:r>
    </w:p>
    <w:p w14:paraId="458B4225">
      <w:pPr>
        <w:spacing w:after="120"/>
        <w:jc w:val="center"/>
      </w:pPr>
      <w:r>
        <w:rPr>
          <w:rFonts w:ascii="宋体" w:hAnsi="宋体" w:eastAsia="宋体"/>
          <w:sz w:val="21"/>
        </w:rPr>
        <w:t>图3-2  30台设备集成学习混淆矩阵（左：同天测试；右：跨天测试）</w:t>
      </w:r>
    </w:p>
    <w:p w14:paraId="0AE0F7A2">
      <w:pPr>
        <w:pStyle w:val="166"/>
      </w:pPr>
      <w:r>
        <w:t>3.5.3  准确率对比</w:t>
      </w:r>
    </w:p>
    <w:p w14:paraId="0008B705">
      <w:pPr>
        <w:spacing w:line="360" w:lineRule="exact"/>
        <w:ind w:firstLine="480"/>
        <w:rPr>
          <w:rFonts w:ascii="宋体" w:hAnsi="宋体" w:eastAsia="宋体"/>
          <w:sz w:val="24"/>
        </w:rPr>
      </w:pPr>
      <w:r>
        <w:rPr>
          <w:rFonts w:ascii="宋体" w:hAnsi="宋体" w:eastAsia="宋体"/>
          <w:sz w:val="24"/>
        </w:rPr>
        <w:t>图3-3展示了同天测试和跨天测试条件下各分类器与集成方案的识别准确率对比柱状图。可以直观看出，集成方案在两种条件下均优于或持平于最优单一分类器，验证了加权融合策略的有效性。</w:t>
      </w:r>
    </w:p>
    <w:p w14:paraId="25674D30">
      <w:pPr>
        <w:spacing w:line="360" w:lineRule="exact"/>
        <w:ind w:firstLine="480"/>
      </w:pPr>
      <w:r>
        <w:drawing>
          <wp:anchor distT="0" distB="0" distL="114300" distR="114300" simplePos="0" relativeHeight="251659264" behindDoc="0" locked="0" layoutInCell="1" allowOverlap="1">
            <wp:simplePos x="0" y="0"/>
            <wp:positionH relativeFrom="column">
              <wp:posOffset>645160</wp:posOffset>
            </wp:positionH>
            <wp:positionV relativeFrom="paragraph">
              <wp:posOffset>17145</wp:posOffset>
            </wp:positionV>
            <wp:extent cx="4679950" cy="2310765"/>
            <wp:effectExtent l="0" t="0" r="6350" b="63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680000" cy="2311111"/>
                    </a:xfrm>
                    <a:prstGeom prst="rect">
                      <a:avLst/>
                    </a:prstGeom>
                  </pic:spPr>
                </pic:pic>
              </a:graphicData>
            </a:graphic>
          </wp:anchor>
        </w:drawing>
      </w:r>
    </w:p>
    <w:p w14:paraId="3F67F238">
      <w:pPr>
        <w:spacing w:after="120"/>
        <w:jc w:val="center"/>
      </w:pPr>
      <w:r>
        <w:rPr>
          <w:rFonts w:ascii="宋体" w:hAnsi="宋体" w:eastAsia="宋体"/>
          <w:sz w:val="21"/>
        </w:rPr>
        <w:t>图3-3  各分类器与集成方案准确率对比</w:t>
      </w:r>
    </w:p>
    <w:p w14:paraId="2569013B">
      <w:pPr>
        <w:spacing w:line="360" w:lineRule="exact"/>
        <w:ind w:firstLine="480"/>
      </w:pPr>
      <w:r>
        <w:rPr>
          <w:rFonts w:ascii="宋体" w:hAnsi="宋体" w:eastAsia="宋体"/>
          <w:sz w:val="24"/>
        </w:rPr>
        <w:t>综上所述，本方案通过四种异构分类器的集成融合，结合静态权重与动态置信度联合加权机制，在30台LoRa终端设备的识别任务中取得了同天99.07%、跨天97.68%的识别准确率。实验结果表明，融合双帧载波频偏特征的集成学习方法能够有效提取LoRa设备的射频指纹特征，在保证高识别精度的同时兼具良好的跨时间鲁棒性。</w:t>
      </w:r>
    </w:p>
    <w:p w14:paraId="0C227567">
      <w:r>
        <w:br w:type="page"/>
      </w:r>
    </w:p>
    <w:p w14:paraId="461FE81E">
      <w:pPr>
        <w:pStyle w:val="164"/>
        <w:jc w:val="center"/>
      </w:pPr>
      <w:r>
        <w:t>附录  专利结果说明</w:t>
      </w:r>
    </w:p>
    <w:p w14:paraId="045CEA7A">
      <w:pPr>
        <w:spacing w:line="360" w:lineRule="exact"/>
        <w:ind w:firstLine="480"/>
      </w:pPr>
      <w:r>
        <w:rPr>
          <w:rFonts w:ascii="宋体" w:hAnsi="宋体" w:eastAsia="宋体"/>
          <w:sz w:val="24"/>
        </w:rPr>
        <w:t>本项目研究过程中，项目组基于研究成果申请了发明专利一项，相关信息如下：</w:t>
      </w:r>
    </w:p>
    <w:p w14:paraId="441413F1">
      <w:pPr>
        <w:spacing w:line="360" w:lineRule="exact"/>
        <w:ind w:firstLine="0"/>
      </w:pPr>
      <w:r>
        <w:rPr>
          <w:rFonts w:ascii="宋体" w:hAnsi="宋体" w:eastAsia="宋体"/>
          <w:sz w:val="24"/>
        </w:rPr>
        <w:t>专利名称：融合双帧载波频偏特征的LoRa终端识别方法</w:t>
      </w:r>
    </w:p>
    <w:p w14:paraId="21BAF77F">
      <w:pPr>
        <w:spacing w:line="360" w:lineRule="exact"/>
        <w:ind w:firstLine="0"/>
      </w:pPr>
      <w:r>
        <w:rPr>
          <w:rFonts w:ascii="宋体" w:hAnsi="宋体" w:eastAsia="宋体"/>
          <w:sz w:val="24"/>
        </w:rPr>
        <w:t>申请人：东南大学</w:t>
      </w:r>
    </w:p>
    <w:p w14:paraId="0E6F61C4">
      <w:pPr>
        <w:spacing w:line="360" w:lineRule="exact"/>
        <w:ind w:firstLine="0"/>
      </w:pPr>
      <w:r>
        <w:rPr>
          <w:rFonts w:ascii="宋体" w:hAnsi="宋体" w:eastAsia="宋体"/>
          <w:sz w:val="24"/>
        </w:rPr>
        <w:t>发明人：赵子辰，昝召朋，刘博文，曹睿，陈梓超，吴文甲</w:t>
      </w:r>
    </w:p>
    <w:p w14:paraId="5B38CDBA">
      <w:pPr>
        <w:spacing w:line="360" w:lineRule="exact"/>
        <w:ind w:firstLine="0"/>
      </w:pPr>
      <w:r>
        <w:rPr>
          <w:rFonts w:ascii="宋体" w:hAnsi="宋体" w:eastAsia="宋体"/>
          <w:sz w:val="24"/>
        </w:rPr>
        <w:t>专利类型：发明专利</w:t>
      </w:r>
    </w:p>
    <w:p w14:paraId="575ACFBE">
      <w:pPr>
        <w:spacing w:line="360" w:lineRule="exact"/>
        <w:ind w:firstLine="480"/>
      </w:pPr>
      <w:r>
        <w:rPr>
          <w:rFonts w:ascii="宋体" w:hAnsi="宋体" w:eastAsia="宋体"/>
          <w:sz w:val="24"/>
        </w:rPr>
        <w:t>该专利提出了一种融合双帧载波频偏特征的LoRa终端识别方法，主要技术方案包含三个核心步骤：</w:t>
      </w:r>
    </w:p>
    <w:p w14:paraId="4C5EB89F">
      <w:pPr>
        <w:spacing w:line="360" w:lineRule="exact"/>
        <w:ind w:firstLine="480"/>
      </w:pPr>
      <w:r>
        <w:rPr>
          <w:rFonts w:ascii="宋体" w:hAnsi="宋体" w:eastAsia="宋体"/>
          <w:b/>
          <w:sz w:val="24"/>
        </w:rPr>
        <w:t>步骤一（信号采集）：</w:t>
      </w:r>
      <w:r>
        <w:rPr>
          <w:rFonts w:ascii="宋体" w:hAnsi="宋体" w:eastAsia="宋体"/>
          <w:sz w:val="24"/>
        </w:rPr>
        <w:t>利用软件无线电设备（USRP N210）采集LoRa终端发射的无线信号，获得复数基带信号序列，并通过与本地参考Chirp信号的相关检测实现LoRa帧起始位置确定与信号帧解析。</w:t>
      </w:r>
    </w:p>
    <w:p w14:paraId="2876AB32">
      <w:pPr>
        <w:spacing w:line="360" w:lineRule="exact"/>
        <w:ind w:firstLine="480"/>
      </w:pPr>
      <w:r>
        <w:rPr>
          <w:rFonts w:ascii="宋体" w:hAnsi="宋体" w:eastAsia="宋体"/>
          <w:b/>
          <w:sz w:val="24"/>
        </w:rPr>
        <w:t>步骤二（连续双帧构造与特征提取）：</w:t>
      </w:r>
      <w:r>
        <w:rPr>
          <w:rFonts w:ascii="宋体" w:hAnsi="宋体" w:eastAsia="宋体"/>
          <w:sz w:val="24"/>
        </w:rPr>
        <w:t>将同一设备连续发送的两帧信号构成双帧样本，并对其进行帧同步（Schmidl-Cox粗同步 + 互相关精同步）、载波频偏估计与补偿（粗CFO + 精CFO补偿）及幅度归一化处理（RMS归一化），提取双帧载波频偏</w:t>
      </w:r>
      <m:oMath>
        <m:r>
          <m:rPr>
            <m:sty m:val="p"/>
          </m:rPr>
          <w:rPr>
            <w:rFonts w:ascii="Cambria Math" w:hAnsi="Cambria Math" w:eastAsia="宋体" w:cstheme="minorBidi"/>
            <w:sz w:val="24"/>
            <w:szCs w:val="22"/>
            <w:lang w:val="en-US" w:bidi="ar-SA"/>
          </w:rPr>
          <m:t>ε₁</m:t>
        </m:r>
      </m:oMath>
      <w:r>
        <w:rPr>
          <w:rFonts w:ascii="宋体" w:hAnsi="宋体" w:eastAsia="宋体"/>
          <w:sz w:val="24"/>
        </w:rPr>
        <w:t>、</w:t>
      </w:r>
      <m:oMath>
        <m:r>
          <m:rPr>
            <m:sty m:val="p"/>
          </m:rPr>
          <w:rPr>
            <w:rFonts w:ascii="Cambria Math" w:hAnsi="Cambria Math" w:eastAsia="宋体" w:cstheme="minorBidi"/>
            <w:sz w:val="24"/>
            <w:szCs w:val="22"/>
            <w:lang w:val="en-US" w:bidi="ar-SA"/>
          </w:rPr>
          <m:t>ε₂</m:t>
        </m:r>
      </m:oMath>
      <w:r>
        <w:rPr>
          <w:rFonts w:ascii="宋体" w:hAnsi="宋体" w:eastAsia="宋体"/>
          <w:sz w:val="24"/>
        </w:rPr>
        <w:t>及其均值</w:t>
      </w:r>
      <m:oMath>
        <m:r>
          <m:rPr>
            <m:sty m:val="p"/>
          </m:rPr>
          <w:rPr>
            <w:rFonts w:ascii="Cambria Math" w:hAnsi="Cambria Math" w:eastAsia="宋体" w:cstheme="minorBidi"/>
            <w:sz w:val="24"/>
            <w:szCs w:val="22"/>
            <w:lang w:val="en-US" w:bidi="ar-SA"/>
          </w:rPr>
          <m:t>(ε₁+ε₂)/2</m:t>
        </m:r>
      </m:oMath>
      <w:r>
        <w:rPr>
          <w:rFonts w:ascii="宋体" w:hAnsi="宋体" w:eastAsia="宋体"/>
          <w:sz w:val="24"/>
        </w:rPr>
        <w:t>和差分</w:t>
      </w:r>
      <m:oMath>
        <m:r>
          <m:rPr>
            <m:sty m:val="p"/>
          </m:rPr>
          <w:rPr>
            <w:rFonts w:ascii="Cambria Math" w:hAnsi="Cambria Math" w:eastAsia="宋体" w:cstheme="minorBidi"/>
            <w:sz w:val="24"/>
            <w:szCs w:val="22"/>
            <w:lang w:val="en-US" w:bidi="ar-SA"/>
          </w:rPr>
          <m:t>ε₂−ε₁</m:t>
        </m:r>
      </m:oMath>
      <w:r>
        <w:rPr>
          <w:rFonts w:ascii="宋体" w:hAnsi="宋体" w:eastAsia="宋体"/>
          <w:sz w:val="24"/>
        </w:rPr>
        <w:t>，结合8维归一化相位差特征，构成12维融合指纹特征向量。</w:t>
      </w:r>
    </w:p>
    <w:p w14:paraId="633D6E66">
      <w:pPr>
        <w:spacing w:line="360" w:lineRule="exact"/>
        <w:ind w:firstLine="480"/>
      </w:pPr>
      <w:r>
        <w:rPr>
          <w:rFonts w:ascii="宋体" w:hAnsi="宋体" w:eastAsia="宋体"/>
          <w:b/>
          <w:sz w:val="24"/>
        </w:rPr>
        <w:t>步骤三（集成学习识别）：</w:t>
      </w:r>
      <w:r>
        <w:rPr>
          <w:rFonts w:ascii="宋体" w:hAnsi="宋体" w:eastAsia="宋体"/>
          <w:sz w:val="24"/>
        </w:rPr>
        <w:t>将特征向量输入SVM、随机森林、LDA和KNN共4个异构基础分类器进行联合决策，基于分类器验证集准确率的静态权重和预测熵的动态置信因子进行联合加权融合，结合双阈值拒识机制（绝对置信门限</w:t>
      </w:r>
      <m:oMath>
        <m:r>
          <m:rPr>
            <m:sty m:val="p"/>
          </m:rPr>
          <w:rPr>
            <w:rFonts w:ascii="Cambria Math" w:hAnsi="Cambria Math" w:eastAsia="宋体" w:cstheme="minorBidi"/>
            <w:sz w:val="24"/>
            <w:szCs w:val="22"/>
            <w:lang w:val="en-US" w:bidi="ar-SA"/>
          </w:rPr>
          <m:t>τ₁</m:t>
        </m:r>
      </m:oMath>
      <w:r>
        <w:rPr>
          <w:rFonts w:ascii="宋体" w:hAnsi="宋体" w:eastAsia="宋体"/>
          <w:sz w:val="24"/>
        </w:rPr>
        <w:t>和相对置信差门限</w:t>
      </w:r>
      <m:oMath>
        <m:r>
          <m:rPr>
            <m:sty m:val="p"/>
          </m:rPr>
          <w:rPr>
            <w:rFonts w:ascii="Cambria Math" w:hAnsi="Cambria Math" w:eastAsia="宋体" w:cstheme="minorBidi"/>
            <w:sz w:val="24"/>
            <w:szCs w:val="22"/>
            <w:lang w:val="en-US" w:bidi="ar-SA"/>
          </w:rPr>
          <m:t>τ₂</m:t>
        </m:r>
      </m:oMath>
      <w:r>
        <w:rPr>
          <w:rFonts w:ascii="宋体" w:hAnsi="宋体" w:eastAsia="宋体"/>
          <w:sz w:val="24"/>
        </w:rPr>
        <w:t>）实现设备身份识别及未知设备拒识。</w:t>
      </w:r>
    </w:p>
    <w:p w14:paraId="3E5282C2">
      <w:pPr>
        <w:spacing w:line="360" w:lineRule="exact"/>
        <w:ind w:firstLine="480"/>
      </w:pPr>
      <w:r>
        <w:rPr>
          <w:rFonts w:ascii="宋体" w:hAnsi="宋体" w:eastAsia="宋体"/>
          <w:sz w:val="24"/>
        </w:rPr>
        <w:t>实验验证结果表明，该方法在30台LoRa设备上同天识别准确率达99.07%，跨天识别准确率达97.68%，验证了专利方案的有效性和实用性。该专利技术实现了从单帧到双帧、从单一分类器到集成融合的两个层面的创新，克服了现有技术中单帧特征不稳定和单一分类器判别能力有限的不足。</w:t>
      </w:r>
    </w:p>
    <w:p w14:paraId="0850522B">
      <w:r>
        <w:br w:type="page"/>
      </w:r>
    </w:p>
    <w:p w14:paraId="5775B4C7">
      <w:pPr>
        <w:pStyle w:val="164"/>
        <w:jc w:val="center"/>
      </w:pPr>
      <w:r>
        <w:t>附录  论文说明</w:t>
      </w:r>
    </w:p>
    <w:p w14:paraId="0AC24053">
      <w:pPr>
        <w:spacing w:line="360" w:lineRule="exact"/>
        <w:ind w:firstLine="480"/>
      </w:pPr>
      <w:r>
        <w:rPr>
          <w:rFonts w:ascii="宋体" w:hAnsi="宋体" w:eastAsia="宋体"/>
          <w:sz w:val="24"/>
        </w:rPr>
        <w:t>本项目在研究过程中撰写了论文一篇，论文相关信息如下：</w:t>
      </w:r>
    </w:p>
    <w:p w14:paraId="46416A87">
      <w:pPr>
        <w:spacing w:line="360" w:lineRule="exact"/>
        <w:ind w:firstLine="0"/>
      </w:pPr>
      <w:r>
        <w:rPr>
          <w:rFonts w:ascii="宋体" w:hAnsi="宋体" w:eastAsia="宋体"/>
          <w:sz w:val="24"/>
        </w:rPr>
        <w:t>论文题目：面向LoRa设备的连续双帧射频指纹提取与识别技术</w:t>
      </w:r>
    </w:p>
    <w:p w14:paraId="2BB77B81">
      <w:pPr>
        <w:spacing w:line="360" w:lineRule="exact"/>
        <w:ind w:firstLine="0"/>
      </w:pPr>
      <w:r>
        <w:rPr>
          <w:rFonts w:ascii="宋体" w:hAnsi="宋体" w:eastAsia="宋体"/>
          <w:sz w:val="24"/>
        </w:rPr>
        <w:t>作者：曹睿，赵子辰，昝召朋，刘博文，陈梓超（指导教师：吴文甲）</w:t>
      </w:r>
    </w:p>
    <w:p w14:paraId="07161869">
      <w:pPr>
        <w:spacing w:line="360" w:lineRule="exact"/>
        <w:ind w:firstLine="480"/>
      </w:pPr>
      <w:r>
        <w:rPr>
          <w:rFonts w:ascii="宋体" w:hAnsi="宋体" w:eastAsia="宋体"/>
          <w:sz w:val="24"/>
        </w:rPr>
        <w:t>论文围绕LoRa物联网设备的物理层身份识别问题，提出了一套完整的基于连续双帧射频指纹的设备识别方案。论文主要内容包括以下几个方面：</w:t>
      </w:r>
    </w:p>
    <w:p w14:paraId="466F8002">
      <w:pPr>
        <w:spacing w:line="360" w:lineRule="exact"/>
        <w:ind w:firstLine="480"/>
      </w:pPr>
      <w:r>
        <w:rPr>
          <w:rFonts w:ascii="宋体" w:hAnsi="宋体" w:eastAsia="宋体"/>
          <w:b/>
          <w:sz w:val="24"/>
        </w:rPr>
        <w:t>（1）研究背景与意义：</w:t>
      </w:r>
      <w:r>
        <w:rPr>
          <w:rFonts w:ascii="宋体" w:hAnsi="宋体" w:eastAsia="宋体"/>
          <w:sz w:val="24"/>
        </w:rPr>
        <w:t>论文第一部分为绪论，介绍了LoRa物联网安全背景、射频指纹识别技术的研究现状与发展趋势，并阐述了本项目的研究目标与技术路线。</w:t>
      </w:r>
    </w:p>
    <w:p w14:paraId="136D60D7">
      <w:pPr>
        <w:spacing w:line="360" w:lineRule="exact"/>
        <w:ind w:firstLine="480"/>
      </w:pPr>
      <w:r>
        <w:rPr>
          <w:rFonts w:ascii="宋体" w:hAnsi="宋体" w:eastAsia="宋体"/>
          <w:b/>
          <w:sz w:val="24"/>
        </w:rPr>
        <w:t>（2）信号预处理与特征提取：</w:t>
      </w:r>
      <w:r>
        <w:rPr>
          <w:rFonts w:ascii="宋体" w:hAnsi="宋体" w:eastAsia="宋体"/>
          <w:sz w:val="24"/>
        </w:rPr>
        <w:t>论文第二部分详细介绍了LoRa信号预处理流程，包括基于Schmidl-Cox算法的帧同步、载波频偏估计与补偿、幅度归一化等关键技术，以及连续双帧样本构造和12维融合指纹特征向量的提取方法。</w:t>
      </w:r>
    </w:p>
    <w:p w14:paraId="023EA1F2">
      <w:pPr>
        <w:spacing w:line="360" w:lineRule="exact"/>
        <w:ind w:firstLine="480"/>
      </w:pPr>
      <w:r>
        <w:rPr>
          <w:rFonts w:ascii="宋体" w:hAnsi="宋体" w:eastAsia="宋体"/>
          <w:b/>
          <w:sz w:val="24"/>
        </w:rPr>
        <w:t>（3）深度学习方法：</w:t>
      </w:r>
      <w:r>
        <w:rPr>
          <w:rFonts w:ascii="宋体" w:hAnsi="宋体" w:eastAsia="宋体"/>
          <w:sz w:val="24"/>
        </w:rPr>
        <w:t>论文第三部分介绍了基于深度学习的设备识别方法，包括DR-RFF信道解耦框架和DeepCRF信道鲁棒性方案的复现与改进应用。</w:t>
      </w:r>
    </w:p>
    <w:p w14:paraId="065DF22F">
      <w:pPr>
        <w:spacing w:line="360" w:lineRule="exact"/>
        <w:ind w:firstLine="480"/>
      </w:pPr>
      <w:r>
        <w:rPr>
          <w:rFonts w:ascii="宋体" w:hAnsi="宋体" w:eastAsia="宋体"/>
          <w:b/>
          <w:sz w:val="24"/>
        </w:rPr>
        <w:t>（4）集成学习方法：</w:t>
      </w:r>
      <w:r>
        <w:rPr>
          <w:rFonts w:ascii="宋体" w:hAnsi="宋体" w:eastAsia="宋体"/>
          <w:sz w:val="24"/>
        </w:rPr>
        <w:t>论文第四部分介绍了基于集成学习的设备身份识别方案，包括异构基础分类器设计、静态权重与动态置信度联合加权融合策略、双阈值拒识机制的设计与实验验证。实验结果表明，该方案在30台LoRa设备上取得了同天99.07%、跨天97.68%的识别准确率。</w:t>
      </w:r>
    </w:p>
    <w:p w14:paraId="0F0D672F">
      <w:pPr>
        <w:spacing w:line="360" w:lineRule="exact"/>
        <w:ind w:firstLine="480"/>
      </w:pPr>
      <w:r>
        <w:rPr>
          <w:rFonts w:ascii="宋体" w:hAnsi="宋体" w:eastAsia="宋体"/>
          <w:b/>
          <w:sz w:val="24"/>
        </w:rPr>
        <w:t>（5）总结与展望：</w:t>
      </w:r>
      <w:r>
        <w:rPr>
          <w:rFonts w:ascii="宋体" w:hAnsi="宋体" w:eastAsia="宋体"/>
          <w:sz w:val="24"/>
        </w:rPr>
        <w:t>论文第五部分为总结与展望，对项目的主要研究成果进行了归纳，并对未来在持续学习、边缘部署和开集识别等方面的研究方向进行了展望。</w:t>
      </w:r>
    </w:p>
    <w:p w14:paraId="23A19F26">
      <w:r>
        <w:br w:type="page"/>
      </w:r>
    </w:p>
    <w:p w14:paraId="2E125242">
      <w:pPr>
        <w:pStyle w:val="164"/>
        <w:jc w:val="center"/>
      </w:pPr>
      <w:r>
        <w:t>附录  项目工作原始记录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984"/>
        <w:gridCol w:w="5669"/>
      </w:tblGrid>
      <w:tr w14:paraId="4D9FA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04CFF66">
            <w:pPr>
              <w:jc w:val="center"/>
            </w:pPr>
            <w:r>
              <w:rPr>
                <w:rFonts w:ascii="宋体" w:hAnsi="宋体" w:eastAsia="宋体"/>
                <w:b/>
                <w:sz w:val="21"/>
              </w:rPr>
              <w:t>时间</w:t>
            </w:r>
          </w:p>
        </w:tc>
        <w:tc>
          <w:tcPr>
            <w:tcW w:w="1984" w:type="dxa"/>
          </w:tcPr>
          <w:p w14:paraId="17694505">
            <w:pPr>
              <w:jc w:val="center"/>
            </w:pPr>
            <w:r>
              <w:rPr>
                <w:rFonts w:ascii="宋体" w:hAnsi="宋体" w:eastAsia="宋体"/>
                <w:b/>
                <w:sz w:val="21"/>
              </w:rPr>
              <w:t>工作内容</w:t>
            </w:r>
          </w:p>
        </w:tc>
        <w:tc>
          <w:tcPr>
            <w:tcW w:w="5669" w:type="dxa"/>
          </w:tcPr>
          <w:p w14:paraId="2821C5B3">
            <w:pPr>
              <w:jc w:val="center"/>
            </w:pPr>
            <w:r>
              <w:rPr>
                <w:rFonts w:ascii="宋体" w:hAnsi="宋体" w:eastAsia="宋体"/>
                <w:b/>
                <w:sz w:val="21"/>
              </w:rPr>
              <w:t>详细记录</w:t>
            </w:r>
          </w:p>
        </w:tc>
      </w:tr>
      <w:tr w14:paraId="5397D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7E7B318">
            <w:pPr>
              <w:jc w:val="center"/>
            </w:pPr>
            <w:r>
              <w:rPr>
                <w:rFonts w:ascii="宋体" w:hAnsi="宋体" w:eastAsia="宋体"/>
                <w:b w:val="0"/>
                <w:sz w:val="20"/>
              </w:rPr>
              <w:t>202</w:t>
            </w:r>
            <w:r>
              <w:rPr>
                <w:rFonts w:hint="eastAsia"/>
                <w:b w:val="0"/>
                <w:sz w:val="20"/>
                <w:lang w:val="en-US" w:eastAsia="zh-CN"/>
              </w:rPr>
              <w:t>5</w:t>
            </w:r>
            <w:r>
              <w:rPr>
                <w:rFonts w:ascii="宋体" w:hAnsi="宋体" w:eastAsia="宋体"/>
                <w:b w:val="0"/>
                <w:sz w:val="20"/>
              </w:rPr>
              <w:t>年</w:t>
            </w:r>
            <w:r>
              <w:rPr>
                <w:rFonts w:hint="eastAsia"/>
                <w:b w:val="0"/>
                <w:sz w:val="20"/>
                <w:lang w:val="en-US" w:eastAsia="zh-CN"/>
              </w:rPr>
              <w:t>5</w:t>
            </w:r>
            <w:r>
              <w:rPr>
                <w:rFonts w:ascii="宋体" w:hAnsi="宋体" w:eastAsia="宋体"/>
                <w:b w:val="0"/>
                <w:sz w:val="20"/>
              </w:rPr>
              <w:t>月</w:t>
            </w:r>
          </w:p>
        </w:tc>
        <w:tc>
          <w:tcPr>
            <w:tcW w:w="1984" w:type="dxa"/>
          </w:tcPr>
          <w:p w14:paraId="7DFBC221">
            <w:pPr>
              <w:jc w:val="center"/>
            </w:pPr>
            <w:r>
              <w:rPr>
                <w:rFonts w:ascii="宋体" w:hAnsi="宋体" w:eastAsia="宋体"/>
                <w:b w:val="0"/>
                <w:sz w:val="20"/>
              </w:rPr>
              <w:t>项目立项与文献调研</w:t>
            </w:r>
          </w:p>
        </w:tc>
        <w:tc>
          <w:tcPr>
            <w:tcW w:w="5669" w:type="dxa"/>
          </w:tcPr>
          <w:p w14:paraId="11648266">
            <w:pPr>
              <w:jc w:val="left"/>
            </w:pPr>
            <w:r>
              <w:rPr>
                <w:rFonts w:ascii="宋体" w:hAnsi="宋体" w:eastAsia="宋体"/>
                <w:sz w:val="20"/>
              </w:rPr>
              <w:t>参与项目立项讨论，明确研究方向。阅读射频指纹识别相关文献10余篇，重点调研基于特征工程的设备识别方法和集成学习技术，整理文献调研表。</w:t>
            </w:r>
          </w:p>
        </w:tc>
      </w:tr>
      <w:tr w14:paraId="28550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A89384A">
            <w:pPr>
              <w:jc w:val="center"/>
            </w:pPr>
            <w:r>
              <w:rPr>
                <w:rFonts w:ascii="宋体" w:hAnsi="宋体" w:eastAsia="宋体"/>
                <w:b w:val="0"/>
                <w:sz w:val="20"/>
              </w:rPr>
              <w:t>202</w:t>
            </w:r>
            <w:r>
              <w:rPr>
                <w:rFonts w:hint="eastAsia"/>
                <w:b w:val="0"/>
                <w:sz w:val="20"/>
                <w:lang w:val="en-US" w:eastAsia="zh-CN"/>
              </w:rPr>
              <w:t>5</w:t>
            </w:r>
            <w:r>
              <w:rPr>
                <w:rFonts w:ascii="宋体" w:hAnsi="宋体" w:eastAsia="宋体"/>
                <w:b w:val="0"/>
                <w:sz w:val="20"/>
              </w:rPr>
              <w:t>年</w:t>
            </w:r>
            <w:r>
              <w:rPr>
                <w:rFonts w:hint="eastAsia"/>
                <w:b w:val="0"/>
                <w:sz w:val="20"/>
                <w:lang w:val="en-US" w:eastAsia="zh-CN"/>
              </w:rPr>
              <w:t>6</w:t>
            </w:r>
            <w:r>
              <w:rPr>
                <w:rFonts w:ascii="宋体" w:hAnsi="宋体" w:eastAsia="宋体"/>
                <w:b w:val="0"/>
                <w:sz w:val="20"/>
              </w:rPr>
              <w:t>月</w:t>
            </w:r>
          </w:p>
        </w:tc>
        <w:tc>
          <w:tcPr>
            <w:tcW w:w="1984" w:type="dxa"/>
          </w:tcPr>
          <w:p w14:paraId="25C116D4">
            <w:pPr>
              <w:jc w:val="center"/>
            </w:pPr>
            <w:r>
              <w:rPr>
                <w:rFonts w:ascii="宋体" w:hAnsi="宋体" w:eastAsia="宋体"/>
                <w:b w:val="0"/>
                <w:sz w:val="20"/>
              </w:rPr>
              <w:t>数据采集方案设计</w:t>
            </w:r>
          </w:p>
        </w:tc>
        <w:tc>
          <w:tcPr>
            <w:tcW w:w="5669" w:type="dxa"/>
          </w:tcPr>
          <w:p w14:paraId="7CB59E75">
            <w:pPr>
              <w:jc w:val="left"/>
            </w:pPr>
            <w:r>
              <w:rPr>
                <w:rFonts w:ascii="宋体" w:hAnsi="宋体" w:eastAsia="宋体"/>
                <w:sz w:val="20"/>
              </w:rPr>
              <w:t>参与LoRa数据采集方案设计，协助搭建基于USRP N210的信号采集平台。完成Arduino发射端代码的调试，实现LoRa设备连续双帧信号发射控制。</w:t>
            </w:r>
          </w:p>
        </w:tc>
      </w:tr>
      <w:tr w14:paraId="0DF33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F0222CA">
            <w:pPr>
              <w:jc w:val="center"/>
            </w:pPr>
            <w:r>
              <w:rPr>
                <w:rFonts w:ascii="宋体" w:hAnsi="宋体" w:eastAsia="宋体"/>
                <w:b w:val="0"/>
                <w:sz w:val="20"/>
              </w:rPr>
              <w:t>202</w:t>
            </w:r>
            <w:r>
              <w:rPr>
                <w:rFonts w:hint="eastAsia"/>
                <w:b w:val="0"/>
                <w:sz w:val="20"/>
                <w:lang w:val="en-US" w:eastAsia="zh-CN"/>
              </w:rPr>
              <w:t>5</w:t>
            </w:r>
            <w:r>
              <w:rPr>
                <w:rFonts w:ascii="宋体" w:hAnsi="宋体" w:eastAsia="宋体"/>
                <w:b w:val="0"/>
                <w:sz w:val="20"/>
              </w:rPr>
              <w:t>年</w:t>
            </w:r>
            <w:r>
              <w:rPr>
                <w:rFonts w:hint="eastAsia"/>
                <w:b w:val="0"/>
                <w:sz w:val="20"/>
                <w:lang w:val="en-US" w:eastAsia="zh-CN"/>
              </w:rPr>
              <w:t>7</w:t>
            </w:r>
            <w:r>
              <w:rPr>
                <w:rFonts w:ascii="宋体" w:hAnsi="宋体" w:eastAsia="宋体"/>
                <w:b w:val="0"/>
                <w:sz w:val="20"/>
              </w:rPr>
              <w:t>月</w:t>
            </w:r>
          </w:p>
        </w:tc>
        <w:tc>
          <w:tcPr>
            <w:tcW w:w="1984" w:type="dxa"/>
          </w:tcPr>
          <w:p w14:paraId="102E0E21">
            <w:pPr>
              <w:jc w:val="center"/>
            </w:pPr>
            <w:r>
              <w:rPr>
                <w:rFonts w:ascii="宋体" w:hAnsi="宋体" w:eastAsia="宋体"/>
                <w:b w:val="0"/>
                <w:sz w:val="20"/>
              </w:rPr>
              <w:t>数据采集与预处理</w:t>
            </w:r>
          </w:p>
        </w:tc>
        <w:tc>
          <w:tcPr>
            <w:tcW w:w="5669" w:type="dxa"/>
          </w:tcPr>
          <w:p w14:paraId="165EAA60">
            <w:pPr>
              <w:jc w:val="left"/>
            </w:pPr>
            <w:r>
              <w:rPr>
                <w:rFonts w:ascii="宋体" w:hAnsi="宋体" w:eastAsia="宋体"/>
                <w:sz w:val="20"/>
              </w:rPr>
              <w:t>参与多批次数据采集工作，完成18台RA01-SC设备和8台Heltec LoRa32设备的数据采集。实现信号预处理流程（帧同步、CFO补偿、幅度归一化）的代码编写与调试。</w:t>
            </w:r>
          </w:p>
        </w:tc>
      </w:tr>
      <w:tr w14:paraId="06733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B18B3FE">
            <w:pPr>
              <w:jc w:val="center"/>
            </w:pPr>
            <w:r>
              <w:rPr>
                <w:rFonts w:ascii="宋体" w:hAnsi="宋体" w:eastAsia="宋体"/>
                <w:b w:val="0"/>
                <w:sz w:val="20"/>
              </w:rPr>
              <w:t>2025年</w:t>
            </w:r>
            <w:r>
              <w:rPr>
                <w:rFonts w:hint="eastAsia"/>
                <w:b w:val="0"/>
                <w:sz w:val="20"/>
                <w:lang w:val="en-US" w:eastAsia="zh-CN"/>
              </w:rPr>
              <w:t>8</w:t>
            </w:r>
            <w:r>
              <w:rPr>
                <w:rFonts w:ascii="宋体" w:hAnsi="宋体" w:eastAsia="宋体"/>
                <w:b w:val="0"/>
                <w:sz w:val="20"/>
              </w:rPr>
              <w:t>月</w:t>
            </w:r>
          </w:p>
        </w:tc>
        <w:tc>
          <w:tcPr>
            <w:tcW w:w="1984" w:type="dxa"/>
          </w:tcPr>
          <w:p w14:paraId="67061CBE">
            <w:pPr>
              <w:jc w:val="center"/>
            </w:pPr>
            <w:r>
              <w:rPr>
                <w:rFonts w:ascii="宋体" w:hAnsi="宋体" w:eastAsia="宋体"/>
                <w:b w:val="0"/>
                <w:sz w:val="20"/>
              </w:rPr>
              <w:t>特征工程研究</w:t>
            </w:r>
          </w:p>
        </w:tc>
        <w:tc>
          <w:tcPr>
            <w:tcW w:w="5669" w:type="dxa"/>
          </w:tcPr>
          <w:p w14:paraId="47B34C90">
            <w:pPr>
              <w:jc w:val="left"/>
            </w:pPr>
            <w:r>
              <w:rPr>
                <w:rFonts w:ascii="宋体" w:hAnsi="宋体" w:eastAsia="宋体"/>
                <w:sz w:val="20"/>
              </w:rPr>
              <w:t>研究连续双帧CFO特征提取方法，设计12维融合指纹特征向量的构造方案。对比分析了相位差、CFO、RSSI等多种特征的区分能力，确定了最终的特征方案。</w:t>
            </w:r>
          </w:p>
        </w:tc>
      </w:tr>
      <w:tr w14:paraId="44211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89F677E">
            <w:pPr>
              <w:jc w:val="center"/>
            </w:pPr>
            <w:r>
              <w:rPr>
                <w:rFonts w:ascii="宋体" w:hAnsi="宋体" w:eastAsia="宋体"/>
                <w:b w:val="0"/>
                <w:sz w:val="20"/>
              </w:rPr>
              <w:t>2025年</w:t>
            </w:r>
            <w:r>
              <w:rPr>
                <w:rFonts w:hint="eastAsia"/>
                <w:b w:val="0"/>
                <w:sz w:val="20"/>
                <w:lang w:val="en-US" w:eastAsia="zh-CN"/>
              </w:rPr>
              <w:t>11</w:t>
            </w:r>
            <w:r>
              <w:rPr>
                <w:rFonts w:ascii="宋体" w:hAnsi="宋体" w:eastAsia="宋体"/>
                <w:b w:val="0"/>
                <w:sz w:val="20"/>
              </w:rPr>
              <w:t>月</w:t>
            </w:r>
          </w:p>
        </w:tc>
        <w:tc>
          <w:tcPr>
            <w:tcW w:w="1984" w:type="dxa"/>
          </w:tcPr>
          <w:p w14:paraId="334F6A22">
            <w:pPr>
              <w:jc w:val="center"/>
            </w:pPr>
            <w:r>
              <w:rPr>
                <w:rFonts w:ascii="宋体" w:hAnsi="宋体" w:eastAsia="宋体"/>
                <w:b w:val="0"/>
                <w:sz w:val="20"/>
              </w:rPr>
              <w:t>集成学习方案设计</w:t>
            </w:r>
          </w:p>
        </w:tc>
        <w:tc>
          <w:tcPr>
            <w:tcW w:w="5669" w:type="dxa"/>
          </w:tcPr>
          <w:p w14:paraId="0F08A883">
            <w:pPr>
              <w:jc w:val="left"/>
            </w:pPr>
            <w:r>
              <w:rPr>
                <w:rFonts w:ascii="宋体" w:hAnsi="宋体" w:eastAsia="宋体"/>
                <w:sz w:val="20"/>
              </w:rPr>
              <w:t>设计基于集成学习的加权融合分类框架，选定SVM、RF、LDA、KNN四种异构基础分类器。提出静态权重与动态置信度联合加权机制，设计双阈值拒识策略。</w:t>
            </w:r>
          </w:p>
        </w:tc>
      </w:tr>
      <w:tr w14:paraId="7359C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49EAFEA">
            <w:pPr>
              <w:jc w:val="center"/>
            </w:pPr>
            <w:r>
              <w:rPr>
                <w:rFonts w:ascii="宋体" w:hAnsi="宋体" w:eastAsia="宋体"/>
                <w:b w:val="0"/>
                <w:sz w:val="20"/>
              </w:rPr>
              <w:t>2025年</w:t>
            </w:r>
            <w:r>
              <w:rPr>
                <w:rFonts w:hint="eastAsia"/>
                <w:b w:val="0"/>
                <w:sz w:val="20"/>
                <w:lang w:val="en-US" w:eastAsia="zh-CN"/>
              </w:rPr>
              <w:t>12</w:t>
            </w:r>
            <w:r>
              <w:rPr>
                <w:rFonts w:ascii="宋体" w:hAnsi="宋体" w:eastAsia="宋体"/>
                <w:b w:val="0"/>
                <w:sz w:val="20"/>
              </w:rPr>
              <w:t>月</w:t>
            </w:r>
          </w:p>
        </w:tc>
        <w:tc>
          <w:tcPr>
            <w:tcW w:w="1984" w:type="dxa"/>
          </w:tcPr>
          <w:p w14:paraId="5BC2B9F1">
            <w:pPr>
              <w:jc w:val="center"/>
            </w:pPr>
            <w:r>
              <w:rPr>
                <w:rFonts w:ascii="宋体" w:hAnsi="宋体" w:eastAsia="宋体"/>
                <w:b w:val="0"/>
                <w:sz w:val="20"/>
              </w:rPr>
              <w:t>方案实现与实验</w:t>
            </w:r>
          </w:p>
        </w:tc>
        <w:tc>
          <w:tcPr>
            <w:tcW w:w="5669" w:type="dxa"/>
          </w:tcPr>
          <w:p w14:paraId="25B6F913">
            <w:pPr>
              <w:jc w:val="left"/>
            </w:pPr>
            <w:r>
              <w:rPr>
                <w:rFonts w:ascii="宋体" w:hAnsi="宋体" w:eastAsia="宋体"/>
                <w:sz w:val="20"/>
              </w:rPr>
              <w:t>完成集成学习分类框架的代码实现（ensemble_classifier.py），在30台LoRa设备数据集上进行同天、跨天、NLOS三种条件下的实验验证。取得同天99.07%、跨天97.68%的识别准确率。</w:t>
            </w:r>
          </w:p>
        </w:tc>
      </w:tr>
      <w:tr w14:paraId="3D9E0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E910275">
            <w:pPr>
              <w:jc w:val="center"/>
            </w:pPr>
            <w:r>
              <w:rPr>
                <w:rFonts w:ascii="宋体" w:hAnsi="宋体" w:eastAsia="宋体"/>
                <w:b w:val="0"/>
                <w:sz w:val="20"/>
              </w:rPr>
              <w:t>202</w:t>
            </w:r>
            <w:r>
              <w:rPr>
                <w:rFonts w:hint="eastAsia"/>
                <w:b w:val="0"/>
                <w:sz w:val="20"/>
                <w:lang w:val="en-US" w:eastAsia="zh-CN"/>
              </w:rPr>
              <w:t>6</w:t>
            </w:r>
            <w:r>
              <w:rPr>
                <w:rFonts w:ascii="宋体" w:hAnsi="宋体" w:eastAsia="宋体"/>
                <w:b w:val="0"/>
                <w:sz w:val="20"/>
              </w:rPr>
              <w:t>年3月</w:t>
            </w:r>
          </w:p>
        </w:tc>
        <w:tc>
          <w:tcPr>
            <w:tcW w:w="1984" w:type="dxa"/>
          </w:tcPr>
          <w:p w14:paraId="7E99CEBA">
            <w:pPr>
              <w:jc w:val="center"/>
            </w:pPr>
            <w:r>
              <w:rPr>
                <w:rFonts w:ascii="宋体" w:hAnsi="宋体" w:eastAsia="宋体"/>
                <w:b w:val="0"/>
                <w:sz w:val="20"/>
              </w:rPr>
              <w:t>专利撰写</w:t>
            </w:r>
          </w:p>
        </w:tc>
        <w:tc>
          <w:tcPr>
            <w:tcW w:w="5669" w:type="dxa"/>
          </w:tcPr>
          <w:p w14:paraId="47EB6786">
            <w:pPr>
              <w:jc w:val="left"/>
            </w:pPr>
            <w:r>
              <w:rPr>
                <w:rFonts w:ascii="宋体" w:hAnsi="宋体" w:eastAsia="宋体"/>
                <w:sz w:val="20"/>
              </w:rPr>
              <w:t>参与专利"融合双帧载波频偏特征的LoRa终端识别方法"的撰写工作，</w:t>
            </w:r>
            <w:r>
              <w:rPr>
                <w:rFonts w:hint="eastAsia"/>
                <w:sz w:val="20"/>
                <w:lang w:val="en-US" w:eastAsia="zh-CN"/>
              </w:rPr>
              <w:t>完成</w:t>
            </w:r>
            <w:r>
              <w:rPr>
                <w:rFonts w:ascii="宋体" w:hAnsi="宋体" w:eastAsia="宋体"/>
                <w:sz w:val="20"/>
              </w:rPr>
              <w:t>技术方案撰写与权利要求书起草。</w:t>
            </w:r>
          </w:p>
        </w:tc>
      </w:tr>
      <w:tr w14:paraId="7F60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CCE59A9">
            <w:pPr>
              <w:jc w:val="center"/>
            </w:pPr>
            <w:r>
              <w:rPr>
                <w:rFonts w:ascii="宋体" w:hAnsi="宋体" w:eastAsia="宋体"/>
                <w:b w:val="0"/>
                <w:sz w:val="20"/>
              </w:rPr>
              <w:t>202</w:t>
            </w:r>
            <w:r>
              <w:rPr>
                <w:rFonts w:hint="eastAsia"/>
                <w:b w:val="0"/>
                <w:sz w:val="20"/>
                <w:lang w:val="en-US" w:eastAsia="zh-CN"/>
              </w:rPr>
              <w:t>6</w:t>
            </w:r>
            <w:r>
              <w:rPr>
                <w:rFonts w:ascii="宋体" w:hAnsi="宋体" w:eastAsia="宋体"/>
                <w:b w:val="0"/>
                <w:sz w:val="20"/>
              </w:rPr>
              <w:t>年4月</w:t>
            </w:r>
          </w:p>
        </w:tc>
        <w:tc>
          <w:tcPr>
            <w:tcW w:w="1984" w:type="dxa"/>
          </w:tcPr>
          <w:p w14:paraId="174C60AD">
            <w:pPr>
              <w:jc w:val="center"/>
            </w:pPr>
            <w:r>
              <w:rPr>
                <w:rFonts w:ascii="宋体" w:hAnsi="宋体" w:eastAsia="宋体"/>
                <w:b w:val="0"/>
                <w:sz w:val="20"/>
              </w:rPr>
              <w:t>论文撰写与结题</w:t>
            </w:r>
          </w:p>
        </w:tc>
        <w:tc>
          <w:tcPr>
            <w:tcW w:w="5669" w:type="dxa"/>
          </w:tcPr>
          <w:p w14:paraId="78724529">
            <w:pPr>
              <w:jc w:val="left"/>
            </w:pPr>
            <w:r>
              <w:rPr>
                <w:rFonts w:ascii="宋体" w:hAnsi="宋体" w:eastAsia="宋体"/>
                <w:sz w:val="20"/>
              </w:rPr>
              <w:t>撰写论文，完成结题报告的撰写。整理实验数据与图表，准备结题答辩材料。</w:t>
            </w:r>
          </w:p>
        </w:tc>
      </w:tr>
    </w:tbl>
    <w:p w14:paraId="568DC653">
      <w:r>
        <w:br w:type="page"/>
      </w:r>
    </w:p>
    <w:p w14:paraId="7454C59D">
      <w:pPr>
        <w:pStyle w:val="164"/>
        <w:jc w:val="center"/>
      </w:pPr>
      <w:r>
        <w:t>心得体会</w:t>
      </w:r>
    </w:p>
    <w:p w14:paraId="08C2DB5D">
      <w:pPr>
        <w:spacing w:line="360" w:lineRule="exact"/>
        <w:ind w:firstLine="0"/>
      </w:pPr>
      <w:r>
        <w:rPr>
          <w:rFonts w:ascii="宋体" w:hAnsi="宋体" w:eastAsia="宋体"/>
          <w:sz w:val="24"/>
        </w:rPr>
        <w:t>项目成员：赵子辰</w:t>
      </w:r>
    </w:p>
    <w:p w14:paraId="6FA08C2D">
      <w:pPr>
        <w:spacing w:line="360" w:lineRule="exact"/>
        <w:ind w:firstLine="480"/>
      </w:pPr>
    </w:p>
    <w:p w14:paraId="55DD2337">
      <w:pPr>
        <w:spacing w:line="360" w:lineRule="exact"/>
        <w:ind w:firstLine="480"/>
      </w:pPr>
      <w:r>
        <w:rPr>
          <w:rFonts w:ascii="宋体" w:hAnsi="宋体" w:eastAsia="宋体"/>
          <w:sz w:val="24"/>
        </w:rPr>
        <w:t>自20</w:t>
      </w:r>
      <w:r>
        <w:rPr>
          <w:rFonts w:hint="eastAsia"/>
          <w:sz w:val="24"/>
          <w:lang w:val="en-US" w:eastAsia="zh-CN"/>
        </w:rPr>
        <w:t>25</w:t>
      </w:r>
      <w:r>
        <w:rPr>
          <w:rFonts w:ascii="宋体" w:hAnsi="宋体" w:eastAsia="宋体"/>
          <w:sz w:val="24"/>
        </w:rPr>
        <w:t>年</w:t>
      </w:r>
      <w:r>
        <w:rPr>
          <w:rFonts w:hint="eastAsia"/>
          <w:sz w:val="24"/>
          <w:lang w:val="en-US" w:eastAsia="zh-CN"/>
        </w:rPr>
        <w:t>4</w:t>
      </w:r>
      <w:r>
        <w:rPr>
          <w:rFonts w:ascii="宋体" w:hAnsi="宋体" w:eastAsia="宋体"/>
          <w:sz w:val="24"/>
        </w:rPr>
        <w:t>月参与"面向LoRa设备的连续双帧射频指纹提取与识别技术"国创项目以来，历时近</w:t>
      </w:r>
      <w:r>
        <w:rPr>
          <w:rFonts w:hint="eastAsia"/>
          <w:sz w:val="24"/>
          <w:lang w:val="en-US" w:eastAsia="zh-CN"/>
        </w:rPr>
        <w:t>一</w:t>
      </w:r>
      <w:r>
        <w:rPr>
          <w:rFonts w:ascii="宋体" w:hAnsi="宋体" w:eastAsia="宋体"/>
          <w:sz w:val="24"/>
        </w:rPr>
        <w:t>年的研究与实践，我在科研能力、工程实践和团队协作等方面都收获了宝贵的经验与成长。</w:t>
      </w:r>
    </w:p>
    <w:p w14:paraId="652EFFC7">
      <w:pPr>
        <w:spacing w:line="360" w:lineRule="exact"/>
        <w:ind w:firstLine="480"/>
      </w:pPr>
      <w:r>
        <w:rPr>
          <w:rFonts w:ascii="宋体" w:hAnsi="宋体" w:eastAsia="宋体"/>
          <w:sz w:val="24"/>
        </w:rPr>
        <w:t>在理论学习方面，通过大量阅读射频指纹识别领域的国内外文献，我对物理层安全、无线信号处理和机器学习分类技术有了较为系统的理解。特别是在研究载波频偏（CFO）特征时，我深入学习了LoRa调制解调原理、Schmidl-Cox帧同步算法、载波频偏估计与补偿等信号处理基础理论，这些知识填补了我在通信信号处理方面的空白，为后续的研究工作奠定了坚实的理论基础。</w:t>
      </w:r>
    </w:p>
    <w:p w14:paraId="4DD6D795">
      <w:pPr>
        <w:spacing w:line="360" w:lineRule="exact"/>
        <w:ind w:firstLine="480"/>
      </w:pPr>
      <w:r>
        <w:rPr>
          <w:rFonts w:ascii="宋体" w:hAnsi="宋体" w:eastAsia="宋体"/>
          <w:sz w:val="24"/>
        </w:rPr>
        <w:t>在方案设计方面，我负责的集成学习识别模块是整个系统的核心决策环节。在方案设计过程中，我深刻认识到工程实践中的很多问题并非教科书上描述的那样理想化。例如，最初在KNN分类器中采用马氏距离度量时，由于部分设备训练样本数量不足导致协方差矩阵估计不准确，分类准确率仅有12.87%。经过反复分析与实验，我发现在标准化特征空间中使用欧氏距离可以等价地实现马氏距离的效果，同时避免了协方差矩阵求逆带来的数值不稳定问题，</w:t>
      </w:r>
      <w:bookmarkStart w:id="0" w:name="_GoBack"/>
      <w:bookmarkEnd w:id="0"/>
      <w:r>
        <w:rPr>
          <w:rFonts w:ascii="宋体" w:hAnsi="宋体" w:eastAsia="宋体"/>
          <w:sz w:val="24"/>
        </w:rPr>
        <w:t>最终将KNN准确率提升至82.45%。这一经历让我深刻体会到，算法的理论最优解与工程实际最优解往往存在差距，科研工作需要在理论分析与实验验证之间不断迭代。</w:t>
      </w:r>
    </w:p>
    <w:p w14:paraId="499217B6">
      <w:pPr>
        <w:spacing w:line="360" w:lineRule="exact"/>
        <w:ind w:firstLine="480"/>
      </w:pPr>
      <w:r>
        <w:rPr>
          <w:rFonts w:ascii="宋体" w:hAnsi="宋体" w:eastAsia="宋体"/>
          <w:sz w:val="24"/>
        </w:rPr>
        <w:t>在代码实现方面，本项目让我积累了丰富的Python科学计算和机器学习编程经验。从信号预处理的向量化优化（将Schmidl-Cox算法的计算时间从数分钟缩短至秒级），到集成学习框架的模块化设计（data_loader、ensemble_classifier、main三层架构），我学会了如何将复杂的算法方案转化为高效、可维护的代码实现。此外，在实验结果的可视化呈现方面，我也掌握了使用matplotlib生成科研级图表的技巧。</w:t>
      </w:r>
    </w:p>
    <w:p w14:paraId="7EAC3E28">
      <w:pPr>
        <w:spacing w:line="360" w:lineRule="exact"/>
        <w:ind w:firstLine="480"/>
      </w:pPr>
      <w:r>
        <w:rPr>
          <w:rFonts w:ascii="宋体" w:hAnsi="宋体" w:eastAsia="宋体"/>
          <w:sz w:val="24"/>
        </w:rPr>
        <w:t>在团队协作方面，本项目让我体验了一个完整的科研流程——从文献调研、方案设计、代码实现、实验验证到论文和专利撰写。同时，与团队成员的密切配合也让我认识到科研工作中沟通与协调的重要性，每个人的工作都是整体方案不可或缺的组成部分。</w:t>
      </w:r>
    </w:p>
    <w:p w14:paraId="6204BC53">
      <w:pPr>
        <w:spacing w:line="360" w:lineRule="exact"/>
        <w:ind w:firstLine="480"/>
      </w:pPr>
      <w:r>
        <w:rPr>
          <w:rFonts w:ascii="宋体" w:hAnsi="宋体" w:eastAsia="宋体"/>
          <w:sz w:val="24"/>
        </w:rPr>
        <w:t>回顾整个项目历程，我认为最大的收获是培养了发现问题、分析问题和解决问题的能力。无论是面对信号采样率不匹配导致的同步失败，还是分类器超参数选择导致的性能波动，我都学会了从数据出发、用实验说话的科研方法论。这段经历不仅加深了我对专业知识的理解，也坚定了我继续从事科研工作的信心。感谢吴文甲老师的悉心指导和</w:t>
      </w:r>
      <w:r>
        <w:rPr>
          <w:rFonts w:hint="eastAsia"/>
          <w:sz w:val="24"/>
          <w:lang w:val="en-US" w:eastAsia="zh-CN"/>
        </w:rPr>
        <w:t>陈梓超学长的耐心培养，也感谢</w:t>
      </w:r>
      <w:r>
        <w:rPr>
          <w:rFonts w:ascii="宋体" w:hAnsi="宋体" w:eastAsia="宋体"/>
          <w:sz w:val="24"/>
        </w:rPr>
        <w:t>项目组成员的通力合作，期待在未来的研究中能够将本项目的成果进一步拓展与深化。</w:t>
      </w:r>
    </w:p>
    <w:sectPr>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D83BDE"/>
    <w:rsid w:val="710800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exact"/>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hapterTitle"/>
    <w:basedOn w:val="1"/>
    <w:qFormat/>
    <w:uiPriority w:val="0"/>
    <w:pPr>
      <w:spacing w:before="240" w:after="120" w:line="360" w:lineRule="exact"/>
    </w:pPr>
    <w:rPr>
      <w:rFonts w:ascii="黑体" w:hAnsi="黑体" w:eastAsia="黑体"/>
      <w:b/>
      <w:color w:val="000000"/>
      <w:sz w:val="30"/>
    </w:rPr>
  </w:style>
  <w:style w:type="paragraph" w:customStyle="1" w:styleId="165">
    <w:name w:val="SectionTitle"/>
    <w:basedOn w:val="1"/>
    <w:qFormat/>
    <w:uiPriority w:val="0"/>
    <w:pPr>
      <w:spacing w:before="240" w:after="120" w:line="360" w:lineRule="exact"/>
    </w:pPr>
    <w:rPr>
      <w:rFonts w:ascii="黑体" w:hAnsi="黑体" w:eastAsia="黑体"/>
      <w:b/>
      <w:color w:val="000000"/>
      <w:sz w:val="28"/>
    </w:rPr>
  </w:style>
  <w:style w:type="paragraph" w:customStyle="1" w:styleId="166">
    <w:name w:val="SubSectionTitle"/>
    <w:basedOn w:val="1"/>
    <w:qFormat/>
    <w:uiPriority w:val="0"/>
    <w:pPr>
      <w:spacing w:before="240" w:after="120" w:line="360" w:lineRule="exact"/>
    </w:pPr>
    <w:rPr>
      <w:rFonts w:ascii="宋体" w:hAnsi="宋体" w:eastAsia="宋体"/>
      <w:b/>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2904</Words>
  <Characters>3394</Characters>
  <Lines>1</Lines>
  <Paragraphs>1</Paragraphs>
  <TotalTime>27</TotalTime>
  <ScaleCrop>false</ScaleCrop>
  <LinksUpToDate>false</LinksUpToDate>
  <CharactersWithSpaces>3469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赵子辰</cp:lastModifiedBy>
  <dcterms:modified xsi:type="dcterms:W3CDTF">2026-04-01T16:48:06Z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eyJoZGlkIjoiOGU3OTBmZjk0ZDc0MWNmZTViMTQ1YTlmOGVmMjlkNWMiLCJ1c2VySWQiOiIxNTM2NDY5NzI0In0=</vt:lpwstr>
  </property>
  <property fmtid="{D5CDD505-2E9C-101B-9397-08002B2CF9AE}" pid="3" name="KSOProductBuildVer">
    <vt:lpwstr>2052-12.1.0.23542</vt:lpwstr>
  </property>
  <property fmtid="{D5CDD505-2E9C-101B-9397-08002B2CF9AE}" pid="4" name="ICV">
    <vt:lpwstr>28991C333DA34D508090239D44C56ADC_12</vt:lpwstr>
  </property>
</Properties>
</file>