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E5EF9B">
      <w:pPr>
        <w:jc w:val="center"/>
        <w:rPr>
          <w:rFonts w:hint="eastAsia" w:eastAsia="宋体"/>
          <w:b/>
          <w:sz w:val="36"/>
          <w:lang w:val="en-US" w:eastAsia="zh-CN"/>
        </w:rPr>
      </w:pPr>
      <w:r>
        <w:rPr>
          <w:rFonts w:hint="eastAsia" w:hAnsi="宋体"/>
          <w:b/>
          <w:sz w:val="36"/>
        </w:rPr>
        <w:t>融合双帧载波频偏特征的LoRa终端识别方法</w:t>
      </w:r>
      <w:r>
        <w:rPr>
          <w:rFonts w:hint="eastAsia" w:hAnsi="宋体"/>
          <w:b/>
          <w:sz w:val="36"/>
          <w:lang w:val="en-US" w:eastAsia="zh-CN"/>
        </w:rPr>
        <w:t>研究</w:t>
      </w:r>
    </w:p>
    <w:p w14:paraId="3E6793B3">
      <w:pPr>
        <w:jc w:val="center"/>
        <w:rPr>
          <w:rFonts w:hint="eastAsia" w:eastAsia="宋体"/>
          <w:sz w:val="28"/>
          <w:szCs w:val="28"/>
          <w:lang w:eastAsia="zh-CN"/>
        </w:rPr>
      </w:pPr>
      <w:r>
        <w:rPr>
          <w:rFonts w:hint="eastAsia" w:hAnsi="宋体"/>
          <w:sz w:val="28"/>
          <w:szCs w:val="28"/>
          <w:lang w:val="en-US" w:eastAsia="zh-CN"/>
        </w:rPr>
        <w:t>赵子辰</w:t>
      </w:r>
      <w:r>
        <w:rPr>
          <w:rFonts w:hint="eastAsia" w:hAnsi="宋体"/>
          <w:sz w:val="28"/>
          <w:szCs w:val="28"/>
          <w:vertAlign w:val="superscript"/>
        </w:rPr>
        <w:t>1</w:t>
      </w:r>
      <w:r>
        <w:rPr>
          <w:rFonts w:hint="eastAsia" w:hAnsi="宋体"/>
          <w:sz w:val="28"/>
          <w:szCs w:val="28"/>
        </w:rPr>
        <w:t>，</w:t>
      </w:r>
      <w:r>
        <w:rPr>
          <w:rFonts w:hint="eastAsia" w:hAnsi="宋体"/>
          <w:sz w:val="28"/>
          <w:szCs w:val="28"/>
          <w:lang w:val="en-US" w:eastAsia="zh-CN"/>
        </w:rPr>
        <w:t>昝召朋</w:t>
      </w:r>
      <w:r>
        <w:rPr>
          <w:rFonts w:hint="eastAsia" w:hAnsi="宋体"/>
          <w:sz w:val="28"/>
          <w:szCs w:val="28"/>
          <w:vertAlign w:val="superscript"/>
          <w:lang w:val="en-US" w:eastAsia="zh-CN"/>
        </w:rPr>
        <w:t>2</w:t>
      </w:r>
      <w:r>
        <w:rPr>
          <w:rFonts w:hint="eastAsia" w:hAnsi="宋体"/>
          <w:sz w:val="28"/>
          <w:szCs w:val="28"/>
        </w:rPr>
        <w:t>，</w:t>
      </w:r>
      <w:r>
        <w:rPr>
          <w:rFonts w:hint="eastAsia" w:hAnsi="宋体"/>
          <w:sz w:val="28"/>
          <w:szCs w:val="28"/>
          <w:lang w:val="en-US" w:eastAsia="zh-CN"/>
        </w:rPr>
        <w:t>刘博文</w:t>
      </w:r>
      <w:r>
        <w:rPr>
          <w:rFonts w:hint="eastAsia" w:hAnsi="宋体"/>
          <w:sz w:val="28"/>
          <w:szCs w:val="28"/>
          <w:vertAlign w:val="superscript"/>
          <w:lang w:val="en-US" w:eastAsia="zh-CN"/>
        </w:rPr>
        <w:t>3</w:t>
      </w:r>
      <w:r>
        <w:rPr>
          <w:rFonts w:hint="eastAsia" w:hAnsi="宋体"/>
          <w:sz w:val="28"/>
          <w:szCs w:val="28"/>
        </w:rPr>
        <w:t>，</w:t>
      </w:r>
      <w:r>
        <w:rPr>
          <w:rFonts w:hint="eastAsia" w:hAnsi="宋体"/>
          <w:sz w:val="28"/>
          <w:szCs w:val="28"/>
          <w:lang w:val="en-US" w:eastAsia="zh-CN"/>
        </w:rPr>
        <w:t>曹睿</w:t>
      </w:r>
      <w:r>
        <w:rPr>
          <w:rFonts w:hint="eastAsia" w:hAnsi="宋体"/>
          <w:sz w:val="28"/>
          <w:szCs w:val="28"/>
          <w:vertAlign w:val="superscript"/>
          <w:lang w:val="en-US" w:eastAsia="zh-CN"/>
        </w:rPr>
        <w:t>4</w:t>
      </w:r>
      <w:r>
        <w:rPr>
          <w:rFonts w:hint="eastAsia" w:hAnsi="宋体"/>
          <w:sz w:val="28"/>
          <w:szCs w:val="28"/>
        </w:rPr>
        <w:t>，</w:t>
      </w:r>
      <w:r>
        <w:rPr>
          <w:rFonts w:hint="eastAsia" w:hAnsi="宋体"/>
          <w:sz w:val="28"/>
          <w:szCs w:val="28"/>
          <w:lang w:val="en-US" w:eastAsia="zh-CN"/>
        </w:rPr>
        <w:t>陈梓超</w:t>
      </w:r>
      <w:r>
        <w:rPr>
          <w:rFonts w:hint="eastAsia" w:hAnsi="宋体"/>
          <w:sz w:val="28"/>
          <w:szCs w:val="28"/>
          <w:vertAlign w:val="superscript"/>
          <w:lang w:val="en-US" w:eastAsia="zh-CN"/>
        </w:rPr>
        <w:t>3</w:t>
      </w:r>
      <w:r>
        <w:rPr>
          <w:rFonts w:hint="eastAsia" w:hAnsi="宋体"/>
          <w:sz w:val="28"/>
          <w:szCs w:val="28"/>
        </w:rPr>
        <w:t>，吴文甲</w:t>
      </w:r>
      <w:r>
        <w:rPr>
          <w:rFonts w:hint="eastAsia" w:hAnsi="宋体"/>
          <w:sz w:val="28"/>
          <w:szCs w:val="28"/>
          <w:vertAlign w:val="superscript"/>
          <w:lang w:val="en-US" w:eastAsia="zh-CN"/>
        </w:rPr>
        <w:t>3</w:t>
      </w:r>
    </w:p>
    <w:p w14:paraId="54D6D2D4">
      <w:pPr>
        <w:jc w:val="center"/>
        <w:rPr>
          <w:rFonts w:hint="eastAsia"/>
          <w:sz w:val="18"/>
        </w:rPr>
      </w:pPr>
      <w:r>
        <w:rPr>
          <w:sz w:val="18"/>
        </w:rPr>
        <w:t>（</w:t>
      </w:r>
      <w:r>
        <w:rPr>
          <w:rFonts w:hint="eastAsia"/>
          <w:sz w:val="18"/>
        </w:rPr>
        <w:t>1.东南大学网络空间安全学院，南京，211189；</w:t>
      </w:r>
      <w:r>
        <w:rPr>
          <w:rFonts w:hint="eastAsia"/>
          <w:sz w:val="18"/>
          <w:lang w:val="en-US" w:eastAsia="zh-CN"/>
        </w:rPr>
        <w:t>2.</w:t>
      </w:r>
      <w:r>
        <w:rPr>
          <w:rFonts w:hint="eastAsia"/>
          <w:sz w:val="18"/>
        </w:rPr>
        <w:t>东南大学信息科学与工程学院，南京，211189；</w:t>
      </w:r>
      <w:r>
        <w:rPr>
          <w:rFonts w:hint="eastAsia"/>
          <w:sz w:val="18"/>
          <w:lang w:val="en-US" w:eastAsia="zh-CN"/>
        </w:rPr>
        <w:t>3.</w:t>
      </w:r>
      <w:r>
        <w:rPr>
          <w:rFonts w:hint="eastAsia"/>
          <w:sz w:val="18"/>
        </w:rPr>
        <w:t>东南大学计算机科学与工程学院，南京，211189；</w:t>
      </w:r>
      <w:r>
        <w:rPr>
          <w:rFonts w:hint="eastAsia"/>
          <w:sz w:val="18"/>
          <w:lang w:val="en-US" w:eastAsia="zh-CN"/>
        </w:rPr>
        <w:t>4</w:t>
      </w:r>
      <w:r>
        <w:rPr>
          <w:rFonts w:hint="eastAsia"/>
          <w:sz w:val="18"/>
        </w:rPr>
        <w:t>.东南大学</w:t>
      </w:r>
      <w:r>
        <w:rPr>
          <w:rFonts w:hint="eastAsia"/>
          <w:sz w:val="18"/>
          <w:lang w:val="en-US" w:eastAsia="zh-CN"/>
        </w:rPr>
        <w:t>人工智能</w:t>
      </w:r>
      <w:r>
        <w:rPr>
          <w:rFonts w:hint="eastAsia"/>
          <w:sz w:val="18"/>
        </w:rPr>
        <w:t>学院，南京，211189</w:t>
      </w:r>
      <w:r>
        <w:rPr>
          <w:sz w:val="18"/>
        </w:rPr>
        <w:t>）</w:t>
      </w:r>
    </w:p>
    <w:p w14:paraId="0402EB56">
      <w:pPr>
        <w:rPr>
          <w:rFonts w:hint="eastAsia"/>
          <w:sz w:val="18"/>
        </w:rPr>
      </w:pPr>
      <w:r>
        <w:rPr>
          <w:rFonts w:hint="eastAsia"/>
          <w:b/>
          <w:sz w:val="18"/>
        </w:rPr>
        <w:t>摘  要：</w:t>
      </w:r>
      <w:r>
        <w:rPr>
          <w:rFonts w:hint="eastAsia"/>
          <w:sz w:val="18"/>
        </w:rPr>
        <w:t>针对LoRa网络中传统身份认证机制开销大且易伪造，以及现有射频指纹方法在特征稳定性和未知设备识别方面的不足，提出一种融合双帧载波频偏特征的LoRa终端识别方法。通过构造连续双帧信号，提取</w:t>
      </w:r>
      <w:r>
        <w:rPr>
          <w:rFonts w:hint="eastAsia"/>
          <w:sz w:val="18"/>
          <w:lang w:val="en-US" w:eastAsia="zh-CN"/>
        </w:rPr>
        <w:t>双帧的载波频偏并进行双帧均值和差分处理</w:t>
      </w:r>
      <w:r>
        <w:rPr>
          <w:rFonts w:hint="eastAsia"/>
          <w:sz w:val="18"/>
        </w:rPr>
        <w:t>构成多维特征，有效增强特征的稳定性与区分度。在此基础上，构建由SVM、RF、LDA和KNN组成的集成学习模型，并结合静态权重与动态置信度实现自适应融合，同时引入双阈值拒识机制提升开放场景安全性。实验结果表明，该方法在30台设备数据集上同天与跨天识别准确率分别达到99.07%和97.68%，在保证高精度的同时具备良好的鲁棒性和未知设备拒识能力。</w:t>
      </w:r>
    </w:p>
    <w:p w14:paraId="3748D81A">
      <w:pPr>
        <w:rPr>
          <w:rFonts w:hint="eastAsia"/>
          <w:sz w:val="18"/>
        </w:rPr>
      </w:pPr>
      <w:r>
        <w:rPr>
          <w:rFonts w:hint="eastAsia"/>
          <w:b/>
          <w:sz w:val="18"/>
        </w:rPr>
        <w:t>关键词：</w:t>
      </w:r>
      <w:r>
        <w:rPr>
          <w:rFonts w:hint="eastAsia"/>
          <w:sz w:val="18"/>
        </w:rPr>
        <w:t>LoRa；射频指纹；载波频偏；集成学习；物联网安全</w:t>
      </w:r>
    </w:p>
    <w:p w14:paraId="6751E2A5">
      <w:pPr>
        <w:rPr>
          <w:rFonts w:hint="eastAsia"/>
          <w:sz w:val="18"/>
        </w:rPr>
      </w:pPr>
    </w:p>
    <w:p w14:paraId="4D60BAED">
      <w:pPr>
        <w:jc w:val="center"/>
        <w:rPr>
          <w:b/>
          <w:sz w:val="36"/>
        </w:rPr>
      </w:pPr>
      <w:r>
        <w:rPr>
          <w:rFonts w:hint="eastAsia"/>
          <w:b/>
          <w:sz w:val="36"/>
        </w:rPr>
        <w:t>Research on LoRa Terminal Identification Method Integrating Dual-Frame Carrier Frequency Offset Features</w:t>
      </w:r>
    </w:p>
    <w:p w14:paraId="13F0FE39">
      <w:pPr>
        <w:jc w:val="center"/>
        <w:rPr>
          <w:rFonts w:hint="eastAsia" w:eastAsia="宋体"/>
          <w:sz w:val="28"/>
          <w:szCs w:val="28"/>
          <w:lang w:eastAsia="zh-CN"/>
        </w:rPr>
      </w:pPr>
      <w:r>
        <w:rPr>
          <w:rFonts w:hint="eastAsia"/>
          <w:sz w:val="28"/>
          <w:szCs w:val="28"/>
          <w:lang w:val="en-US" w:eastAsia="zh-CN"/>
        </w:rPr>
        <w:t>Zhao Zichen</w:t>
      </w:r>
      <w:r>
        <w:rPr>
          <w:rFonts w:hint="eastAsia"/>
          <w:sz w:val="28"/>
          <w:szCs w:val="28"/>
          <w:vertAlign w:val="superscript"/>
        </w:rPr>
        <w:t>1</w:t>
      </w:r>
      <w:r>
        <w:rPr>
          <w:sz w:val="28"/>
          <w:szCs w:val="28"/>
        </w:rPr>
        <w:t xml:space="preserve">, </w:t>
      </w:r>
      <w:r>
        <w:rPr>
          <w:rFonts w:hint="eastAsia"/>
          <w:sz w:val="28"/>
          <w:szCs w:val="28"/>
          <w:lang w:val="en-US" w:eastAsia="zh-CN"/>
        </w:rPr>
        <w:t>Zan Zhaopeng</w:t>
      </w:r>
      <w:r>
        <w:rPr>
          <w:rFonts w:hint="eastAsia"/>
          <w:sz w:val="28"/>
          <w:szCs w:val="28"/>
          <w:vertAlign w:val="superscript"/>
          <w:lang w:val="en-US" w:eastAsia="zh-CN"/>
        </w:rPr>
        <w:t>2</w:t>
      </w:r>
      <w:r>
        <w:rPr>
          <w:sz w:val="28"/>
          <w:szCs w:val="28"/>
        </w:rPr>
        <w:t xml:space="preserve">, </w:t>
      </w:r>
      <w:r>
        <w:rPr>
          <w:rFonts w:hint="eastAsia"/>
          <w:sz w:val="28"/>
          <w:szCs w:val="28"/>
          <w:lang w:val="en-US" w:eastAsia="zh-CN"/>
        </w:rPr>
        <w:t>Liu Bowen</w:t>
      </w:r>
      <w:r>
        <w:rPr>
          <w:rFonts w:hint="eastAsia"/>
          <w:sz w:val="28"/>
          <w:szCs w:val="28"/>
          <w:vertAlign w:val="superscript"/>
          <w:lang w:val="en-US" w:eastAsia="zh-CN"/>
        </w:rPr>
        <w:t>3</w:t>
      </w:r>
      <w:r>
        <w:rPr>
          <w:sz w:val="28"/>
          <w:szCs w:val="28"/>
        </w:rPr>
        <w:t xml:space="preserve">, </w:t>
      </w:r>
      <w:r>
        <w:rPr>
          <w:rFonts w:hint="eastAsia"/>
          <w:sz w:val="28"/>
          <w:szCs w:val="28"/>
          <w:lang w:val="en-US" w:eastAsia="zh-CN"/>
        </w:rPr>
        <w:t>Cao Rui</w:t>
      </w:r>
      <w:r>
        <w:rPr>
          <w:rFonts w:hint="eastAsia"/>
          <w:sz w:val="28"/>
          <w:szCs w:val="28"/>
          <w:vertAlign w:val="superscript"/>
          <w:lang w:val="en-US" w:eastAsia="zh-CN"/>
        </w:rPr>
        <w:t>4</w:t>
      </w:r>
      <w:r>
        <w:rPr>
          <w:sz w:val="28"/>
          <w:szCs w:val="28"/>
        </w:rPr>
        <w:t>,</w:t>
      </w:r>
      <w:r>
        <w:rPr>
          <w:rFonts w:hint="eastAsia"/>
          <w:sz w:val="28"/>
          <w:szCs w:val="28"/>
          <w:lang w:val="en-US" w:eastAsia="zh-CN"/>
        </w:rPr>
        <w:t xml:space="preserve"> Chen Zichao</w:t>
      </w:r>
      <w:r>
        <w:rPr>
          <w:rFonts w:hint="eastAsia"/>
          <w:sz w:val="28"/>
          <w:szCs w:val="28"/>
          <w:vertAlign w:val="superscript"/>
          <w:lang w:val="en-US" w:eastAsia="zh-CN"/>
        </w:rPr>
        <w:t>3</w:t>
      </w:r>
      <w:r>
        <w:rPr>
          <w:rFonts w:hint="eastAsia"/>
          <w:sz w:val="28"/>
          <w:szCs w:val="28"/>
          <w:vertAlign w:val="baseline"/>
          <w:lang w:val="en-US" w:eastAsia="zh-CN"/>
        </w:rPr>
        <w:t xml:space="preserve">, </w:t>
      </w:r>
      <w:r>
        <w:rPr>
          <w:rFonts w:hint="eastAsia"/>
          <w:sz w:val="28"/>
          <w:szCs w:val="28"/>
        </w:rPr>
        <w:t>Wu Wenjia</w:t>
      </w:r>
      <w:r>
        <w:rPr>
          <w:rFonts w:hint="eastAsia"/>
          <w:sz w:val="28"/>
          <w:szCs w:val="28"/>
          <w:vertAlign w:val="superscript"/>
          <w:lang w:val="en-US" w:eastAsia="zh-CN"/>
        </w:rPr>
        <w:t>3</w:t>
      </w:r>
    </w:p>
    <w:p w14:paraId="58268C1F">
      <w:pPr>
        <w:numPr>
          <w:ilvl w:val="0"/>
          <w:numId w:val="6"/>
        </w:numPr>
        <w:jc w:val="center"/>
        <w:rPr>
          <w:rFonts w:hint="eastAsia"/>
          <w:sz w:val="18"/>
        </w:rPr>
      </w:pPr>
      <w:r>
        <w:rPr>
          <w:sz w:val="18"/>
        </w:rPr>
        <w:t xml:space="preserve">School of </w:t>
      </w:r>
      <w:r>
        <w:rPr>
          <w:rFonts w:hint="eastAsia"/>
          <w:sz w:val="18"/>
        </w:rPr>
        <w:t>Cyber Science and Engineering, Southeast University,</w:t>
      </w:r>
      <w:r>
        <w:rPr>
          <w:rFonts w:hint="eastAsia"/>
          <w:sz w:val="18"/>
          <w:lang w:val="en-US" w:eastAsia="zh-CN"/>
        </w:rPr>
        <w:t xml:space="preserve"> </w:t>
      </w:r>
      <w:r>
        <w:rPr>
          <w:sz w:val="18"/>
        </w:rPr>
        <w:t>Nanjin</w:t>
      </w:r>
      <w:r>
        <w:rPr>
          <w:rFonts w:hint="eastAsia"/>
          <w:sz w:val="18"/>
        </w:rPr>
        <w:t>g, 211189;</w:t>
      </w:r>
    </w:p>
    <w:p w14:paraId="2F463DF3">
      <w:pPr>
        <w:numPr>
          <w:ilvl w:val="0"/>
          <w:numId w:val="7"/>
        </w:numPr>
        <w:jc w:val="center"/>
        <w:rPr>
          <w:rFonts w:hint="eastAsia"/>
          <w:sz w:val="18"/>
        </w:rPr>
      </w:pPr>
      <w:r>
        <w:rPr>
          <w:rFonts w:hint="eastAsia"/>
          <w:sz w:val="18"/>
        </w:rPr>
        <w:t>School of Information Science and Engineering, Southeast University, Nanjing 211189</w:t>
      </w:r>
      <w:r>
        <w:rPr>
          <w:rFonts w:hint="eastAsia"/>
          <w:sz w:val="18"/>
          <w:lang w:val="en-US" w:eastAsia="zh-CN"/>
        </w:rPr>
        <w:t>;</w:t>
      </w:r>
    </w:p>
    <w:p w14:paraId="27C7CA40">
      <w:pPr>
        <w:numPr>
          <w:ilvl w:val="0"/>
          <w:numId w:val="7"/>
        </w:numPr>
        <w:ind w:left="0" w:leftChars="0" w:firstLine="0" w:firstLineChars="0"/>
        <w:jc w:val="center"/>
        <w:rPr>
          <w:rFonts w:hint="eastAsia"/>
          <w:sz w:val="18"/>
        </w:rPr>
      </w:pPr>
      <w:r>
        <w:rPr>
          <w:rFonts w:hint="eastAsia"/>
          <w:sz w:val="18"/>
        </w:rPr>
        <w:t>School of Computer Science and Engineering, Southeast University, Nanjing 211189</w:t>
      </w:r>
      <w:r>
        <w:rPr>
          <w:rFonts w:hint="eastAsia"/>
          <w:sz w:val="18"/>
          <w:lang w:val="en-US" w:eastAsia="zh-CN"/>
        </w:rPr>
        <w:t>;</w:t>
      </w:r>
    </w:p>
    <w:p w14:paraId="6C8286FF">
      <w:pPr>
        <w:numPr>
          <w:ilvl w:val="0"/>
          <w:numId w:val="7"/>
        </w:numPr>
        <w:ind w:left="0" w:leftChars="0" w:firstLine="0" w:firstLineChars="0"/>
        <w:jc w:val="center"/>
        <w:rPr>
          <w:sz w:val="18"/>
        </w:rPr>
      </w:pPr>
      <w:r>
        <w:rPr>
          <w:rFonts w:hint="eastAsia"/>
          <w:sz w:val="18"/>
        </w:rPr>
        <w:t>School of Artificial Intelligence, Southeast University, Nanjing 211189</w:t>
      </w:r>
      <w:r>
        <w:rPr>
          <w:sz w:val="18"/>
        </w:rPr>
        <w:t>)</w:t>
      </w:r>
    </w:p>
    <w:p w14:paraId="6663E4A5">
      <w:pPr>
        <w:rPr>
          <w:sz w:val="18"/>
        </w:rPr>
      </w:pPr>
      <w:r>
        <w:rPr>
          <w:b/>
          <w:sz w:val="18"/>
        </w:rPr>
        <w:t>Abstract:</w:t>
      </w:r>
      <w:r>
        <w:rPr>
          <w:rFonts w:ascii="Segoe UI" w:hAnsi="Segoe UI" w:cs="Segoe UI"/>
          <w:color w:val="0F1115"/>
          <w:shd w:val="clear" w:color="auto" w:fill="FFFFFF"/>
        </w:rPr>
        <w:t xml:space="preserve"> </w:t>
      </w:r>
      <w:r>
        <w:rPr>
          <w:rFonts w:hint="eastAsia"/>
          <w:sz w:val="18"/>
        </w:rPr>
        <w:t>To address the high overhead and vulnerability to forgery of traditional identity authentication mechanisms in LoRa networks, as well as the shortcomings of existing radio frequency (RF) fingerprinting methods regarding feature stability and unknown device identification, this paper proposes a LoRa terminal identification method that integrates dual-frame carrier frequency offset (CFO) features. By constructing continuous dual-frame signals, the CFOs of the dual frames are extracted and processed using their mean and difference to form multi-dimensional features, which effectively enhances the stability and discriminability of the features. On this basis, an ensemble learning model composed of Support Vector Machine (SVM), Random Forest (RF), Linear Discriminant Analysis (LDA), and K-Nearest Neighbors (KNN) is constructed. Adaptive fusion is achieved by combining static weights with dynamic confidence scores, while a dual-threshold rejection mechanism is introduced to improve security in open scenarios. Experimental results demonstrate that on a dataset of 30 devices, the proposed method achieves same-day and cross-day identification accuracies of 99.07% and 97.68%, respectively. While ensuring high accuracy, the method also exhibits excellent robustness and unknown device rejection capabilities.</w:t>
      </w:r>
    </w:p>
    <w:p w14:paraId="71525AD0">
      <w:pPr>
        <w:rPr>
          <w:rFonts w:hint="eastAsia"/>
          <w:sz w:val="18"/>
        </w:rPr>
      </w:pPr>
      <w:r>
        <w:rPr>
          <w:b/>
          <w:sz w:val="18"/>
        </w:rPr>
        <w:t xml:space="preserve">Key words: </w:t>
      </w:r>
      <w:r>
        <w:rPr>
          <w:rFonts w:hint="eastAsia"/>
          <w:sz w:val="18"/>
        </w:rPr>
        <w:t>LoRa; Radio Frequency Fingerprinting; Carrier Frequency Offset; Ensemble Learning; Internet of Things Security</w:t>
      </w:r>
    </w:p>
    <w:p w14:paraId="0DC45192">
      <w:pPr>
        <w:rPr>
          <w:rFonts w:hint="eastAsia"/>
          <w:sz w:val="18"/>
        </w:rPr>
      </w:pPr>
    </w:p>
    <w:p w14:paraId="2AC1E0E0">
      <w:pPr>
        <w:rPr>
          <w:sz w:val="18"/>
        </w:rPr>
        <w:sectPr>
          <w:headerReference r:id="rId5" w:type="first"/>
          <w:footerReference r:id="rId8" w:type="first"/>
          <w:headerReference r:id="rId3" w:type="default"/>
          <w:footerReference r:id="rId6" w:type="default"/>
          <w:headerReference r:id="rId4" w:type="even"/>
          <w:footerReference r:id="rId7" w:type="even"/>
          <w:pgSz w:w="11906" w:h="16838"/>
          <w:pgMar w:top="1701" w:right="1134" w:bottom="1701" w:left="1134" w:header="851" w:footer="992" w:gutter="0"/>
          <w:cols w:space="720" w:num="1"/>
          <w:docGrid w:type="linesAndChars" w:linePitch="312" w:charSpace="0"/>
        </w:sectPr>
      </w:pPr>
    </w:p>
    <w:p w14:paraId="48B0080C">
      <w:pPr>
        <w:ind w:firstLine="420" w:firstLineChars="0"/>
        <w:rPr>
          <w:rFonts w:hint="eastAsia"/>
          <w:lang w:val="en-US" w:eastAsia="zh-CN"/>
        </w:rPr>
      </w:pPr>
      <w:r>
        <w:rPr>
          <w:rFonts w:hint="eastAsia"/>
          <w:lang w:val="en-US" w:eastAsia="zh-CN"/>
        </w:rPr>
        <w:t>随着物联网（IoT）的迅猛发展，低功耗广域网（LPWAN）技术，尤其是LoRa，凭借其远距离、低功耗等优势，已成为智慧城市、环境监测和智能抄表等大规模部署场景的核心技术之一[1]。然而，LoRa网络在设计上强调低成本与低功耗，其终端设备计算资源受限，难以支持复杂的加密与认证机制，同时开放无线信道易受到窃听与伪造攻击，导致身份认证与接入安全成为系统中的关键薄弱环节。传统依赖MAC地址或加密证书的身份认证机制，或因易被篡改伪造，或因计算开销过大，难以满足资源受限LoRa终端对轻量级、高可信接入的需求[2,3]。</w:t>
      </w:r>
    </w:p>
    <w:p w14:paraId="74A7F6DB">
      <w:pPr>
        <w:ind w:firstLine="420" w:firstLineChars="0"/>
        <w:rPr>
          <w:rFonts w:hint="eastAsia"/>
          <w:lang w:val="en-US" w:eastAsia="zh-CN"/>
        </w:rPr>
      </w:pPr>
      <w:r>
        <w:rPr>
          <w:rFonts w:hint="eastAsia"/>
          <w:lang w:val="en-US" w:eastAsia="zh-CN"/>
        </w:rPr>
        <w:t>射频指纹（Radio Frequency Fingerprinting, RFF）技术利用无线设备硬件固有的物理层差异进行身份识别，具有难以伪造、无需依赖上层协议及计算开销低等优势，已成为保障LoRa网络安全接入的重要技术手段[4]。当前RFF方法主要分为基于深度学习和基于特征工程两类：前者具备较强的特征表达能力，但泛化能力不足且依赖大量数据；后者具有较好的稳定性与可解释性，但特征区分能力有限[5–8]。此外，现有方法多基于封闭集假设，缺乏对未知设备的有效识别能力，难以满足开放物联网环境的安全需求[9,10]。</w:t>
      </w:r>
    </w:p>
    <w:p w14:paraId="04F245B0">
      <w:pPr>
        <w:ind w:firstLine="420" w:firstLineChars="0"/>
        <w:rPr>
          <w:rFonts w:hint="eastAsia"/>
          <w:lang w:val="en-US" w:eastAsia="zh-CN"/>
        </w:rPr>
      </w:pPr>
      <w:r>
        <w:rPr>
          <w:rFonts w:hint="eastAsia"/>
          <w:lang w:val="en-US" w:eastAsia="zh-CN"/>
        </w:rPr>
        <w:t>针对上述问题，本文提出一种融合连续双帧载波频偏特征的LoRa设备识别方法。通过构造时间上相邻的双帧信号样本，并提取融合单帧频偏、均值及差分的多维特征，有效提升特征的稳定性与判别能力。在此基础上，构建基于异构分类器的集成学习框架，并结合静态权重与动态置信度加权机制，实现多分类器协同决策。同时，引入双阈值拒识机制，实现对未知设备的有效识别与拒绝。</w:t>
      </w:r>
    </w:p>
    <w:p w14:paraId="5021A8D7">
      <w:pPr>
        <w:rPr>
          <w:rFonts w:hint="eastAsia"/>
          <w:lang w:val="en-US" w:eastAsia="zh-CN"/>
        </w:rPr>
      </w:pPr>
      <w:r>
        <w:rPr>
          <w:rFonts w:hint="eastAsia"/>
          <w:lang w:val="en-US" w:eastAsia="zh-CN"/>
        </w:rPr>
        <w:t>实验结果表明，所提方法在多设备、跨天采集环境下仍能保持较高识别准确率与稳定性，在识别精度和未知设备拒识能力方面均优于传统方法，为资源受限的LoRa网络安全接入提供了一种有效解决方案。</w:t>
      </w:r>
    </w:p>
    <w:p w14:paraId="63454681">
      <w:pPr>
        <w:ind w:firstLine="420" w:firstLineChars="0"/>
        <w:rPr>
          <w:rFonts w:hint="eastAsia"/>
          <w:lang w:val="en-US" w:eastAsia="zh-CN"/>
        </w:rPr>
      </w:pPr>
      <w:r>
        <w:rPr>
          <w:rFonts w:hint="eastAsia"/>
          <w:lang w:val="en-US" w:eastAsia="zh-CN"/>
        </w:rPr>
        <w:t>本文的主要贡献如下：</w:t>
      </w:r>
    </w:p>
    <w:p w14:paraId="30308E3D">
      <w:pPr>
        <w:rPr>
          <w:rFonts w:hint="eastAsia"/>
          <w:lang w:val="en-US" w:eastAsia="zh-CN"/>
        </w:rPr>
      </w:pPr>
      <w:r>
        <w:rPr>
          <w:rFonts w:hint="eastAsia"/>
          <w:lang w:val="en-US" w:eastAsia="zh-CN"/>
        </w:rPr>
        <w:t>（1）提出一种基于连续双帧载波频偏的射频指纹特征提取方法，提升特征稳定性与区分能力；</w:t>
      </w:r>
    </w:p>
    <w:p w14:paraId="43274EC9">
      <w:pPr>
        <w:rPr>
          <w:rFonts w:hint="eastAsia"/>
          <w:lang w:val="en-US" w:eastAsia="zh-CN"/>
        </w:rPr>
      </w:pPr>
      <w:r>
        <w:rPr>
          <w:rFonts w:hint="eastAsia"/>
          <w:lang w:val="en-US" w:eastAsia="zh-CN"/>
        </w:rPr>
        <w:t>（2）设计异构分类器集成识别框架，实现多分类器自适应融合，提高识别精度与鲁棒性；</w:t>
      </w:r>
    </w:p>
    <w:p w14:paraId="4F6FA48C">
      <w:pPr>
        <w:rPr>
          <w:rFonts w:hint="default"/>
          <w:lang w:val="en-US" w:eastAsia="zh-CN"/>
        </w:rPr>
      </w:pPr>
      <w:r>
        <w:rPr>
          <w:rFonts w:hint="eastAsia"/>
          <w:lang w:val="en-US" w:eastAsia="zh-CN"/>
        </w:rPr>
        <w:t>（3）提出基于双阈值的未知设备拒识机制，增强开放场景下的系统安全性。</w:t>
      </w:r>
    </w:p>
    <w:p w14:paraId="18E82D18">
      <w:pPr>
        <w:keepNext/>
        <w:widowControl/>
        <w:spacing w:before="156" w:beforeLines="50" w:after="156" w:afterLines="50"/>
        <w:rPr>
          <w:rFonts w:hint="eastAsia"/>
          <w:b/>
          <w:sz w:val="28"/>
          <w:szCs w:val="28"/>
        </w:rPr>
      </w:pPr>
      <w:r>
        <w:rPr>
          <w:rFonts w:hint="eastAsia"/>
          <w:b/>
          <w:sz w:val="28"/>
          <w:szCs w:val="28"/>
        </w:rPr>
        <w:t xml:space="preserve">1 </w:t>
      </w:r>
      <w:r>
        <w:rPr>
          <w:rFonts w:hint="eastAsia" w:hAnsi="宋体"/>
          <w:b/>
          <w:sz w:val="28"/>
          <w:szCs w:val="28"/>
        </w:rPr>
        <w:t>研究背景</w:t>
      </w:r>
    </w:p>
    <w:p w14:paraId="287F147F">
      <w:pPr>
        <w:ind w:firstLine="420"/>
        <w:rPr>
          <w:rFonts w:hint="default"/>
        </w:rPr>
      </w:pPr>
      <w:r>
        <w:rPr>
          <w:rFonts w:hint="default"/>
        </w:rPr>
        <w:t>低功耗广域网（Low-Power Wide-Area Network, LPWAN）作为一种新兴的物联网连接技术，以远距离、低功耗和低成本等特点，有效支撑了海量终端设备的接入需求。其中，LoRa（Long Range）技术凭借其灵活的部署方式及良好的环境适应能力，已成为LPWAN领域的重要代表，广泛应用于智慧城市、环境监测、智能抄表及资产跟踪等场景[1,2]。</w:t>
      </w:r>
    </w:p>
    <w:p w14:paraId="623E0C8B">
      <w:pPr>
        <w:ind w:firstLine="420"/>
        <w:rPr>
          <w:rFonts w:hint="default"/>
        </w:rPr>
      </w:pPr>
      <w:r>
        <w:rPr>
          <w:rFonts w:hint="default"/>
        </w:rPr>
        <w:t>然而，LoRa网络的实际部署环境通常具有开放性强、设备数量多且分布广泛等特点，同时终端设备计算与存储资源受限，使得传统基于软件标识或加密证书的身份认证机制难以有效应用。一方面，MAC地址等软件标识易被篡改与伪造，攻击者可通过伪装合法设备发起欺骗或中间人攻击；另一方面，复杂加密认证机制计算开销较大，与LoRa设备低功耗特性相矛盾[3,4]。因此，如何在资源受限条件下实现高可靠、轻量级的设备身份认证，成为当前物联网安全研究的重要问题。</w:t>
      </w:r>
    </w:p>
    <w:p w14:paraId="1C6480EB">
      <w:pPr>
        <w:ind w:firstLine="420"/>
        <w:rPr>
          <w:rFonts w:hint="default"/>
        </w:rPr>
      </w:pPr>
      <w:r>
        <w:rPr>
          <w:rFonts w:hint="default"/>
        </w:rPr>
        <w:t>射频指纹识别技术通过提取设备硬件固有差异所形成的物理层特征，实现对设备身份的识别，为解决上述问题提供了一种新的思路。相比传统方法，该技术无需额外通信开销，且具备较强的抗伪造能力，在物联网安全领域具有广泛应用前景[5,6]。</w:t>
      </w:r>
    </w:p>
    <w:p w14:paraId="468DFBC5">
      <w:pPr>
        <w:ind w:firstLine="420"/>
        <w:rPr>
          <w:rFonts w:hint="default"/>
        </w:rPr>
      </w:pPr>
      <w:r>
        <w:rPr>
          <w:rFonts w:hint="default"/>
        </w:rPr>
        <w:t>在射频指纹识别研究中，特征提取是影响系统性能的关键因素。载波频率偏移（Carrier Frequency Offset, CFO）作为反映设备本振频率误差的重要特征，具有较好的区分能力，已被广泛应用于设备识别[7]。然而，CFO受温度变化和硬件老化等因素影响，存在明显的时间漂移问题，单一使用时难以保证长期稳定性[8]。此外，现有方法多基于单帧信号提取特征，易受到瞬时信道噪声与干扰的影响，导致识别性能波动。同时，大多数方法基于封闭集分类框架，缺乏对未知设备的有效识别能力，难以满足实际开放环境下的安全需求[9]。</w:t>
      </w:r>
    </w:p>
    <w:p w14:paraId="482C0488">
      <w:pPr>
        <w:ind w:firstLine="420"/>
        <w:rPr>
          <w:rFonts w:hint="default"/>
        </w:rPr>
      </w:pPr>
      <w:r>
        <w:rPr>
          <w:rFonts w:hint="default"/>
        </w:rPr>
        <w:t>针对上述问题，本文提出融合连续双帧特征与集成学习的LoRa设备识别方法，通过引入时间相关信息与多分类器协同机制，提高系统的识别精度、稳定性及开放环境适应能力。</w:t>
      </w:r>
    </w:p>
    <w:p w14:paraId="61163128">
      <w:pPr>
        <w:keepNext/>
        <w:widowControl/>
        <w:spacing w:before="156" w:beforeLines="50" w:after="156" w:afterLines="50"/>
        <w:rPr>
          <w:rFonts w:hint="eastAsia"/>
          <w:b/>
          <w:sz w:val="28"/>
          <w:szCs w:val="28"/>
        </w:rPr>
      </w:pPr>
      <w:r>
        <w:rPr>
          <w:rFonts w:hint="eastAsia"/>
          <w:b/>
          <w:sz w:val="28"/>
          <w:szCs w:val="28"/>
        </w:rPr>
        <w:t xml:space="preserve">2 </w:t>
      </w:r>
      <w:r>
        <w:rPr>
          <w:rFonts w:hint="eastAsia" w:hAnsi="宋体"/>
          <w:b/>
          <w:sz w:val="28"/>
          <w:szCs w:val="28"/>
        </w:rPr>
        <w:t>研究现状</w:t>
      </w:r>
    </w:p>
    <w:p w14:paraId="3FE3C6EC">
      <w:pPr>
        <w:ind w:firstLine="420"/>
        <w:rPr>
          <w:rFonts w:hint="eastAsia"/>
          <w:lang w:val="en-US" w:eastAsia="zh-CN"/>
        </w:rPr>
      </w:pPr>
      <w:r>
        <w:rPr>
          <w:rFonts w:hint="eastAsia"/>
          <w:lang w:val="en-US" w:eastAsia="zh-CN"/>
        </w:rPr>
        <w:t>射频指纹识别是保障物联网物理层安全的核心</w:t>
      </w:r>
      <w:bookmarkStart w:id="0" w:name="_GoBack"/>
      <w:r>
        <w:rPr>
          <w:rFonts w:hint="eastAsia"/>
          <w:lang w:val="en-US" w:eastAsia="zh-CN"/>
        </w:rPr>
        <w:t>技术之一。随着LoRa等低功耗广域网技术的规模</w:t>
      </w:r>
      <w:bookmarkEnd w:id="0"/>
      <w:r>
        <w:rPr>
          <w:rFonts w:hint="eastAsia"/>
          <w:lang w:val="en-US" w:eastAsia="zh-CN"/>
        </w:rPr>
        <w:t>化部署，如何在不依赖上层协议的前提下实现高可靠、轻量级的终端身份认证，成为该领域的重要研究课题。从技术演进来看，射频指纹识别方法经历了基于特征工程的传统识别、基于深度学习的自动特征提取，到面向开放场景的集成学习与拒识机制三个阶段。</w:t>
      </w:r>
    </w:p>
    <w:p w14:paraId="3F568F5A">
      <w:pPr>
        <w:ind w:firstLine="420"/>
        <w:rPr>
          <w:rFonts w:hint="eastAsia"/>
          <w:lang w:val="en-US" w:eastAsia="zh-CN"/>
        </w:rPr>
      </w:pPr>
      <w:r>
        <w:rPr>
          <w:rFonts w:hint="eastAsia"/>
          <w:lang w:val="en-US" w:eastAsia="zh-CN"/>
        </w:rPr>
        <w:t>早期方法依托物理层信号处理技术，通过提取设备硬件固有的载波频率偏移（Carrier Frequency Offset, CFO）、I/Q不平衡、相位噪声等特征实现设备区分。CFO作为反映设备本振频率误差的关键特征，因其区分度高、提取相对简单，成为最具代表性的射频指纹之一。Shen等人[7]系统分析了CFO在LoRa设备识别中的有效性，指出其虽具有较高区分度，但易受温度变化影响而产生漂移。针对这一问题，Gu等人[8]提出TeRFF系统，通过建立温度与CFO之间的映射模型，在动态温度变化场景下显著提升了识别稳定性。Brik等人[10]设计的PARADIS系统综合测量CFO、I/Q不平衡等多类调制域特征，结合K近邻（KNN）与支持向量机（SVM）分类器，在超过100个802.11b设备上实现了99%以上的识别准确率。Wu等人[11]将差分星座图方法应用于LoRa设备识别，通过对相邻符号差分消除信道影响，在4台设备上达到98.66%的识别准确率。然而，基于特征工程的方法仍面临挑战：单帧提取的特征易受瞬时信道噪声干扰，稳定性不足；CFO等关键特征的长期稳定性较差，温度、老化等因素会导致特征漂移；且单一分类器在复杂场景下识别性能受限。</w:t>
      </w:r>
    </w:p>
    <w:p w14:paraId="36472495">
      <w:pPr>
        <w:ind w:firstLine="420"/>
        <w:rPr>
          <w:rFonts w:hint="eastAsia"/>
          <w:lang w:val="en-US" w:eastAsia="zh-CN"/>
        </w:rPr>
      </w:pPr>
      <w:r>
        <w:rPr>
          <w:rFonts w:hint="eastAsia"/>
          <w:lang w:val="en-US" w:eastAsia="zh-CN"/>
        </w:rPr>
        <w:t>随着深度学习技术的兴起，研究者开始利用神经网络自动提取射频指纹特征。Robyns等人[13]最早将深度学习方法应用于LoRa设备识别，提出了基于整个LoRa帧信号的神经网络分类器，在相同芯片设备上实现59%~99%的识别准确率。Al-Shawabka等人[12]系统比较了不同信号表示形式对CNN识别性能的影响，发现频谱图在中小规模设备识别中表现最优，并指出当训练集与测试集非同一天采集时，模型准确率从98%骤降至36%，揭示了深度学习方法对信道时变性高度敏感的问题。针对这一局限，Shen等人[7]提出基于频谱图和CNN的识别方法，结合数据扩增和多包推理，提升了低信噪比下的识别性能。Restuccia等人[14]在发射端使用优化FIR滤波器调整波形，在500个设备的数据集上将识别准确率提升了50%以上。尽管深度学习方法在理想条件下取得了较高精度，但其泛化能力不足、可解释性差、训练计算开销大等问题，限制了其在资源受限的物联网场景中的部署应用。</w:t>
      </w:r>
    </w:p>
    <w:p w14:paraId="2F822064">
      <w:pPr>
        <w:ind w:firstLine="420"/>
        <w:rPr>
          <w:rFonts w:hint="eastAsia"/>
          <w:lang w:val="en-US" w:eastAsia="zh-CN"/>
        </w:rPr>
      </w:pPr>
      <w:r>
        <w:rPr>
          <w:rFonts w:hint="eastAsia"/>
          <w:lang w:val="en-US" w:eastAsia="zh-CN"/>
        </w:rPr>
        <w:t>随着识别需求从闭集分类向开放场景演进，如何在有限资源下实现对已注册设备的高精度识别与对未知设备的有效拒识成为重要方向。集成学习通过组合多个异构分类器，融合不同决策边界，能够有效提升识别的准确性和稳定性。Dietterich等人[15]指出，集成学习通过降低分类器间的相关性，可显著提升系统泛化能力。在射频指纹识别领域，Shen等人[6]提出基于异常检测的识别方案，通过设计可泛化至未见设备的频谱图提取器，结合监督对比学习构建判别边界，有效降低了非法设备的接受率。Huang等人[17]利用傅里叶同步压缩变换（FSST）与对比学习策略，在低信噪比（5dB）下实现了82%的识别准确率。在未知设备拒识方面，Scheirer等人[9]提出的开集识别理论为射频指纹识别提供了重要参考，通过引入拒识机制可有效降低误识风险。然而，现有集成方法在权重分配上多采用静态策略，未充分考虑不同分类器对当前样本的预测置信度差异，难以实现自适应的动态融合；拒识机制多依赖单阈值判别，仅从绝对置信度单一维度判断，在复杂干扰环境下拒识能力有限。</w:t>
      </w:r>
    </w:p>
    <w:p w14:paraId="6E34C130">
      <w:pPr>
        <w:ind w:firstLine="420"/>
        <w:rPr>
          <w:rFonts w:hint="eastAsia"/>
          <w:lang w:val="en-US" w:eastAsia="zh-CN"/>
        </w:rPr>
      </w:pPr>
      <w:r>
        <w:rPr>
          <w:rFonts w:hint="eastAsia"/>
          <w:lang w:val="en-US" w:eastAsia="zh-CN"/>
        </w:rPr>
        <w:t>针对连续双帧信号的研究近年来逐渐受到关注。差分相邻双帧射频指纹作为一种代表性方法，利用相邻双帧之间的差分相位噪声作为指纹特征，在一定程度上利用了帧间相关性[18]。然而，现有双帧方法主要依赖单一差分逻辑提取特征，在复杂干扰环境下无法根据实时信道质量自适应调整特征提取策略，限制了其在动态物联网场景下的鲁棒性。与此同时，对双帧载波频偏特征的挖掘尚不充分。CFO作为反映设备本振特性的关键特征，在单帧基础上引入双帧均值和差分，有望在抑制噪声干扰的同时刻画设备短时频率漂移特性，从而提升指纹的稳定性和区分度。</w:t>
      </w:r>
    </w:p>
    <w:p w14:paraId="5DA55874">
      <w:pPr>
        <w:ind w:firstLine="420"/>
        <w:rPr>
          <w:rFonts w:hint="eastAsia"/>
        </w:rPr>
      </w:pPr>
      <w:r>
        <w:rPr>
          <w:rFonts w:hint="eastAsia"/>
          <w:lang w:val="en-US" w:eastAsia="zh-CN"/>
        </w:rPr>
        <w:t>综上所述，射频指纹识别研究已形成清晰演进路径，基于特征工程的方法在单一设备场景下实现了识别精度与计算开销的较好平衡，基于深度学习的方法在理想条件下取得了更高精度。然而随着识别需求向开放场景、复杂信道环境演进，现有方法仍面临三重局限：单帧特征提取对信道时变性敏感，稳定性不足；单一分类器难以适应复杂场景，集成学习中权重分配缺乏动态自适应能力；现有拒识机制依赖单阈值判别，对未知设备的拒识能力有限。针对上述问题，本文提出一种融合双帧载波频偏特征的LoRa终端识别方法，通过连续双帧构造与多维CFO特征提取增强指纹稳定性，构建静态权重与动态置信度联合加权的集成学习框架，并引入双阈值拒识机制，在有限资源约束下实现对已注册设备的高精度识别与对未知设备的有效拒识</w:t>
      </w:r>
    </w:p>
    <w:p w14:paraId="660DEEB0">
      <w:pPr>
        <w:keepNext/>
        <w:widowControl/>
        <w:spacing w:before="156" w:beforeLines="50" w:after="156" w:afterLines="50"/>
        <w:rPr>
          <w:rFonts w:hint="eastAsia"/>
          <w:b/>
          <w:sz w:val="28"/>
          <w:szCs w:val="28"/>
        </w:rPr>
      </w:pPr>
      <w:r>
        <w:rPr>
          <w:rFonts w:hint="eastAsia"/>
          <w:b/>
          <w:sz w:val="28"/>
          <w:szCs w:val="28"/>
        </w:rPr>
        <w:t>3 问题描述与</w:t>
      </w:r>
      <w:r>
        <w:rPr>
          <w:rFonts w:hint="eastAsia"/>
          <w:b/>
          <w:sz w:val="28"/>
          <w:szCs w:val="28"/>
          <w:lang w:val="en-US" w:eastAsia="zh-CN"/>
        </w:rPr>
        <w:t>方案</w:t>
      </w:r>
      <w:r>
        <w:rPr>
          <w:rFonts w:hint="eastAsia"/>
          <w:b/>
          <w:sz w:val="28"/>
          <w:szCs w:val="28"/>
        </w:rPr>
        <w:t>设计</w:t>
      </w:r>
    </w:p>
    <w:p w14:paraId="769BA7EC">
      <w:pPr>
        <w:spacing w:before="156" w:beforeLines="50" w:after="156" w:afterLines="50"/>
        <w:rPr>
          <w:rFonts w:hint="eastAsia"/>
          <w:b/>
          <w:szCs w:val="21"/>
          <w:lang w:val="en-US" w:eastAsia="zh-CN"/>
        </w:rPr>
      </w:pPr>
      <w:r>
        <w:rPr>
          <w:rFonts w:hint="eastAsia"/>
          <w:b/>
          <w:szCs w:val="21"/>
          <w:lang w:val="en-US" w:eastAsia="zh-CN"/>
        </w:rPr>
        <w:t>3.1 问题描述</w:t>
      </w:r>
    </w:p>
    <w:p w14:paraId="004F131B">
      <w:pPr>
        <w:ind w:firstLine="420"/>
        <w:rPr>
          <w:rFonts w:hint="eastAsia"/>
          <w:lang w:val="en-US" w:eastAsia="zh-CN"/>
        </w:rPr>
      </w:pPr>
      <w:r>
        <w:rPr>
          <w:rFonts w:hint="eastAsia"/>
          <w:lang w:val="en-US" w:eastAsia="zh-CN"/>
        </w:rPr>
        <w:t>随着 LoRa 技术在低功耗广域网中的广泛部署，接入设备数量持续增长，网络环境呈现出高度复杂化与动态化特征。在此背景下，如何在资源受限条件下实现高可靠的设备身份认证，成为保障物联网系统安全性的关键问题。</w:t>
      </w:r>
    </w:p>
    <w:p w14:paraId="46476C46">
      <w:pPr>
        <w:ind w:firstLine="420"/>
        <w:rPr>
          <w:rFonts w:hint="eastAsia"/>
          <w:lang w:val="en-US" w:eastAsia="zh-CN"/>
        </w:rPr>
      </w:pPr>
      <w:r>
        <w:rPr>
          <w:rFonts w:hint="eastAsia"/>
          <w:lang w:val="en-US" w:eastAsia="zh-CN"/>
        </w:rPr>
        <w:t>传统身份认证方法主要依赖软件标识或加密机制。然而，软件标识（如 MAC 地址）易被伪造或篡改，而加密认证方案通常需要较高的计算与存储开销，难以适用于低功耗、低成本的 LoRa 终端设备。因此，利用设备物理层固有特性的射频指纹识别技术逐渐成为研究热点。该方法通过刻画发射机硬件不可避免的物理差异，实现无需额外通信开销的身份认证。</w:t>
      </w:r>
    </w:p>
    <w:p w14:paraId="5CD2A7F0">
      <w:pPr>
        <w:ind w:firstLine="420"/>
        <w:rPr>
          <w:rFonts w:hint="eastAsia"/>
          <w:lang w:val="en-US" w:eastAsia="zh-CN"/>
        </w:rPr>
      </w:pPr>
      <w:r>
        <w:rPr>
          <w:rFonts w:hint="eastAsia"/>
          <w:lang w:val="en-US" w:eastAsia="zh-CN"/>
        </w:rPr>
        <w:t>尽管已有研究在射频指纹识别方面取得了一定进展，但在实际复杂环境中仍面临多方面挑战。首先，基于单帧信号的特征提取方法对信道扰动和噪声较为敏感，特征稳定性不足，在低信噪比或动态环境下识别性能显著下降。其次，载波频率偏移（Carrier Frequency Offset, CFO）作为一种重要的射频指纹特征，虽然具有较好的区分能力，但其数值受温度变化及设备状态影响较大，存在明显的时变特性，单独使用时难以兼顾稳定性与判别性。</w:t>
      </w:r>
    </w:p>
    <w:p w14:paraId="3F918348">
      <w:pPr>
        <w:ind w:firstLine="420"/>
        <w:rPr>
          <w:rFonts w:hint="eastAsia"/>
          <w:lang w:val="en-US" w:eastAsia="zh-CN"/>
        </w:rPr>
      </w:pPr>
      <w:r>
        <w:rPr>
          <w:rFonts w:hint="eastAsia"/>
          <w:lang w:val="en-US" w:eastAsia="zh-CN"/>
        </w:rPr>
        <w:t>此外，现有大多数识别方法基于封闭集假设，即所有测试样本均来自已知设备类别，缺乏对未知设备或非法接入节点的有效识别能力。这一缺陷在实际部署中可能导致误识别风险，降低系统安全性。</w:t>
      </w:r>
    </w:p>
    <w:p w14:paraId="228FBF3C">
      <w:pPr>
        <w:ind w:firstLine="420"/>
        <w:rPr>
          <w:rFonts w:hint="eastAsia"/>
          <w:lang w:val="en-US" w:eastAsia="zh-CN"/>
        </w:rPr>
      </w:pPr>
      <w:r>
        <w:rPr>
          <w:rFonts w:hint="eastAsia"/>
          <w:lang w:val="en-US" w:eastAsia="zh-CN"/>
        </w:rPr>
        <w:t>综上所述，LoRa 设备射频指纹识别面临的核心问题在于：在信道时变与资源受限条件下，如何构建兼具稳定性与区分能力的特征表示方法，并在此基础上实现对已知设备的高精度识别以及对未知设备的有效拒识。</w:t>
      </w:r>
    </w:p>
    <w:p w14:paraId="1A031C8E">
      <w:pPr>
        <w:spacing w:before="156" w:beforeLines="50" w:after="156" w:afterLines="50"/>
        <w:rPr>
          <w:rFonts w:hint="eastAsia"/>
          <w:b/>
          <w:szCs w:val="21"/>
          <w:lang w:val="en-US" w:eastAsia="zh-CN"/>
        </w:rPr>
      </w:pPr>
      <w:r>
        <w:rPr>
          <w:rFonts w:hint="eastAsia"/>
          <w:b/>
          <w:szCs w:val="21"/>
          <w:lang w:val="en-US" w:eastAsia="zh-CN"/>
        </w:rPr>
        <w:t>3.2 总体方案设计</w:t>
      </w:r>
    </w:p>
    <w:p w14:paraId="27451FBF">
      <w:pPr>
        <w:ind w:firstLine="420"/>
        <w:rPr>
          <w:rFonts w:hint="eastAsia"/>
          <w:lang w:val="en-US" w:eastAsia="zh-CN"/>
        </w:rPr>
      </w:pPr>
      <w:r>
        <w:rPr>
          <w:rFonts w:hint="eastAsia"/>
          <w:lang w:val="en-US" w:eastAsia="zh-CN"/>
        </w:rPr>
        <w:t>针对上述问题，本文提出一种基于连续双帧射频指纹的 LoRa 设备识别方法。该方法以连续时间内相邻两帧信号为基本分析单元，通过联合建模短时稳定特性与动态变化特征，提升射频指纹的鲁棒性与判别能力。</w:t>
      </w:r>
    </w:p>
    <w:p w14:paraId="1DE26F3A">
      <w:pPr>
        <w:ind w:firstLine="420"/>
        <w:rPr>
          <w:rFonts w:hint="eastAsia"/>
          <w:lang w:val="en-US" w:eastAsia="zh-CN"/>
        </w:rPr>
      </w:pPr>
      <w:r>
        <w:rPr>
          <w:rFonts w:hint="eastAsia"/>
          <w:lang w:val="en-US" w:eastAsia="zh-CN"/>
        </w:rPr>
        <w:t>整体流程可划分为信号采集与帧解析、连续双帧构造与特征提取以及设备识别三个阶段。在信号采集阶段，利用软件无线电设备获取 LoRa 终端发射的原始无线信号，并通过 Chirp 相关检测方法完成帧起始位置的定位与解析。在特征提取阶段，将同一设备连续发送的两帧信号构造成双帧样本，并对其进行同步、频偏补偿与幅度归一化处理，在此基础上提取融合载波频偏特征。在识别阶段，将构建的特征向量输入分类模型，实现设备身份判别，并结合置信度机制实现未知设备的拒识。</w:t>
      </w:r>
    </w:p>
    <w:p w14:paraId="592980BE">
      <w:pPr>
        <w:ind w:firstLine="420"/>
        <w:rPr>
          <w:rFonts w:hint="eastAsia"/>
          <w:lang w:val="en-US" w:eastAsia="zh-CN"/>
        </w:rPr>
      </w:pPr>
      <w:r>
        <w:rPr>
          <w:rFonts w:hint="eastAsia"/>
          <w:lang w:val="en-US" w:eastAsia="zh-CN"/>
        </w:rPr>
        <w:t>与传统单帧方法相比，该方案的核心在于引入连续双帧建模机制，使得在近似一致的短时信道</w:t>
      </w:r>
    </w:p>
    <w:p w14:paraId="690CC79A">
      <w:pPr>
        <w:rPr>
          <w:rFonts w:hint="eastAsia"/>
          <w:lang w:val="en-US" w:eastAsia="zh-CN"/>
        </w:rPr>
      </w:pPr>
      <w:r>
        <w:rPr>
          <w:rFonts w:hint="eastAsia"/>
          <w:lang w:val="en-US" w:eastAsia="zh-CN"/>
        </w:rPr>
        <w:t>件下提取特征，从而有效抑制环境噪声和信道波动对识别性能的影响。同时，通过融合统计特征与差分特征，使模型既能够刻画设备的固有属性，又能够反映其短时间内的动态变化特性。</w:t>
      </w:r>
    </w:p>
    <w:p w14:paraId="38E3207C">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lang w:val="en-US" w:eastAsia="zh-CN"/>
        </w:rPr>
        <w:t>3.3 关键设计思想</w:t>
      </w:r>
    </w:p>
    <w:p w14:paraId="50E2383B">
      <w:pPr>
        <w:ind w:firstLine="420" w:firstLineChars="200"/>
        <w:rPr>
          <w:rFonts w:hint="eastAsia"/>
          <w:lang w:val="en-US" w:eastAsia="zh-CN"/>
        </w:rPr>
      </w:pPr>
      <w:r>
        <w:rPr>
          <w:rFonts w:hint="eastAsia"/>
          <w:lang w:val="en-US" w:eastAsia="zh-CN"/>
        </w:rPr>
        <w:t>本文方法的设计主要围绕连续双帧建模、信道无关处理以及特征融合三个方面展开。</w:t>
      </w:r>
    </w:p>
    <w:p w14:paraId="3174E09B">
      <w:pPr>
        <w:ind w:firstLine="420" w:firstLineChars="200"/>
        <w:rPr>
          <w:rFonts w:hint="eastAsia"/>
          <w:lang w:val="en-US" w:eastAsia="zh-CN"/>
        </w:rPr>
      </w:pPr>
      <w:r>
        <w:rPr>
          <w:rFonts w:hint="eastAsia"/>
          <w:lang w:val="en-US" w:eastAsia="zh-CN"/>
        </w:rPr>
        <w:t>首先，在连续双帧建模方面，通过将时间上相邻的两帧信号作为一个整体进行分析，使得两帧信号在传播过程中经历相似的信道环境，从而保留设备硬件特性的一致性。相比单帧方法，该策略能够在不增加额外采集成本的前提下显著提升特征稳定性，并提供额外的时间关联信息。</w:t>
      </w:r>
    </w:p>
    <w:p w14:paraId="3CAE33C3">
      <w:pPr>
        <w:ind w:firstLine="420" w:firstLineChars="200"/>
        <w:rPr>
          <w:rFonts w:hint="eastAsia"/>
          <w:lang w:val="en-US" w:eastAsia="zh-CN"/>
        </w:rPr>
      </w:pPr>
      <w:r>
        <w:rPr>
          <w:rFonts w:hint="eastAsia"/>
          <w:lang w:val="en-US" w:eastAsia="zh-CN"/>
        </w:rPr>
        <w:t>其次，在信号预处理阶段，通过同步、载波频偏补偿以及幅度归一化等操作，消除信道与接收端增益带来的影响，从而实现对设备固有特征的有效提取。这一过程本质上是一种“信道无关化”处理，为后续特征构建提供稳定输入。</w:t>
      </w:r>
    </w:p>
    <w:p w14:paraId="0CC90998">
      <w:pPr>
        <w:ind w:firstLine="420" w:firstLineChars="200"/>
        <w:rPr>
          <w:rFonts w:hint="eastAsia"/>
          <w:lang w:val="en-US" w:eastAsia="zh-CN"/>
        </w:rPr>
      </w:pPr>
      <w:r>
        <w:rPr>
          <w:rFonts w:hint="eastAsia"/>
          <w:lang w:val="en-US" w:eastAsia="zh-CN"/>
        </w:rPr>
        <w:t>最后，在特征构建方面，通过对双帧载波频偏进行联合建模，提取其原始值、均值以及差分信息。其中，均值特征用于增强抗噪能力，而差分特征用于刻画短时间内的频率漂移行为。二者的结合使得特征表示在稳定性与区分性之间取得良好平衡。</w:t>
      </w:r>
    </w:p>
    <w:p w14:paraId="7B4CC463">
      <w:pPr>
        <w:keepNext/>
        <w:widowControl/>
        <w:spacing w:before="156" w:beforeLines="50" w:after="156" w:afterLines="50"/>
        <w:rPr>
          <w:rFonts w:hint="eastAsia" w:ascii="Times New Roman" w:hAnsi="Times New Roman" w:eastAsia="宋体" w:cs="Times New Roman"/>
          <w:b/>
          <w:sz w:val="28"/>
          <w:szCs w:val="28"/>
          <w:lang w:val="en-US" w:eastAsia="zh-CN"/>
        </w:rPr>
      </w:pPr>
      <w:r>
        <w:rPr>
          <w:rFonts w:hint="eastAsia" w:ascii="Times New Roman" w:hAnsi="Times New Roman" w:eastAsia="宋体" w:cs="Times New Roman"/>
          <w:b/>
          <w:sz w:val="28"/>
          <w:szCs w:val="28"/>
          <w:lang w:val="en-US" w:eastAsia="zh-CN"/>
        </w:rPr>
        <w:t>4 关键技术设计与实现</w:t>
      </w:r>
    </w:p>
    <w:p w14:paraId="2811881D">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lang w:val="en-US" w:eastAsia="zh-CN"/>
        </w:rPr>
        <w:t>4.1 信号数据采集</w:t>
      </w:r>
    </w:p>
    <w:p w14:paraId="2C941FA5">
      <w:pPr>
        <w:ind w:firstLine="420" w:firstLineChars="200"/>
        <w:rPr>
          <w:rFonts w:hint="eastAsia"/>
          <w:lang w:val="en-US" w:eastAsia="zh-CN"/>
        </w:rPr>
      </w:pPr>
      <w:r>
        <w:rPr>
          <w:rFonts w:hint="eastAsia"/>
          <w:lang w:val="en-US" w:eastAsia="zh-CN"/>
        </w:rPr>
        <w:t>为获取用于射频指纹分析的原始数据，本文采用软件无线电设备对 LoRa 终端发射信号进行采集。在采样过程中，接收端将无线信号下变频至基带，得到复数形式的离散时间信号序列，可表示为</w:t>
      </w:r>
    </w:p>
    <w:p w14:paraId="6C966DF9">
      <w:pPr>
        <w:rPr>
          <w:rFonts w:hint="default" w:hAnsi="Cambria Math"/>
          <w:i w:val="0"/>
          <w:kern w:val="2"/>
          <w:sz w:val="21"/>
          <w:szCs w:val="24"/>
          <w:lang w:val="en-US" w:eastAsia="zh-CN" w:bidi="ar-SA"/>
        </w:rPr>
      </w:pPr>
      <m:oMathPara>
        <m:oMath>
          <m:eqArr>
            <m:eqArrPr>
              <m:maxDist m:val="1"/>
              <m:ctrlPr>
                <w:rPr>
                  <w:rFonts w:hint="default" w:hAnsi="Cambria Math"/>
                  <w:i w:val="0"/>
                  <w:kern w:val="2"/>
                  <w:sz w:val="21"/>
                  <w:szCs w:val="24"/>
                  <w:lang w:val="en-US" w:eastAsia="zh-CN" w:bidi="ar-SA"/>
                </w:rPr>
              </m:ctrlPr>
            </m:eqArrPr>
            <m:e>
              <m:r>
                <m:rPr/>
                <w:rPr>
                  <w:rFonts w:hint="default" w:ascii="Cambria Math" w:hAnsi="Cambria Math"/>
                  <w:sz w:val="21"/>
                </w:rPr>
                <m:t>r[n]=I[n]+jQ[n]</m:t>
              </m:r>
              <m:r>
                <m:rPr>
                  <m:sty m:val="p"/>
                </m:rPr>
                <w:rPr>
                  <w:rFonts w:hint="default" w:ascii="Cambria Math" w:hAnsi="Cambria Math"/>
                  <w:kern w:val="2"/>
                  <w:sz w:val="21"/>
                  <w:szCs w:val="24"/>
                  <w:lang w:val="en-US" w:eastAsia="zh-CN" w:bidi="ar-SA"/>
                </w:rPr>
                <m:t>#(1)</m:t>
              </m:r>
              <m:ctrlPr>
                <w:rPr>
                  <w:rFonts w:hint="default" w:hAnsi="Cambria Math"/>
                  <w:i w:val="0"/>
                  <w:kern w:val="2"/>
                  <w:sz w:val="21"/>
                  <w:szCs w:val="24"/>
                  <w:lang w:val="en-US" w:eastAsia="zh-CN" w:bidi="ar-SA"/>
                </w:rPr>
              </m:ctrlPr>
            </m:e>
          </m:eqArr>
        </m:oMath>
      </m:oMathPara>
    </w:p>
    <w:p w14:paraId="3AF31780">
      <w:pPr>
        <w:rPr>
          <w:rFonts w:hint="eastAsia"/>
          <w:lang w:val="en-US" w:eastAsia="zh-CN"/>
        </w:rPr>
      </w:pPr>
      <w:r>
        <w:rPr>
          <w:rFonts w:hint="eastAsia"/>
          <w:lang w:val="en-US" w:eastAsia="zh-CN"/>
        </w:rPr>
        <w:t>其中，</w:t>
      </w:r>
      <m:oMath>
        <m:r>
          <m:rPr/>
          <w:rPr>
            <w:rFonts w:hint="default" w:ascii="Cambria Math" w:hAnsi="Cambria Math"/>
            <w:kern w:val="2"/>
            <w:sz w:val="21"/>
            <w:szCs w:val="24"/>
            <w:lang w:val="en-US" w:eastAsia="zh-CN" w:bidi="ar-SA"/>
          </w:rPr>
          <m:t>I[n]</m:t>
        </m:r>
      </m:oMath>
      <w:r>
        <w:rPr>
          <w:rFonts w:hint="eastAsia" w:hAnsi="Cambria Math"/>
          <w:i w:val="0"/>
          <w:kern w:val="2"/>
          <w:sz w:val="21"/>
          <w:szCs w:val="24"/>
          <w:lang w:val="en-US" w:eastAsia="zh-CN" w:bidi="ar-SA"/>
        </w:rPr>
        <w:t xml:space="preserve"> </w:t>
      </w:r>
      <w:r>
        <w:rPr>
          <w:rFonts w:hint="eastAsia"/>
          <w:lang w:val="en-US" w:eastAsia="zh-CN"/>
        </w:rPr>
        <w:t xml:space="preserve">与 </w:t>
      </w:r>
      <m:oMath>
        <m:r>
          <m:rPr/>
          <w:rPr>
            <w:rFonts w:hint="default" w:ascii="Cambria Math" w:hAnsi="Cambria Math"/>
            <w:kern w:val="2"/>
            <w:sz w:val="21"/>
            <w:szCs w:val="24"/>
            <w:lang w:val="en-US" w:eastAsia="zh-CN" w:bidi="ar-SA"/>
          </w:rPr>
          <m:t>Q[n]</m:t>
        </m:r>
      </m:oMath>
      <w:r>
        <w:rPr>
          <w:rFonts w:hint="eastAsia" w:hAnsi="Cambria Math"/>
          <w:i w:val="0"/>
          <w:kern w:val="2"/>
          <w:sz w:val="21"/>
          <w:szCs w:val="24"/>
          <w:lang w:val="en-US" w:eastAsia="zh-CN" w:bidi="ar-SA"/>
        </w:rPr>
        <w:t xml:space="preserve"> </w:t>
      </w:r>
      <w:r>
        <w:rPr>
          <w:rFonts w:hint="eastAsia"/>
          <w:lang w:val="en-US" w:eastAsia="zh-CN"/>
        </w:rPr>
        <w:t>分别表示同相与正交分量。该复数基带表示完整保留了信号的幅度与相位信息，是后续特征提取的基础。</w:t>
      </w:r>
    </w:p>
    <w:p w14:paraId="1C91962F">
      <w:pPr>
        <w:ind w:firstLine="420" w:firstLineChars="200"/>
        <w:rPr>
          <w:rFonts w:hint="eastAsia"/>
          <w:lang w:val="en-US" w:eastAsia="zh-CN"/>
        </w:rPr>
      </w:pPr>
      <w:r>
        <w:rPr>
          <w:rFonts w:hint="eastAsia"/>
          <w:lang w:val="en-US" w:eastAsia="zh-CN"/>
        </w:rPr>
        <w:t>由于采集得到的是连续信号流，其中包含多个 LoRa 数据帧，因此需要对其进行帧检测与解析。本文基于 LoRa 信号前导码的 Chirp 结构特性，通过计算接收信号与本地参考 Chirp 信号之间的相关性，实现帧起始位置的检测，从而提取出完整的 LoRa 信号帧。</w:t>
      </w:r>
    </w:p>
    <w:p w14:paraId="5EDE9C98">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lang w:val="en-US" w:eastAsia="zh-CN"/>
        </w:rPr>
        <w:t>4.2 连续双帧原始特征构建</w:t>
      </w:r>
    </w:p>
    <w:p w14:paraId="49E3CD38">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4.2.1 连续双帧构造</w:t>
      </w:r>
    </w:p>
    <w:p w14:paraId="188DE0AA">
      <w:pPr>
        <w:ind w:firstLine="420" w:firstLineChars="200"/>
        <w:rPr>
          <w:rFonts w:hint="eastAsia"/>
          <w:lang w:val="en-US" w:eastAsia="zh-CN"/>
        </w:rPr>
      </w:pPr>
      <w:r>
        <w:rPr>
          <w:rFonts w:hint="eastAsia"/>
          <w:lang w:val="en-US" w:eastAsia="zh-CN"/>
        </w:rPr>
        <w:t>在完成单帧信号提取后，本文进一步构造连续双帧样本。具体而言，将同一设备在时间上连续发送的两帧信号按顺序组合，形成一个双帧数据单元。由于两帧信号在极短时间间隔内发送，其传播过程中所经历的信道条件可以近似认为一致，从而保证了信号特征的可比性。</w:t>
      </w:r>
    </w:p>
    <w:p w14:paraId="25C2C937">
      <w:pPr>
        <w:ind w:firstLine="420" w:firstLineChars="200"/>
        <w:rPr>
          <w:rFonts w:hint="eastAsia"/>
          <w:lang w:val="en-US" w:eastAsia="zh-CN"/>
        </w:rPr>
      </w:pPr>
      <w:r>
        <w:rPr>
          <w:rFonts w:hint="eastAsia"/>
          <w:lang w:val="en-US" w:eastAsia="zh-CN"/>
        </w:rPr>
        <w:t>连续双帧构造的引入具有重要意义。一方面，它能够在不增加系统复杂度的前提下提升特征稳定性；另一方面，通过对两帧信号的联合分析，可以提取出反映设备短时动态行为的信息，从而增强特征的表达能力。</w:t>
      </w:r>
    </w:p>
    <w:p w14:paraId="0AD4D3A8">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4.2.2 信号预处理</w:t>
      </w:r>
    </w:p>
    <w:p w14:paraId="2261E4A6">
      <w:pPr>
        <w:ind w:firstLine="420" w:firstLineChars="200"/>
        <w:rPr>
          <w:rFonts w:hint="eastAsia"/>
          <w:lang w:val="en-US" w:eastAsia="zh-CN"/>
        </w:rPr>
      </w:pPr>
      <w:r>
        <w:rPr>
          <w:rFonts w:hint="eastAsia"/>
          <w:lang w:val="en-US" w:eastAsia="zh-CN"/>
        </w:rPr>
        <w:t>为减弱信道环境及接收条件对信号特征的影响，需要对双帧信号进行统一的预处理操作，包括帧同步、载波频偏补偿以及幅度归一化。</w:t>
      </w:r>
    </w:p>
    <w:p w14:paraId="4397A9FD">
      <w:pPr>
        <w:ind w:firstLine="420" w:firstLineChars="200"/>
        <w:rPr>
          <w:rFonts w:hint="eastAsia"/>
          <w:lang w:val="en-US" w:eastAsia="zh-CN"/>
        </w:rPr>
      </w:pPr>
      <w:r>
        <w:rPr>
          <w:rFonts w:hint="eastAsia"/>
          <w:lang w:val="en-US" w:eastAsia="zh-CN"/>
        </w:rPr>
        <w:t>在帧同步方面，本文采用两阶段同步策略。首先，通过基于 Schmidl-Cox 算法[19]的自相关方法实现粗同步，利用前导码中重复的 upchirp 结构定位帧起始位置。随后，在粗同步结果的基础上，通过瞬时频率分析与参考信号相关计算实现精同步[20]，以进一步提高帧起始位置的定位精度。</w:t>
      </w:r>
    </w:p>
    <w:p w14:paraId="015309C0">
      <w:pPr>
        <w:ind w:firstLine="420" w:firstLineChars="200"/>
        <w:rPr>
          <w:rFonts w:hint="eastAsia"/>
          <w:lang w:val="en-US" w:eastAsia="zh-CN"/>
        </w:rPr>
      </w:pPr>
      <w:r>
        <w:rPr>
          <w:rFonts w:hint="eastAsia"/>
          <w:lang w:val="en-US" w:eastAsia="zh-CN"/>
        </w:rPr>
        <w:t>在载波频偏补偿方面，首先利用前导码的频率特性对 CFO 进行粗估计，通过计算其平均瞬时频率获得初始补偿值。在此基础上，通过自相关方法对残余频偏进行精细估计，从而完成精补偿过程。该两阶段补偿策略能够有效降低频偏对特征提取的干扰。</w:t>
      </w:r>
    </w:p>
    <w:p w14:paraId="71701C26">
      <w:pPr>
        <w:ind w:firstLine="420" w:firstLineChars="200"/>
        <w:rPr>
          <w:rFonts w:hint="eastAsia"/>
          <w:lang w:val="en-US" w:eastAsia="zh-CN"/>
        </w:rPr>
      </w:pPr>
      <w:r>
        <w:rPr>
          <w:rFonts w:hint="eastAsia"/>
          <w:lang w:val="en-US" w:eastAsia="zh-CN"/>
        </w:rPr>
        <w:t>在幅度归一化方面，通过对信号幅值进行均方根归一化处理，消除发射功率和传播距离差异带来的影响，使得特征提取过程更加关注信号结构本身而非幅度变化。</w:t>
      </w:r>
    </w:p>
    <w:p w14:paraId="797A1920">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4.2.3 连续双帧信号特征提取</w:t>
      </w:r>
    </w:p>
    <w:p w14:paraId="131E1B3B">
      <w:pPr>
        <w:ind w:firstLine="420" w:firstLineChars="200"/>
        <w:rPr>
          <w:rFonts w:hint="eastAsia"/>
          <w:lang w:val="en-US" w:eastAsia="zh-CN"/>
        </w:rPr>
      </w:pPr>
      <w:r>
        <w:rPr>
          <w:rFonts w:hint="eastAsia"/>
          <w:lang w:val="en-US" w:eastAsia="zh-CN"/>
        </w:rPr>
        <w:t>在完成预处理后，本文对连续双帧信号提取融合载波频偏特征。首先分别对两帧信号进行载波频偏估计，得到对应的频偏值 (</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 与 (</w:t>
      </w:r>
      <m:oMath>
        <m:sSub>
          <m:sSubPr>
            <m:ctrlPr>
              <w:rPr>
                <w:rFonts w:ascii="Cambria Math" w:hAnsi="Cambria Math"/>
                <w:i/>
                <w:lang w:val="en-US"/>
              </w:rPr>
            </m:ctrlPr>
          </m:sSubPr>
          <m:e>
            <m:r>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)。在此基础上，进一步构建包含统计特征与差分特征的特征向量：</w:t>
      </w:r>
    </w:p>
    <w:p w14:paraId="3D0FDD89">
      <w:pPr>
        <w:rPr>
          <w:rFonts w:hint="default" w:hAnsi="Cambria Math"/>
          <w:i w:val="0"/>
          <w:kern w:val="2"/>
          <w:sz w:val="21"/>
          <w:szCs w:val="24"/>
          <w:lang w:val="en-US" w:eastAsia="zh-CN" w:bidi="ar-SA"/>
        </w:rPr>
      </w:pPr>
      <m:oMathPara>
        <m:oMath>
          <m:eqArr>
            <m:eqArrPr>
              <m:maxDist m:val="1"/>
              <m:ctrlPr>
                <w:rPr>
                  <w:rFonts w:hint="default" w:hAnsi="Cambria Math"/>
                  <w:i w:val="0"/>
                  <w:kern w:val="2"/>
                  <w:sz w:val="21"/>
                  <w:szCs w:val="24"/>
                  <w:lang w:val="en-US" w:eastAsia="zh-CN" w:bidi="ar-SA"/>
                </w:rPr>
              </m:ctrlPr>
            </m:eqArrPr>
            <m:e>
              <m:r>
                <m:rPr/>
                <w:rPr>
                  <w:rFonts w:hint="default" w:ascii="Cambria Math" w:hAnsi="Cambria Math"/>
                  <w:kern w:val="2"/>
                  <w:sz w:val="21"/>
                  <w:szCs w:val="24"/>
                  <w:lang w:val="en-US" w:eastAsia="zh-CN" w:bidi="ar-SA"/>
                </w:rPr>
                <m:t>F={</m:t>
              </m:r>
              <m:sSub>
                <m:sSubPr>
                  <m:ctrlPr>
                    <w:rPr>
                      <w:rFonts w:hint="default" w:ascii="Cambria Math" w:hAnsi="Cambria Math"/>
                      <w:i/>
                      <w:kern w:val="2"/>
                      <w:sz w:val="21"/>
                      <w:szCs w:val="24"/>
                      <w:lang w:val="en-US" w:eastAsia="zh-CN" w:bidi="ar-SA"/>
                    </w:rPr>
                  </m:ctrlPr>
                </m:sSubPr>
                <m:e>
                  <m:r>
                    <m:rPr/>
                    <w:rPr>
                      <w:rFonts w:hint="default" w:ascii="Cambria Math" w:hAnsi="Cambria Math"/>
                      <w:kern w:val="2"/>
                      <w:sz w:val="21"/>
                      <w:szCs w:val="24"/>
                      <w:lang w:val="en-US" w:eastAsia="zh-CN" w:bidi="ar-SA"/>
                    </w:rPr>
                    <m:t>f</m:t>
                  </m:r>
                  <m:ctrlPr>
                    <w:rPr>
                      <w:rFonts w:hint="default" w:ascii="Cambria Math" w:hAnsi="Cambria Math"/>
                      <w:i/>
                      <w:kern w:val="2"/>
                      <w:sz w:val="21"/>
                      <w:szCs w:val="24"/>
                      <w:lang w:val="en-US" w:eastAsia="zh-CN" w:bidi="ar-SA"/>
                    </w:rPr>
                  </m:ctrlPr>
                </m:e>
                <m:sub>
                  <m:r>
                    <m:rPr/>
                    <w:rPr>
                      <w:rFonts w:hint="default" w:ascii="Cambria Math" w:hAnsi="Cambria Math"/>
                      <w:kern w:val="2"/>
                      <w:sz w:val="21"/>
                      <w:szCs w:val="24"/>
                      <w:lang w:val="en-US" w:eastAsia="zh-CN" w:bidi="ar-SA"/>
                    </w:rPr>
                    <m:t>1</m:t>
                  </m:r>
                  <m:ctrlPr>
                    <w:rPr>
                      <w:rFonts w:hint="default" w:ascii="Cambria Math" w:hAnsi="Cambria Math"/>
                      <w:i/>
                      <w:kern w:val="2"/>
                      <w:sz w:val="21"/>
                      <w:szCs w:val="24"/>
                      <w:lang w:val="en-US" w:eastAsia="zh-CN" w:bidi="ar-SA"/>
                    </w:rPr>
                  </m:ctrlPr>
                </m:sub>
              </m:sSub>
              <m:r>
                <m:rPr/>
                <w:rPr>
                  <w:rFonts w:hint="default" w:ascii="Cambria Math" w:hAnsi="Cambria Math"/>
                  <w:kern w:val="2"/>
                  <w:sz w:val="21"/>
                  <w:szCs w:val="24"/>
                  <w:lang w:val="en-US" w:eastAsia="zh-CN" w:bidi="ar-SA"/>
                </w:rPr>
                <m:t>,</m:t>
              </m:r>
              <m:sSub>
                <m:sSubPr>
                  <m:ctrlPr>
                    <w:rPr>
                      <w:rFonts w:hint="default" w:ascii="Cambria Math" w:hAnsi="Cambria Math"/>
                      <w:i/>
                      <w:kern w:val="2"/>
                      <w:sz w:val="21"/>
                      <w:szCs w:val="24"/>
                      <w:lang w:val="en-US" w:eastAsia="zh-CN" w:bidi="ar-SA"/>
                    </w:rPr>
                  </m:ctrlPr>
                </m:sSubPr>
                <m:e>
                  <m:r>
                    <m:rPr/>
                    <w:rPr>
                      <w:rFonts w:hint="default" w:ascii="Cambria Math" w:hAnsi="Cambria Math"/>
                      <w:kern w:val="2"/>
                      <w:sz w:val="21"/>
                      <w:szCs w:val="24"/>
                      <w:lang w:val="en-US" w:eastAsia="zh-CN" w:bidi="ar-SA"/>
                    </w:rPr>
                    <m:t>f</m:t>
                  </m:r>
                  <m:ctrlPr>
                    <w:rPr>
                      <w:rFonts w:hint="default" w:ascii="Cambria Math" w:hAnsi="Cambria Math"/>
                      <w:i/>
                      <w:kern w:val="2"/>
                      <w:sz w:val="21"/>
                      <w:szCs w:val="24"/>
                      <w:lang w:val="en-US" w:eastAsia="zh-CN" w:bidi="ar-SA"/>
                    </w:rPr>
                  </m:ctrlPr>
                </m:e>
                <m:sub>
                  <m:r>
                    <m:rPr/>
                    <w:rPr>
                      <w:rFonts w:hint="default" w:ascii="Cambria Math" w:hAnsi="Cambria Math"/>
                      <w:kern w:val="2"/>
                      <w:sz w:val="21"/>
                      <w:szCs w:val="24"/>
                      <w:lang w:val="en-US" w:eastAsia="zh-CN" w:bidi="ar-SA"/>
                    </w:rPr>
                    <m:t>2</m:t>
                  </m:r>
                  <m:ctrlPr>
                    <w:rPr>
                      <w:rFonts w:hint="default" w:ascii="Cambria Math" w:hAnsi="Cambria Math"/>
                      <w:i/>
                      <w:kern w:val="2"/>
                      <w:sz w:val="21"/>
                      <w:szCs w:val="24"/>
                      <w:lang w:val="en-US" w:eastAsia="zh-CN" w:bidi="ar-SA"/>
                    </w:rPr>
                  </m:ctrlPr>
                </m:sub>
              </m:sSub>
              <m:r>
                <m:rPr/>
                <w:rPr>
                  <w:rFonts w:hint="default" w:ascii="Cambria Math" w:hAnsi="Cambria Math"/>
                  <w:kern w:val="2"/>
                  <w:sz w:val="21"/>
                  <w:szCs w:val="24"/>
                  <w:lang w:val="en-US" w:eastAsia="zh-CN" w:bidi="ar-SA"/>
                </w:rPr>
                <m:t>,</m:t>
              </m:r>
              <m:acc>
                <m:accPr>
                  <m:chr m:val="̅"/>
                  <m:ctrlPr>
                    <w:rPr>
                      <w:rFonts w:hint="default" w:ascii="Cambria Math" w:hAnsi="Cambria Math"/>
                      <w:i/>
                      <w:kern w:val="2"/>
                      <w:sz w:val="21"/>
                      <w:szCs w:val="24"/>
                      <w:lang w:val="en-US" w:eastAsia="zh-CN" w:bidi="ar-SA"/>
                    </w:rPr>
                  </m:ctrlPr>
                </m:accPr>
                <m:e>
                  <m:r>
                    <m:rPr/>
                    <w:rPr>
                      <w:rFonts w:hint="default" w:ascii="Cambria Math" w:hAnsi="Cambria Math"/>
                      <w:kern w:val="2"/>
                      <w:sz w:val="21"/>
                      <w:szCs w:val="24"/>
                      <w:lang w:val="en-US" w:eastAsia="zh-CN" w:bidi="ar-SA"/>
                    </w:rPr>
                    <m:t>f</m:t>
                  </m:r>
                  <m:ctrlPr>
                    <w:rPr>
                      <w:rFonts w:hint="default" w:ascii="Cambria Math" w:hAnsi="Cambria Math"/>
                      <w:i/>
                      <w:kern w:val="2"/>
                      <w:sz w:val="21"/>
                      <w:szCs w:val="24"/>
                      <w:lang w:val="en-US" w:eastAsia="zh-CN" w:bidi="ar-SA"/>
                    </w:rPr>
                  </m:ctrlPr>
                </m:e>
              </m:acc>
              <m:r>
                <m:rPr/>
                <w:rPr>
                  <w:rFonts w:hint="default" w:ascii="Cambria Math" w:hAnsi="Cambria Math"/>
                  <w:kern w:val="2"/>
                  <w:sz w:val="21"/>
                  <w:szCs w:val="24"/>
                  <w:lang w:val="en-US" w:eastAsia="zh-CN" w:bidi="ar-SA"/>
                </w:rPr>
                <m:t>,</m:t>
              </m:r>
              <m:r>
                <m:rPr/>
                <w:rPr>
                  <w:rFonts w:hint="default" w:ascii="Cambria Math" w:hAnsi="Cambria Math" w:cs="Cambria Math"/>
                  <w:kern w:val="2"/>
                  <w:sz w:val="21"/>
                  <w:szCs w:val="24"/>
                  <w:lang w:val="en-US" w:eastAsia="zh-CN" w:bidi="ar-SA"/>
                </w:rPr>
                <m:t>∆</m:t>
              </m:r>
              <m:r>
                <m:rPr/>
                <w:rPr>
                  <w:rFonts w:hint="default" w:ascii="Cambria Math" w:hAnsi="Cambria Math"/>
                  <w:kern w:val="2"/>
                  <w:sz w:val="21"/>
                  <w:szCs w:val="24"/>
                  <w:lang w:val="en-US" w:eastAsia="zh-CN" w:bidi="ar-SA"/>
                </w:rPr>
                <m:t>f}</m:t>
              </m:r>
              <m:r>
                <m:rPr>
                  <m:sty m:val="p"/>
                </m:rPr>
                <w:rPr>
                  <w:rFonts w:hint="default" w:ascii="Cambria Math" w:hAnsi="Cambria Math"/>
                  <w:kern w:val="2"/>
                  <w:sz w:val="21"/>
                  <w:szCs w:val="24"/>
                  <w:lang w:val="en-US" w:eastAsia="zh-CN" w:bidi="ar-SA"/>
                </w:rPr>
                <m:t>#(2)</m:t>
              </m:r>
              <m:ctrlPr>
                <w:rPr>
                  <w:rFonts w:hint="default" w:hAnsi="Cambria Math"/>
                  <w:i w:val="0"/>
                  <w:kern w:val="2"/>
                  <w:sz w:val="21"/>
                  <w:szCs w:val="24"/>
                  <w:lang w:val="en-US" w:eastAsia="zh-CN" w:bidi="ar-SA"/>
                </w:rPr>
              </m:ctrlPr>
            </m:e>
          </m:eqArr>
        </m:oMath>
      </m:oMathPara>
    </w:p>
    <w:p w14:paraId="3BEDE335">
      <w:pPr>
        <w:rPr>
          <w:rFonts w:hint="eastAsia"/>
          <w:lang w:val="en-US" w:eastAsia="zh-CN"/>
        </w:rPr>
      </w:pPr>
      <w:r>
        <w:rPr>
          <w:rFonts w:hint="eastAsia"/>
          <w:lang w:val="en-US" w:eastAsia="zh-CN"/>
        </w:rPr>
        <w:t>其中，</w:t>
      </w:r>
      <m:oMath>
        <m:acc>
          <m:accPr>
            <m:chr m:val="̅"/>
            <m:ctrlPr>
              <w:rPr>
                <w:rFonts w:ascii="Cambria Math" w:hAnsi="Cambria Math"/>
                <w:i/>
                <w:lang w:val="en-US"/>
              </w:rPr>
            </m:ctrlPr>
          </m:accPr>
          <m:e>
            <m:r>
              <m:rPr/>
              <w:rPr>
                <w:rFonts w:hint="default" w:ascii="Cambria Math" w:hAnsi="Cambria Math"/>
                <w:lang w:val="en-US" w:eastAsia="zh-CN"/>
              </w:rPr>
              <m:t>f</m:t>
            </m:r>
            <m:ctrlPr>
              <w:rPr>
                <w:rFonts w:ascii="Cambria Math" w:hAnsi="Cambria Math"/>
                <w:i/>
                <w:lang w:val="en-US"/>
              </w:rPr>
            </m:ctrlPr>
          </m:e>
        </m:acc>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f</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f</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)/2</m:t>
        </m:r>
      </m:oMath>
      <w:r>
        <w:rPr>
          <w:rFonts w:hint="eastAsia" w:hAnsi="Cambria Math"/>
          <w:i w:val="0"/>
          <w:lang w:val="en-US" w:eastAsia="zh-CN"/>
        </w:rPr>
        <w:t xml:space="preserve"> </w:t>
      </w:r>
      <w:r>
        <w:rPr>
          <w:rFonts w:hint="eastAsia"/>
          <w:lang w:val="en-US" w:eastAsia="zh-CN"/>
        </w:rPr>
        <w:t>表示双帧频偏的均值特征，用于抑制随机噪声的影响；</w:t>
      </w:r>
      <m:oMath>
        <m:r>
          <m:rPr/>
          <w:rPr>
            <w:rFonts w:ascii="Cambria Math" w:hAnsi="Cambria Math"/>
            <w:lang w:val="en-US"/>
          </w:rPr>
          <m:t>∆</m:t>
        </m:r>
        <m:r>
          <m:rPr/>
          <w:rPr>
            <w:rFonts w:hint="default" w:ascii="Cambria Math" w:hAnsi="Cambria Math"/>
            <w:lang w:val="en-US" w:eastAsia="zh-CN"/>
          </w:rPr>
          <m:t>f=</m:t>
        </m:r>
        <m:sSub>
          <m:sSubPr>
            <m:ctrlPr>
              <w:rPr>
                <w:rFonts w:hint="default" w:ascii="Cambria Math" w:hAnsi="Cambria Math"/>
                <w:i/>
                <w:lang w:val="en-US" w:eastAsia="zh-CN"/>
              </w:rPr>
            </m:ctrlPr>
          </m:sSubPr>
          <m:e>
            <m:r>
              <m:rPr/>
              <w:rPr>
                <w:rFonts w:hint="default" w:ascii="Cambria Math" w:hAnsi="Cambria Math"/>
                <w:lang w:val="en-US" w:eastAsia="zh-CN"/>
              </w:rPr>
              <m:t>f</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f</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oMath>
      <w:r>
        <w:rPr>
          <w:rFonts w:hint="eastAsia"/>
          <w:lang w:val="en-US" w:eastAsia="zh-CN"/>
        </w:rPr>
        <w:t>表示双帧间的频偏差分，用于刻画设备在短时间连续发射过程中的频率漂移特性。</w:t>
      </w:r>
    </w:p>
    <w:p w14:paraId="712CCD84">
      <w:pPr>
        <w:ind w:firstLine="420" w:firstLineChars="200"/>
        <w:rPr>
          <w:rFonts w:hint="eastAsia"/>
          <w:lang w:val="en-US" w:eastAsia="zh-CN"/>
        </w:rPr>
      </w:pPr>
      <w:r>
        <w:rPr>
          <w:rFonts w:hint="eastAsia"/>
          <w:lang w:val="en-US" w:eastAsia="zh-CN"/>
        </w:rPr>
        <w:t>该特征构建方式兼顾了稳定性与动态性。均值特征能够增强模型对环境扰动的鲁棒性，而差分特征则能够提供额外的判别信息，使不同设备在特征空间中的分布更加可分。相比传统单帧特征方法，该方法在复杂信道环境下具有更优的识别性能。</w:t>
      </w:r>
    </w:p>
    <w:p w14:paraId="71B2E9FB">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lang w:val="en-US" w:eastAsia="zh-CN"/>
        </w:rPr>
        <w:t>4.3 基于集成学习的设备身份识别</w:t>
      </w:r>
    </w:p>
    <w:p w14:paraId="5FF43DD4">
      <w:pPr>
        <w:ind w:firstLine="420" w:firstLineChars="200"/>
        <w:rPr>
          <w:rFonts w:hint="eastAsia"/>
          <w:lang w:val="en-US" w:eastAsia="zh-CN"/>
        </w:rPr>
      </w:pPr>
      <w:r>
        <w:rPr>
          <w:rFonts w:hint="eastAsia"/>
          <w:lang w:val="en-US" w:eastAsia="zh-CN"/>
        </w:rPr>
        <w:t xml:space="preserve">在完成连续双帧协同特征提取后，系统对融合指纹特征向量 </w:t>
      </w:r>
      <m:oMath>
        <m:r>
          <m:rPr/>
          <w:rPr>
            <w:rFonts w:hint="default" w:ascii="Cambria Math" w:hAnsi="Cambria Math"/>
            <w:kern w:val="2"/>
            <w:sz w:val="21"/>
            <w:szCs w:val="24"/>
            <w:lang w:val="en-US" w:eastAsia="zh-CN" w:bidi="ar-SA"/>
          </w:rPr>
          <m:t>F</m:t>
        </m:r>
      </m:oMath>
      <w:r>
        <w:rPr>
          <w:rFonts w:hint="eastAsia" w:hAnsi="Cambria Math"/>
          <w:i w:val="0"/>
          <w:kern w:val="2"/>
          <w:sz w:val="21"/>
          <w:szCs w:val="24"/>
          <w:lang w:val="en-US" w:eastAsia="zh-CN" w:bidi="ar-SA"/>
        </w:rPr>
        <w:t xml:space="preserve"> </w:t>
      </w:r>
      <w:r>
        <w:rPr>
          <w:rFonts w:hint="eastAsia"/>
          <w:lang w:val="en-US" w:eastAsia="zh-CN"/>
        </w:rPr>
        <w:t>进一步采用集成学习框架实施设备身份识别。该框架以四种异构基础分类器的协同输出为基础，通过静态权重与动态置信度联合加权的概率融合机制提高识别可靠性，并结合双阈值拒识策略实现开集条件下对未知设备的有效判别。</w:t>
      </w:r>
    </w:p>
    <w:p w14:paraId="7F69110B">
      <w:pPr>
        <w:rPr>
          <w:rFonts w:hint="eastAsia" w:ascii="宋体" w:hAnsi="宋体" w:eastAsia="宋体"/>
          <w:sz w:val="21"/>
          <w:lang w:eastAsia="zh-CN"/>
        </w:rPr>
      </w:pPr>
      <w:r>
        <w:rPr>
          <w:rFonts w:hint="eastAsia" w:ascii="宋体" w:hAnsi="宋体" w:eastAsia="宋体"/>
          <w:sz w:val="21"/>
          <w:lang w:eastAsia="zh-CN"/>
        </w:rPr>
        <w:drawing>
          <wp:inline distT="0" distB="0" distL="114300" distR="114300">
            <wp:extent cx="2947670" cy="2136140"/>
            <wp:effectExtent l="0" t="0" r="11430" b="10160"/>
            <wp:docPr id="11" name="图片 11" descr="ChatGPT Image 2026年3月29日 23_05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3月29日 23_05_13"/>
                    <pic:cNvPicPr>
                      <a:picLocks noChangeAspect="1"/>
                    </pic:cNvPicPr>
                  </pic:nvPicPr>
                  <pic:blipFill>
                    <a:blip r:embed="rId10"/>
                    <a:srcRect l="3662" t="64" r="4343" b="-32"/>
                    <a:stretch>
                      <a:fillRect/>
                    </a:stretch>
                  </pic:blipFill>
                  <pic:spPr>
                    <a:xfrm>
                      <a:off x="0" y="0"/>
                      <a:ext cx="2947670" cy="2136140"/>
                    </a:xfrm>
                    <a:prstGeom prst="rect">
                      <a:avLst/>
                    </a:prstGeom>
                  </pic:spPr>
                </pic:pic>
              </a:graphicData>
            </a:graphic>
          </wp:inline>
        </w:drawing>
      </w:r>
    </w:p>
    <w:p w14:paraId="57031D85">
      <w:pPr>
        <w:spacing w:after="156" w:afterLines="50"/>
        <w:jc w:val="center"/>
        <w:textAlignment w:val="baseline"/>
        <w:rPr>
          <w:rFonts w:hint="eastAsia" w:ascii="宋体" w:hAnsi="宋体" w:eastAsia="宋体"/>
          <w:sz w:val="21"/>
          <w:lang w:val="en-US" w:eastAsia="zh-CN"/>
        </w:rPr>
      </w:pPr>
      <w:r>
        <w:rPr>
          <w:rFonts w:hint="eastAsia" w:hAnsi="宋体"/>
          <w:sz w:val="18"/>
        </w:rPr>
        <w:t>图</w:t>
      </w:r>
      <w:r>
        <w:rPr>
          <w:rFonts w:hint="eastAsia" w:hAnsi="宋体"/>
          <w:sz w:val="18"/>
          <w:lang w:val="en-US" w:eastAsia="zh-CN"/>
        </w:rPr>
        <w:t>1</w:t>
      </w:r>
      <w:r>
        <w:rPr>
          <w:rFonts w:hint="eastAsia"/>
          <w:sz w:val="18"/>
        </w:rPr>
        <w:t xml:space="preserve"> </w:t>
      </w:r>
      <w:r>
        <w:rPr>
          <w:rFonts w:hint="eastAsia"/>
          <w:sz w:val="18"/>
          <w:lang w:val="en-US" w:eastAsia="zh-CN"/>
        </w:rPr>
        <w:t>融合双帧载波频偏特征的LoRa终端识别整体流程图</w:t>
      </w:r>
    </w:p>
    <w:p w14:paraId="0B9EDF49">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4.3.1  基础分类器训练</w:t>
      </w:r>
    </w:p>
    <w:p w14:paraId="6EAF8B7E">
      <w:pPr>
        <w:ind w:firstLine="420" w:firstLineChars="200"/>
        <w:rPr>
          <w:rFonts w:hint="eastAsia"/>
          <w:lang w:val="en-US" w:eastAsia="zh-CN"/>
        </w:rPr>
      </w:pPr>
      <w:r>
        <w:rPr>
          <w:rFonts w:hint="eastAsia"/>
          <w:lang w:val="en-US" w:eastAsia="zh-CN"/>
        </w:rPr>
        <w:t>本方案选取四种具有代表性的异构基础分类器，以公式（2）融合指纹特征向量F为统一输入，在训练集上独立训练。训练完成后，各分类器均以后验概率向量的形式输出分类结果：</w:t>
      </w:r>
    </w:p>
    <w:p w14:paraId="4C3A1C5F">
      <w:pPr>
        <w:ind w:firstLine="420" w:firstLineChars="200"/>
        <w:rPr>
          <w:rFonts w:hint="eastAsia"/>
          <w:lang w:val="en-US" w:eastAsia="zh-CN"/>
        </w:rPr>
      </w:pPr>
      <m:oMathPara>
        <m:oMath>
          <m:eqArr>
            <m:eqArrPr>
              <m:maxDist m:val="1"/>
              <m:ctrlPr>
                <w:rPr>
                  <w:rFonts w:hint="eastAsia"/>
                  <w:lang w:val="en-US" w:eastAsia="zh-CN"/>
                </w:rPr>
              </m:ctrlPr>
            </m:eqArrPr>
            <m:e>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(1|F).</m:t>
                  </m:r>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(2|F),</m:t>
                  </m:r>
                  <m:r>
                    <m:rPr/>
                    <w:rPr>
                      <w:rFonts w:hint="default" w:ascii="Cambria Math" w:hAnsi="Cambria Math" w:cs="Cambria Math"/>
                      <w:lang w:val="en-US" w:eastAsia="zh-CN"/>
                    </w:rPr>
                    <m:t>⋯</m:t>
                  </m:r>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(M|F)]</m:t>
                  </m:r>
                  <m:ctrlPr>
                    <w:rPr>
                      <w:rFonts w:hint="default" w:ascii="Cambria Math" w:hAnsi="Cambria Math"/>
                      <w:i/>
                      <w:lang w:val="en-US" w:eastAsia="zh-CN"/>
                    </w:rPr>
                  </m:ctrlPr>
                </m:e>
                <m:sup>
                  <m:r>
                    <m:rPr/>
                    <w:rPr>
                      <w:rFonts w:hint="default" w:ascii="Cambria Math" w:hAnsi="Cambria Math"/>
                      <w:lang w:val="en-US" w:eastAsia="zh-CN"/>
                    </w:rPr>
                    <m:t>T</m:t>
                  </m:r>
                  <m:ctrlPr>
                    <w:rPr>
                      <w:rFonts w:hint="default" w:ascii="Cambria Math" w:hAnsi="Cambria Math"/>
                      <w:i/>
                      <w:lang w:val="en-US" w:eastAsia="zh-CN"/>
                    </w:rPr>
                  </m:ctrlPr>
                </m:sup>
              </m:sSup>
              <m:r>
                <m:rPr/>
                <w:rPr>
                  <w:rFonts w:hint="default" w:ascii="Cambria Math" w:hAnsi="Cambria Math"/>
                  <w:lang w:val="en-US" w:eastAsia="zh-CN"/>
                </w:rPr>
                <m:t>,k=1,2,3,4</m:t>
              </m:r>
              <m:r>
                <m:rPr>
                  <m:sty m:val="p"/>
                </m:rPr>
                <w:rPr>
                  <w:rFonts w:hint="default" w:ascii="Cambria Math" w:hAnsi="Cambria Math"/>
                  <w:lang w:val="en-US" w:eastAsia="zh-CN"/>
                </w:rPr>
                <m:t>#(3)</m:t>
              </m:r>
              <m:ctrlPr>
                <w:rPr>
                  <w:rFonts w:hint="eastAsia"/>
                  <w:lang w:val="en-US" w:eastAsia="zh-CN"/>
                </w:rPr>
              </m:ctrlPr>
            </m:e>
          </m:eqArr>
        </m:oMath>
      </m:oMathPara>
    </w:p>
    <w:p w14:paraId="2BB87EDA">
      <w:pPr>
        <w:rPr>
          <w:rFonts w:hint="eastAsia"/>
          <w:lang w:val="en-US" w:eastAsia="zh-CN"/>
        </w:rPr>
      </w:pPr>
      <w:r>
        <w:rPr>
          <w:rFonts w:hint="eastAsia"/>
          <w:lang w:val="en-US" w:eastAsia="zh-CN"/>
        </w:rPr>
        <w:t xml:space="preserve">其中 </w:t>
      </w:r>
      <m:oMath>
        <m:r>
          <m:rPr/>
          <w:rPr>
            <w:rFonts w:hint="default" w:ascii="Cambria Math" w:hAnsi="Cambria Math"/>
            <w:kern w:val="2"/>
            <w:sz w:val="21"/>
            <w:szCs w:val="24"/>
            <w:lang w:val="en-US" w:eastAsia="zh-CN" w:bidi="ar-SA"/>
          </w:rPr>
          <m:t>M</m:t>
        </m:r>
      </m:oMath>
      <w:r>
        <w:rPr>
          <w:rFonts w:hint="eastAsia" w:hAnsi="Cambria Math"/>
          <w:i w:val="0"/>
          <w:kern w:val="2"/>
          <w:sz w:val="21"/>
          <w:szCs w:val="24"/>
          <w:lang w:val="en-US" w:eastAsia="zh-CN" w:bidi="ar-SA"/>
        </w:rPr>
        <w:t xml:space="preserve"> </w:t>
      </w:r>
      <w:r>
        <w:rPr>
          <w:rFonts w:hint="eastAsia"/>
          <w:lang w:val="en-US" w:eastAsia="zh-CN"/>
        </w:rPr>
        <w:t>为已注册设备类别总数，</w:t>
      </w:r>
      <m:oMath>
        <m:r>
          <m:rPr/>
          <w:rPr>
            <w:rFonts w:hint="default" w:ascii="Cambria Math" w:hAnsi="Cambria Math"/>
            <w:kern w:val="2"/>
            <w:sz w:val="21"/>
            <w:szCs w:val="24"/>
            <w:lang w:val="en-US" w:eastAsia="zh-CN" w:bidi="ar-SA"/>
          </w:rPr>
          <m:t>k</m:t>
        </m:r>
      </m:oMath>
      <w:r>
        <w:rPr>
          <w:rFonts w:hint="eastAsia" w:hAnsi="Cambria Math"/>
          <w:i w:val="0"/>
          <w:kern w:val="2"/>
          <w:sz w:val="21"/>
          <w:szCs w:val="24"/>
          <w:lang w:val="en-US" w:eastAsia="zh-CN" w:bidi="ar-SA"/>
        </w:rPr>
        <w:t xml:space="preserve"> </w:t>
      </w:r>
      <w:r>
        <w:rPr>
          <w:rFonts w:hint="eastAsia"/>
          <w:lang w:val="en-US" w:eastAsia="zh-CN"/>
        </w:rPr>
        <w:t>为分类器索引。四种分类器的选择依据如下：</w:t>
      </w:r>
    </w:p>
    <w:p w14:paraId="389CCBE6">
      <w:pPr>
        <w:ind w:firstLine="420" w:firstLineChars="200"/>
        <w:rPr>
          <w:rFonts w:hint="eastAsia"/>
          <w:lang w:val="en-US" w:eastAsia="zh-CN"/>
        </w:rPr>
      </w:pPr>
      <w:r>
        <w:rPr>
          <w:rFonts w:hint="eastAsia"/>
          <w:lang w:val="en-US" w:eastAsia="zh-CN"/>
        </w:rPr>
        <w:t>（1）支持向量机（SVM）：采用径向基核函数建立非线性决策边界，通过Platt缩放将决策函数值转换为类别后验概率。SVM对高维特征空间中的小样本分类问题具有良好泛化能力，适合射频指纹这类特征维度较高但训练样本有限的场景。</w:t>
      </w:r>
    </w:p>
    <w:p w14:paraId="4267A7EF">
      <w:pPr>
        <w:ind w:firstLine="420" w:firstLineChars="200"/>
        <w:rPr>
          <w:rFonts w:hint="eastAsia"/>
          <w:lang w:val="en-US" w:eastAsia="zh-CN"/>
        </w:rPr>
      </w:pPr>
      <w:r>
        <w:rPr>
          <w:rFonts w:hint="eastAsia"/>
          <w:lang w:val="en-US" w:eastAsia="zh-CN"/>
        </w:rPr>
        <w:t>（2）随机森林（RF）：由多棵决策树通过Bagging集成构成，以各叶节点中各类别样本数量之比估计后验概率。随机森林对噪声和特征波动具有较强抵抗力，能够捕捉特征间的非线性交互关系。</w:t>
      </w:r>
    </w:p>
    <w:p w14:paraId="3E638D7F">
      <w:pPr>
        <w:ind w:firstLine="420" w:firstLineChars="200"/>
        <w:rPr>
          <w:rFonts w:hint="eastAsia"/>
          <w:lang w:val="en-US" w:eastAsia="zh-CN"/>
        </w:rPr>
      </w:pPr>
      <w:r>
        <w:rPr>
          <w:rFonts w:hint="eastAsia"/>
          <w:lang w:val="en-US" w:eastAsia="zh-CN"/>
        </w:rPr>
        <w:t>（3）线性判别分析（LDA）：通过最大化类间散度与类内散度之比构建线性投影，基于高斯分布假设计算各类别的后验概率。LDA计算开销低、可解释性强，在特征具有较好线性可分性时表现突出。</w:t>
      </w:r>
    </w:p>
    <w:p w14:paraId="2F0FFA1E">
      <w:pPr>
        <w:ind w:firstLine="420" w:firstLineChars="200"/>
        <w:rPr>
          <w:rFonts w:hint="eastAsia"/>
          <w:lang w:val="en-US" w:eastAsia="zh-CN"/>
        </w:rPr>
      </w:pPr>
      <w:r>
        <w:rPr>
          <w:rFonts w:hint="eastAsia"/>
          <w:lang w:val="en-US" w:eastAsia="zh-CN"/>
        </w:rPr>
        <w:t>（4）K近邻分类器（KNN）：采用马氏距离度量样本间距，以最近邻样本的类别分布估计后验概率。KNN对局部特征分布信息保留完整，能有效捕获同一设备样本在特征空间中的聚类结构。</w:t>
      </w:r>
    </w:p>
    <w:p w14:paraId="20D575C3">
      <w:pPr>
        <w:ind w:firstLine="420" w:firstLineChars="200"/>
        <w:rPr>
          <w:rFonts w:hint="eastAsia"/>
          <w:lang w:val="en-US" w:eastAsia="zh-CN"/>
        </w:rPr>
      </w:pPr>
      <w:r>
        <w:rPr>
          <w:rFonts w:hint="eastAsia"/>
          <w:lang w:val="en-US" w:eastAsia="zh-CN"/>
        </w:rPr>
        <w:t>上述四种分类器学习范式各异——分别属于边界优化型、集成树型、线性判别型和实例型，保证了集成框架的多样性，有利于降低各分类器同时出错的概率。</w:t>
      </w:r>
    </w:p>
    <w:p w14:paraId="53859FE7">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4.3.2  静态权重与动态置信度联合估计</w:t>
      </w:r>
    </w:p>
    <w:p w14:paraId="4AA74FAC">
      <w:pPr>
        <w:ind w:firstLine="420" w:firstLineChars="200"/>
        <w:rPr>
          <w:rFonts w:hint="eastAsia"/>
          <w:lang w:val="en-US" w:eastAsia="zh-CN"/>
        </w:rPr>
      </w:pPr>
      <w:r>
        <w:rPr>
          <w:rFonts w:hint="eastAsia"/>
          <w:lang w:val="en-US" w:eastAsia="zh-CN"/>
        </w:rPr>
        <w:t>传统集成方法通常采用简单等权投票或固定权重融合，无法根据当前样本的分类难度自适应地调整各分类器的贡献。为此，本方案设计了静态权重与动态置信度联合估计机制。</w:t>
      </w:r>
    </w:p>
    <w:p w14:paraId="7A622732">
      <w:pPr>
        <w:ind w:firstLine="420" w:firstLineChars="200"/>
        <w:rPr>
          <w:rFonts w:hint="eastAsia"/>
          <w:lang w:val="en-US" w:eastAsia="zh-CN"/>
        </w:rPr>
      </w:pPr>
      <w:r>
        <w:rPr>
          <w:rFonts w:hint="eastAsia"/>
          <w:b/>
          <w:bCs/>
          <w:lang w:val="en-US" w:eastAsia="zh-CN"/>
        </w:rPr>
        <w:t>静态基权重计算：</w:t>
      </w:r>
      <w:r>
        <w:rPr>
          <w:rFonts w:hint="eastAsia"/>
          <w:lang w:val="en-US" w:eastAsia="zh-CN"/>
        </w:rPr>
        <w:t xml:space="preserve">设第 </w:t>
      </w:r>
      <m:oMath>
        <m:r>
          <m:rPr/>
          <w:rPr>
            <w:rFonts w:hint="default" w:ascii="Cambria Math" w:hAnsi="Cambria Math"/>
            <w:kern w:val="2"/>
            <w:sz w:val="21"/>
            <w:szCs w:val="24"/>
            <w:lang w:val="en-US" w:eastAsia="zh-CN" w:bidi="ar-SA"/>
          </w:rPr>
          <m:t>k</m:t>
        </m:r>
      </m:oMath>
      <w:r>
        <w:rPr>
          <w:rFonts w:hint="eastAsia" w:hAnsi="Cambria Math"/>
          <w:i w:val="0"/>
          <w:kern w:val="2"/>
          <w:sz w:val="21"/>
          <w:szCs w:val="24"/>
          <w:lang w:val="en-US" w:eastAsia="zh-CN" w:bidi="ar-SA"/>
        </w:rPr>
        <w:t xml:space="preserve"> </w:t>
      </w:r>
      <w:r>
        <w:rPr>
          <w:rFonts w:hint="eastAsia"/>
          <w:lang w:val="en-US" w:eastAsia="zh-CN"/>
        </w:rPr>
        <w:t xml:space="preserve">个基础分类器在留出验证集上的识别准确率为 </w:t>
      </w:r>
      <m:oMath>
        <m:sSub>
          <m:sSubPr>
            <m:ctrlPr>
              <w:rPr>
                <w:rFonts w:ascii="Cambria Math" w:hAnsi="Cambria Math"/>
                <w:i/>
                <w:lang w:val="en-US"/>
              </w:rPr>
            </m:ctrlPr>
          </m:sSub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lang w:val="en-US" w:eastAsia="zh-CN"/>
        </w:rPr>
        <w:t>，其静态基权重定义为：</w:t>
      </w:r>
    </w:p>
    <w:p w14:paraId="5637D515">
      <w:pPr>
        <w:ind w:firstLine="420" w:firstLineChars="200"/>
        <w:rPr>
          <w:rFonts w:hint="default" w:hAnsi="Cambria Math"/>
          <w:i w:val="0"/>
          <w:lang w:val="en-US" w:eastAsia="zh-CN"/>
        </w:rPr>
      </w:pPr>
      <m:oMathPara>
        <m:oMath>
          <m:eqArr>
            <m:eqArrPr>
              <m:maxDist m:val="1"/>
              <m:ctrlPr>
                <w:rPr>
                  <w:rFonts w:hint="default" w:hAnsi="Cambria Math"/>
                  <w:i w:val="0"/>
                  <w:lang w:val="en-US" w:eastAsia="zh-CN"/>
                </w:rPr>
              </m:ctrlPr>
            </m:eqArrPr>
            <m:e>
              <m:sSubSup>
                <m:sSubSupPr>
                  <m:ctrlPr>
                    <w:rPr>
                      <w:rFonts w:ascii="Cambria Math" w:hAnsi="Cambria Math"/>
                      <w:i/>
                      <w:lang w:val="en-US"/>
                    </w:rPr>
                  </m:ctrlPr>
                </m:sSubSupPr>
                <m:e>
                  <m:r>
                    <m:rPr/>
                    <w:rPr>
                      <w:rFonts w:ascii="Cambria Math" w:hAnsi="Cambria Math"/>
                      <w:lang w:val="en-US"/>
                    </w:rPr>
                    <m:t>α</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up>
                  <m:r>
                    <m:rPr/>
                    <w:rPr>
                      <w:rFonts w:hint="default" w:ascii="Cambria Math" w:hAnsi="Cambria Math"/>
                      <w:lang w:val="en-US" w:eastAsia="zh-CN"/>
                    </w:rPr>
                    <m:t>(0)</m:t>
                  </m:r>
                  <m:ctrlPr>
                    <w:rPr>
                      <w:rFonts w:ascii="Cambria Math" w:hAnsi="Cambria Math"/>
                      <w:i/>
                      <w:lang w:val="en-US"/>
                    </w:rPr>
                  </m:ctrlPr>
                </m:sup>
              </m:sSubSup>
              <m:r>
                <m:rPr/>
                <w:rPr>
                  <w:rFonts w:hint="default" w:ascii="Cambria Math" w:hAnsi="Cambria Math"/>
                  <w:lang w:val="en-US" w:eastAsia="zh-CN"/>
                </w:rPr>
                <m:t>=</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j=1</m:t>
                      </m:r>
                      <m:ctrlPr>
                        <w:rPr>
                          <w:rFonts w:hint="default" w:ascii="Cambria Math" w:hAnsi="Cambria Math"/>
                          <w:i/>
                          <w:lang w:val="en-US" w:eastAsia="zh-CN"/>
                        </w:rPr>
                      </m:ctrlPr>
                    </m:sub>
                    <m:sup>
                      <m:r>
                        <m:rPr/>
                        <w:rPr>
                          <w:rFonts w:hint="default" w:ascii="Cambria Math" w:hAnsi="Cambria Math"/>
                          <w:lang w:val="en-US" w:eastAsia="zh-CN"/>
                        </w:rPr>
                        <m:t>4</m:t>
                      </m:r>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hint="default" w:ascii="Cambria Math" w:hAnsi="Cambria Math"/>
                              <w:lang w:val="en-US" w:eastAsia="zh-CN"/>
                            </w:rPr>
                            <m:t>A</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ctrlPr>
                        <w:rPr>
                          <w:rFonts w:hint="default" w:ascii="Cambria Math" w:hAnsi="Cambria Math"/>
                          <w:i/>
                          <w:lang w:val="en-US" w:eastAsia="zh-CN"/>
                        </w:rPr>
                      </m:ctrlPr>
                    </m:e>
                  </m:nary>
                  <m:ctrlPr>
                    <w:rPr>
                      <w:rFonts w:hint="default" w:ascii="Cambria Math" w:hAnsi="Cambria Math"/>
                      <w:i/>
                      <w:lang w:val="en-US" w:eastAsia="zh-CN"/>
                    </w:rPr>
                  </m:ctrlPr>
                </m:den>
              </m:f>
              <m:r>
                <m:rPr>
                  <m:sty m:val="p"/>
                </m:rPr>
                <w:rPr>
                  <w:rFonts w:hint="default" w:ascii="Cambria Math" w:hAnsi="Cambria Math"/>
                  <w:lang w:val="en-US" w:eastAsia="zh-CN"/>
                </w:rPr>
                <m:t>#(4)</m:t>
              </m:r>
              <m:ctrlPr>
                <w:rPr>
                  <w:rFonts w:hint="default" w:hAnsi="Cambria Math"/>
                  <w:i w:val="0"/>
                  <w:lang w:val="en-US" w:eastAsia="zh-CN"/>
                </w:rPr>
              </m:ctrlPr>
            </m:e>
          </m:eqArr>
        </m:oMath>
      </m:oMathPara>
    </w:p>
    <w:p w14:paraId="7D7BCAE0">
      <w:pPr>
        <w:rPr>
          <w:rFonts w:hint="eastAsia"/>
          <w:lang w:val="en-US" w:eastAsia="zh-CN"/>
        </w:rPr>
      </w:pPr>
      <w:r>
        <w:rPr>
          <w:rFonts w:hint="eastAsia"/>
          <w:lang w:val="en-US" w:eastAsia="zh-CN"/>
        </w:rPr>
        <w:t>静态基权重反映了各分类器在训练阶段的综合判别能力，准确率越高的分类器在融合中贡献越大。</w:t>
      </w:r>
    </w:p>
    <w:p w14:paraId="515464AA">
      <w:pPr>
        <w:ind w:firstLine="420" w:firstLineChars="200"/>
        <w:rPr>
          <w:rFonts w:hint="eastAsia"/>
          <w:lang w:val="en-US" w:eastAsia="zh-CN"/>
        </w:rPr>
      </w:pPr>
      <w:r>
        <w:rPr>
          <w:rFonts w:hint="eastAsia"/>
          <w:b/>
          <w:bCs/>
          <w:lang w:val="en-US" w:eastAsia="zh-CN"/>
        </w:rPr>
        <w:t>预测熵计算：</w:t>
      </w:r>
      <w:r>
        <w:rPr>
          <w:rFonts w:hint="eastAsia"/>
          <w:lang w:val="en-US" w:eastAsia="zh-CN"/>
        </w:rPr>
        <w:t xml:space="preserve">对于当前输入样本 </w:t>
      </w:r>
      <m:oMath>
        <m:r>
          <m:rPr/>
          <w:rPr>
            <w:rFonts w:hint="default" w:ascii="Cambria Math" w:hAnsi="Cambria Math"/>
            <w:kern w:val="2"/>
            <w:sz w:val="21"/>
            <w:szCs w:val="24"/>
            <w:lang w:val="en-US" w:eastAsia="zh-CN" w:bidi="ar-SA"/>
          </w:rPr>
          <m:t>F</m:t>
        </m:r>
      </m:oMath>
      <w:r>
        <w:rPr>
          <w:rFonts w:hint="eastAsia"/>
          <w:lang w:val="en-US" w:eastAsia="zh-CN"/>
        </w:rPr>
        <w:t xml:space="preserve">，第 </w:t>
      </w:r>
      <m:oMath>
        <m:r>
          <m:rPr/>
          <w:rPr>
            <w:rFonts w:hint="default" w:ascii="Cambria Math" w:hAnsi="Cambria Math"/>
            <w:kern w:val="2"/>
            <w:sz w:val="21"/>
            <w:szCs w:val="24"/>
            <w:lang w:val="en-US" w:eastAsia="zh-CN" w:bidi="ar-SA"/>
          </w:rPr>
          <m:t>k</m:t>
        </m:r>
      </m:oMath>
      <w:r>
        <w:rPr>
          <w:rFonts w:hint="eastAsia" w:hAnsi="Cambria Math"/>
          <w:i w:val="0"/>
          <w:kern w:val="2"/>
          <w:sz w:val="21"/>
          <w:szCs w:val="24"/>
          <w:lang w:val="en-US" w:eastAsia="zh-CN" w:bidi="ar-SA"/>
        </w:rPr>
        <w:t xml:space="preserve"> </w:t>
      </w:r>
      <w:r>
        <w:rPr>
          <w:rFonts w:hint="eastAsia"/>
          <w:lang w:val="en-US" w:eastAsia="zh-CN"/>
        </w:rPr>
        <w:t>个分类器输出后验概率向量，计算其预测熵：</w:t>
      </w:r>
    </w:p>
    <w:p w14:paraId="5410D362">
      <w:pPr>
        <w:ind w:firstLine="420" w:firstLineChars="200"/>
        <w:rPr>
          <w:rFonts w:hint="eastAsia"/>
          <w:lang w:val="en-US" w:eastAsia="zh-CN"/>
        </w:rPr>
      </w:pPr>
      <m:oMathPara>
        <m:oMath>
          <m:eqArr>
            <m:eqArrPr>
              <m:maxDist m:val="1"/>
              <m:ctrlPr>
                <w:rPr>
                  <w:rFonts w:hint="default" w:hAnsi="Cambria Math"/>
                  <w:i w:val="0"/>
                  <w:lang w:val="en-US" w:eastAsia="zh-CN"/>
                </w:rPr>
              </m:ctrlPr>
            </m:eqArrPr>
            <m:e>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m:t>
              </m:r>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c=1</m:t>
                  </m:r>
                  <m:ctrlPr>
                    <w:rPr>
                      <w:rFonts w:hint="default" w:ascii="Cambria Math" w:hAnsi="Cambria Math"/>
                      <w:i/>
                      <w:lang w:val="en-US" w:eastAsia="zh-CN"/>
                    </w:rPr>
                  </m:ctrlPr>
                </m:sub>
                <m:sup>
                  <m:r>
                    <m:rPr/>
                    <w:rPr>
                      <w:rFonts w:hint="default" w:ascii="Cambria Math" w:hAnsi="Cambria Math"/>
                      <w:lang w:val="en-US" w:eastAsia="zh-CN"/>
                    </w:rPr>
                    <m:t>M</m:t>
                  </m:r>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r>
                    <m:rPr/>
                    <w:rPr>
                      <w:rFonts w:hint="default" w:ascii="Cambria Math" w:hAnsi="Cambria Math"/>
                      <w:lang w:val="en-US" w:eastAsia="zh-CN"/>
                    </w:rPr>
                    <m:t>(c|F)</m:t>
                  </m:r>
                  <m:func>
                    <m:funcPr>
                      <m:ctrlPr>
                        <w:rPr>
                          <w:rFonts w:hint="default" w:ascii="Cambria Math" w:hAnsi="Cambria Math"/>
                          <w:i/>
                          <w:lang w:val="en-US" w:eastAsia="zh-CN"/>
                        </w:rPr>
                      </m:ctrlPr>
                    </m:funcPr>
                    <m:fName>
                      <m:sSub>
                        <m:sSubPr>
                          <m:ctrlPr>
                            <w:rPr>
                              <w:rFonts w:hint="default" w:ascii="Cambria Math" w:hAnsi="Cambria Math"/>
                              <w:lang w:val="en-US" w:eastAsia="zh-CN"/>
                            </w:rPr>
                          </m:ctrlPr>
                        </m:sSubPr>
                        <m:e>
                          <m:r>
                            <m:rPr>
                              <m:sty m:val="p"/>
                            </m:rPr>
                            <w:rPr>
                              <w:rFonts w:ascii="Cambria Math" w:hAnsi="Cambria Math"/>
                              <w:lang w:val="en-US"/>
                            </w:rPr>
                            <m:t>log</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i/>
                          <w:lang w:val="en-US" w:eastAsia="zh-CN"/>
                        </w:rPr>
                      </m:ctrlPr>
                    </m:fName>
                    <m:e>
                      <m:sSub>
                        <m:sSubPr>
                          <m:ctrlPr>
                            <w:rPr>
                              <w:rFonts w:hint="default" w:ascii="Cambria Math" w:hAnsi="Cambria Math"/>
                              <w:i/>
                              <w:lang w:val="en-US" w:eastAsia="zh-CN"/>
                            </w:rPr>
                          </m:ctrlPr>
                        </m:sSubPr>
                        <m:e>
                          <m:r>
                            <m:rPr/>
                            <w:rPr>
                              <w:rFonts w:hint="default" w:ascii="Cambria Math" w:hAnsi="Cambria Math"/>
                              <w:lang w:val="en-US" w:eastAsia="zh-CN"/>
                            </w:rPr>
                            <m:t>p</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r>
                        <m:rPr/>
                        <w:rPr>
                          <w:rFonts w:hint="default" w:ascii="Cambria Math" w:hAnsi="Cambria Math"/>
                          <w:lang w:val="en-US" w:eastAsia="zh-CN"/>
                        </w:rPr>
                        <m:t>(c|F)</m:t>
                      </m:r>
                      <m:ctrlPr>
                        <w:rPr>
                          <w:rFonts w:hint="default" w:ascii="Cambria Math" w:hAnsi="Cambria Math"/>
                          <w:i/>
                          <w:lang w:val="en-US" w:eastAsia="zh-CN"/>
                        </w:rPr>
                      </m:ctrlPr>
                    </m:e>
                  </m:func>
                  <m:ctrlPr>
                    <w:rPr>
                      <w:rFonts w:hint="default" w:ascii="Cambria Math" w:hAnsi="Cambria Math"/>
                      <w:i/>
                      <w:lang w:val="en-US" w:eastAsia="zh-CN"/>
                    </w:rPr>
                  </m:ctrlPr>
                </m:e>
              </m:nary>
              <m:r>
                <m:rPr>
                  <m:sty m:val="p"/>
                </m:rPr>
                <w:rPr>
                  <w:rFonts w:hint="default" w:ascii="Cambria Math" w:hAnsi="Cambria Math"/>
                  <w:lang w:val="en-US" w:eastAsia="zh-CN"/>
                </w:rPr>
                <m:t>#(5)</m:t>
              </m:r>
              <m:ctrlPr>
                <w:rPr>
                  <w:rFonts w:hint="default" w:hAnsi="Cambria Math"/>
                  <w:i w:val="0"/>
                  <w:lang w:val="en-US" w:eastAsia="zh-CN"/>
                </w:rPr>
              </m:ctrlPr>
            </m:e>
          </m:eqArr>
        </m:oMath>
      </m:oMathPara>
    </w:p>
    <w:p w14:paraId="36D16D51">
      <w:pPr>
        <w:rPr>
          <w:rFonts w:hint="eastAsia"/>
          <w:lang w:val="en-US" w:eastAsia="zh-CN"/>
        </w:rPr>
      </w:pPr>
      <w:r>
        <w:rPr>
          <w:rFonts w:hint="eastAsia"/>
          <w:lang w:val="en-US" w:eastAsia="zh-CN"/>
        </w:rPr>
        <w:t xml:space="preserve">预测熵 </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 xml:space="preserve"> </w:t>
      </w:r>
      <w:r>
        <w:rPr>
          <w:rFonts w:hint="eastAsia"/>
          <w:lang w:val="en-US" w:eastAsia="zh-CN"/>
        </w:rPr>
        <w:t>度量分类器对当前样本预测的不确定性。</w:t>
      </w:r>
      <m:oMath>
        <m:sSub>
          <m:sSubPr>
            <m:ctrlPr>
              <w:rPr>
                <w:rFonts w:ascii="Cambria Math" w:hAnsi="Cambria Math"/>
                <w:i/>
                <w:lang w:val="en-US"/>
              </w:rPr>
            </m:ctrlPr>
          </m:sSubPr>
          <m:e>
            <m:r>
              <m:rPr/>
              <w:rPr>
                <w:rFonts w:hint="default" w:ascii="Cambria Math" w:hAnsi="Cambria Math"/>
                <w:lang w:val="en-US" w:eastAsia="zh-CN"/>
              </w:rPr>
              <m:t>H</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 xml:space="preserve"> </w:t>
      </w:r>
      <w:r>
        <w:rPr>
          <w:rFonts w:hint="eastAsia"/>
          <w:lang w:val="en-US" w:eastAsia="zh-CN"/>
        </w:rPr>
        <w:t>越小，表明分类器对某一类别的置信越集中；反之越大则说明分类器对当前样本判断较为模糊，应赋予较低权重。</w:t>
      </w:r>
    </w:p>
    <w:p w14:paraId="365D5D1C">
      <w:pPr>
        <w:ind w:firstLine="420" w:firstLineChars="200"/>
        <w:rPr>
          <w:rFonts w:hint="eastAsia"/>
          <w:lang w:val="en-US" w:eastAsia="zh-CN"/>
        </w:rPr>
      </w:pPr>
      <w:r>
        <w:rPr>
          <w:rFonts w:hint="eastAsia"/>
          <w:b/>
          <w:bCs/>
          <w:lang w:val="en-US" w:eastAsia="zh-CN"/>
        </w:rPr>
        <w:t>动态置信因子：</w:t>
      </w:r>
      <w:r>
        <w:rPr>
          <w:rFonts w:hint="eastAsia"/>
          <w:lang w:val="en-US" w:eastAsia="zh-CN"/>
        </w:rPr>
        <w:t>基于预测熵定义动态置信因子：</w:t>
      </w:r>
    </w:p>
    <w:p w14:paraId="48A197E9">
      <w:pPr>
        <w:rPr>
          <w:rFonts w:hint="default" w:hAnsi="Cambria Math" w:cs="Cambria Math"/>
          <w:b w:val="0"/>
          <w:i w:val="0"/>
          <w:lang w:val="en-US" w:eastAsia="zh-CN"/>
        </w:rPr>
      </w:pPr>
      <m:oMathPara>
        <m:oMath>
          <m:eqArr>
            <m:eqArrPr>
              <m:maxDist m:val="1"/>
              <m:ctrlPr>
                <w:rPr>
                  <w:rFonts w:hint="default" w:hAnsi="Cambria Math" w:cs="Cambria Math"/>
                  <w:b w:val="0"/>
                  <w:i w:val="0"/>
                  <w:lang w:val="en-US" w:eastAsia="zh-CN"/>
                </w:rPr>
              </m:ctrlPr>
            </m:eqArrPr>
            <m:e>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=exp(−</m:t>
              </m:r>
              <m:r>
                <m:rPr/>
                <w:rPr>
                  <w:rFonts w:hint="default" w:ascii="Cambria Math" w:hAnsi="Cambria Math" w:cs="Cambria Math"/>
                  <w:lang w:val="en-US" w:eastAsia="zh-CN"/>
                </w:rPr>
                <m:t>γ∙</m:t>
              </m:r>
              <m:sSub>
                <m:sSubPr>
                  <m:ctrlPr>
                    <w:rPr>
                      <w:rFonts w:hint="default" w:ascii="Cambria Math" w:hAnsi="Cambria Math" w:cs="Cambria Math"/>
                      <w:b w:val="0"/>
                      <w:i/>
                      <w:lang w:val="en-US" w:eastAsia="zh-CN"/>
                    </w:rPr>
                  </m:ctrlPr>
                </m:sSubPr>
                <m:e>
                  <m:r>
                    <m:rPr/>
                    <w:rPr>
                      <w:rFonts w:hint="default" w:ascii="Cambria Math" w:hAnsi="Cambria Math" w:cs="Cambria Math"/>
                      <w:lang w:val="en-US" w:eastAsia="zh-CN"/>
                    </w:rPr>
                    <m:t>H</m:t>
                  </m:r>
                  <m:ctrlPr>
                    <w:rPr>
                      <w:rFonts w:hint="default" w:ascii="Cambria Math" w:hAnsi="Cambria Math" w:cs="Cambria Math"/>
                      <w:b w:val="0"/>
                      <w:i/>
                      <w:lang w:val="en-US" w:eastAsia="zh-CN"/>
                    </w:rPr>
                  </m:ctrlPr>
                </m:e>
                <m:sub>
                  <m:r>
                    <m:rPr/>
                    <w:rPr>
                      <w:rFonts w:hint="default" w:ascii="Cambria Math" w:hAnsi="Cambria Math" w:cs="Cambria Math"/>
                      <w:lang w:val="en-US" w:eastAsia="zh-CN"/>
                    </w:rPr>
                    <m:t>k</m:t>
                  </m:r>
                  <m:ctrlPr>
                    <w:rPr>
                      <w:rFonts w:hint="default" w:ascii="Cambria Math" w:hAnsi="Cambria Math" w:cs="Cambria Math"/>
                      <w:b w:val="0"/>
                      <w:i/>
                      <w:lang w:val="en-US" w:eastAsia="zh-CN"/>
                    </w:rPr>
                  </m:ctrlPr>
                </m:sub>
              </m:sSub>
              <m:r>
                <m:rPr/>
                <w:rPr>
                  <w:rFonts w:hint="default" w:ascii="Cambria Math" w:hAnsi="Cambria Math" w:cs="Cambria Math"/>
                  <w:lang w:val="en-US" w:eastAsia="zh-CN"/>
                </w:rPr>
                <m:t>)</m:t>
              </m:r>
              <m:r>
                <m:rPr>
                  <m:sty m:val="p"/>
                </m:rPr>
                <w:rPr>
                  <w:rFonts w:hint="default" w:ascii="Cambria Math" w:hAnsi="Cambria Math" w:cs="Cambria Math"/>
                  <w:lang w:val="en-US" w:eastAsia="zh-CN"/>
                </w:rPr>
                <m:t>#(6)</m:t>
              </m:r>
              <m:ctrlPr>
                <w:rPr>
                  <w:rFonts w:hint="default" w:hAnsi="Cambria Math" w:cs="Cambria Math"/>
                  <w:b w:val="0"/>
                  <w:i w:val="0"/>
                  <w:lang w:val="en-US" w:eastAsia="zh-CN"/>
                </w:rPr>
              </m:ctrlPr>
            </m:e>
          </m:eqArr>
        </m:oMath>
      </m:oMathPara>
    </w:p>
    <w:p w14:paraId="1C151E87">
      <w:pPr>
        <w:rPr>
          <w:rFonts w:hint="eastAsia"/>
          <w:lang w:val="en-US" w:eastAsia="zh-CN"/>
        </w:rPr>
      </w:pPr>
      <w:r>
        <w:rPr>
          <w:rFonts w:hint="eastAsia"/>
          <w:lang w:val="en-US" w:eastAsia="zh-CN"/>
        </w:rPr>
        <w:t xml:space="preserve">其中 </w:t>
      </w:r>
      <m:oMath>
        <m:r>
          <m:rPr/>
          <w:rPr>
            <w:rFonts w:ascii="Cambria Math" w:hAnsi="Cambria Math"/>
            <w:lang w:val="en-US"/>
          </w:rPr>
          <m:t>γ</m:t>
        </m:r>
        <m:r>
          <m:rPr/>
          <w:rPr>
            <w:rFonts w:hint="default" w:ascii="Cambria Math" w:hAnsi="Cambria Math"/>
            <w:lang w:val="en-US" w:eastAsia="zh-CN"/>
          </w:rPr>
          <m:t>&gt;0</m:t>
        </m:r>
      </m:oMath>
      <w:r>
        <w:rPr>
          <w:rFonts w:hint="eastAsia" w:hAnsi="Cambria Math"/>
          <w:i w:val="0"/>
          <w:lang w:val="en-US" w:eastAsia="zh-CN"/>
        </w:rPr>
        <w:t xml:space="preserve"> </w:t>
      </w:r>
      <w:r>
        <w:rPr>
          <w:rFonts w:hint="eastAsia"/>
          <w:lang w:val="en-US" w:eastAsia="zh-CN"/>
        </w:rPr>
        <w:t>为超参数，控制置信因子对熵值的敏感程度。将静态基权重与动态置信因子结合，计算最终联合权重：</w:t>
      </w:r>
    </w:p>
    <w:p w14:paraId="6BEC3DD7">
      <w:pPr>
        <w:ind w:firstLine="420" w:firstLineChars="200"/>
        <w:rPr>
          <w:rFonts w:hint="default" w:hAnsi="Cambria Math"/>
          <w:i w:val="0"/>
          <w:lang w:val="en-US" w:eastAsia="zh-CN"/>
        </w:rPr>
      </w:pPr>
      <m:oMathPara>
        <m:oMath>
          <m:eqArr>
            <m:eqArrPr>
              <m:maxDist m:val="1"/>
              <m:ctrlPr>
                <w:rPr>
                  <w:rFonts w:hint="default" w:hAnsi="Cambria Math"/>
                  <w:i w:val="0"/>
                  <w:lang w:val="en-US" w:eastAsia="zh-CN"/>
                </w:rPr>
              </m:ctrlPr>
            </m:eqArrPr>
            <m:e>
              <m:sSub>
                <m:sSubPr>
                  <m:ctrlPr>
                    <w:rPr>
                      <w:rFonts w:ascii="Cambria Math" w:hAnsi="Cambria Math"/>
                      <w:i/>
                      <w:lang w:val="en-US"/>
                    </w:rPr>
                  </m:ctrlPr>
                </m:sSubPr>
                <m:e>
                  <m:r>
                    <m:rPr/>
                    <w:rPr>
                      <w:rFonts w:ascii="Cambria Math" w:hAnsi="Cambria Math"/>
                      <w:lang w:val="en-US"/>
                    </w:rPr>
                    <m:t>α</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ascii="Cambria Math" w:hAnsi="Cambria Math"/>
                          <w:lang w:val="en-US"/>
                        </w:rPr>
                        <m:t>α</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up>
                      <m:r>
                        <m:rPr/>
                        <w:rPr>
                          <w:rFonts w:hint="default" w:ascii="Cambria Math" w:hAnsi="Cambria Math"/>
                          <w:lang w:val="en-US" w:eastAsia="zh-CN"/>
                        </w:rPr>
                        <m:t>(0)</m:t>
                      </m:r>
                      <m:ctrlPr>
                        <w:rPr>
                          <w:rFonts w:hint="default" w:ascii="Cambria Math" w:hAnsi="Cambria Math"/>
                          <w:i/>
                          <w:lang w:val="en-US" w:eastAsia="zh-CN"/>
                        </w:rPr>
                      </m:ctrlPr>
                    </m:sup>
                  </m:sSubSup>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j=1</m:t>
                      </m:r>
                      <m:ctrlPr>
                        <w:rPr>
                          <w:rFonts w:hint="default" w:ascii="Cambria Math" w:hAnsi="Cambria Math"/>
                          <w:i/>
                          <w:lang w:val="en-US" w:eastAsia="zh-CN"/>
                        </w:rPr>
                      </m:ctrlPr>
                    </m:sub>
                    <m:sup>
                      <m:r>
                        <m:rPr/>
                        <w:rPr>
                          <w:rFonts w:hint="default" w:ascii="Cambria Math" w:hAnsi="Cambria Math"/>
                          <w:lang w:val="en-US" w:eastAsia="zh-CN"/>
                        </w:rPr>
                        <m:t>K</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ascii="Cambria Math" w:hAnsi="Cambria Math"/>
                              <w:lang w:val="en-US"/>
                            </w:rPr>
                            <m:t>α</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up>
                          <m:r>
                            <m:rPr/>
                            <w:rPr>
                              <w:rFonts w:hint="default" w:ascii="Cambria Math" w:hAnsi="Cambria Math"/>
                              <w:lang w:val="en-US" w:eastAsia="zh-CN"/>
                            </w:rPr>
                            <m:t>(0)</m:t>
                          </m:r>
                          <m:ctrlPr>
                            <w:rPr>
                              <w:rFonts w:hint="default" w:ascii="Cambria Math" w:hAnsi="Cambria Math"/>
                              <w:i/>
                              <w:lang w:val="en-US" w:eastAsia="zh-CN"/>
                            </w:rPr>
                          </m:ctrlPr>
                        </m:sup>
                      </m:sSubSup>
                      <m:r>
                        <m:rPr/>
                        <w:rPr>
                          <w:rFonts w:ascii="Cambria Math" w:hAnsi="Cambria Math"/>
                          <w:lang w:val="en-US"/>
                        </w:rPr>
                        <m:t>∙</m:t>
                      </m:r>
                      <m:sSub>
                        <m:sSubPr>
                          <m:ctrlPr>
                            <w:rPr>
                              <w:rFonts w:ascii="Cambria Math" w:hAnsi="Cambria Math"/>
                              <w:i/>
                              <w:lang w:val="en-US"/>
                            </w:rPr>
                          </m:ctrlPr>
                        </m:sSubPr>
                        <m:e>
                          <m:r>
                            <m:rPr/>
                            <w:rPr>
                              <w:rFonts w:ascii="Cambria Math" w:hAnsi="Cambria Math"/>
                              <w:lang w:val="en-US"/>
                            </w:rPr>
                            <m:t>β</m:t>
                          </m:r>
                          <m:ctrlPr>
                            <w:rPr>
                              <w:rFonts w:ascii="Cambria Math" w:hAnsi="Cambria Math"/>
                              <w:i/>
                              <w:lang w:val="en-US"/>
                            </w:rPr>
                          </m:ctrlPr>
                        </m:e>
                        <m:sub>
                          <m:r>
                            <m:rPr/>
                            <w:rPr>
                              <w:rFonts w:hint="default" w:ascii="Cambria Math" w:hAnsi="Cambria Math"/>
                              <w:lang w:val="en-US" w:eastAsia="zh-CN"/>
                            </w:rPr>
                            <m:t>j</m:t>
                          </m:r>
                          <m:ctrlPr>
                            <w:rPr>
                              <w:rFonts w:ascii="Cambria Math" w:hAnsi="Cambria Math"/>
                              <w:i/>
                              <w:lang w:val="en-US"/>
                            </w:rPr>
                          </m:ctrlPr>
                        </m:sub>
                      </m:sSub>
                      <m:ctrlPr>
                        <w:rPr>
                          <w:rFonts w:hint="default" w:ascii="Cambria Math" w:hAnsi="Cambria Math"/>
                          <w:i/>
                          <w:lang w:val="en-US" w:eastAsia="zh-CN"/>
                        </w:rPr>
                      </m:ctrlPr>
                    </m:e>
                  </m:nary>
                  <m:ctrlPr>
                    <w:rPr>
                      <w:rFonts w:hint="default" w:ascii="Cambria Math" w:hAnsi="Cambria Math"/>
                      <w:i/>
                      <w:lang w:val="en-US" w:eastAsia="zh-CN"/>
                    </w:rPr>
                  </m:ctrlPr>
                </m:den>
              </m:f>
              <m:r>
                <m:rPr>
                  <m:sty m:val="p"/>
                </m:rPr>
                <w:rPr>
                  <w:rFonts w:hint="default" w:ascii="Cambria Math" w:hAnsi="Cambria Math"/>
                  <w:lang w:val="en-US" w:eastAsia="zh-CN"/>
                </w:rPr>
                <m:t>#(7)</m:t>
              </m:r>
              <m:ctrlPr>
                <w:rPr>
                  <w:rFonts w:hint="default" w:hAnsi="Cambria Math"/>
                  <w:i w:val="0"/>
                  <w:lang w:val="en-US" w:eastAsia="zh-CN"/>
                </w:rPr>
              </m:ctrlPr>
            </m:e>
          </m:eqArr>
        </m:oMath>
      </m:oMathPara>
    </w:p>
    <w:p w14:paraId="35CE3D62">
      <w:pPr>
        <w:rPr>
          <w:rFonts w:hint="eastAsia"/>
          <w:lang w:val="en-US" w:eastAsia="zh-CN"/>
        </w:rPr>
      </w:pPr>
      <w:r>
        <w:rPr>
          <w:rFonts w:hint="eastAsia"/>
          <w:lang w:val="en-US" w:eastAsia="zh-CN"/>
        </w:rPr>
        <w:t xml:space="preserve">联合权重 </w:t>
      </w:r>
      <m:oMath>
        <m:sSub>
          <m:sSubPr>
            <m:ctrlPr>
              <w:rPr>
                <w:rFonts w:ascii="Cambria Math" w:hAnsi="Cambria Math"/>
                <w:i/>
                <w:lang w:val="en-US"/>
              </w:rPr>
            </m:ctrlPr>
          </m:sSubPr>
          <m:e>
            <m:r>
              <m:rPr/>
              <w:rPr>
                <w:rFonts w:ascii="Cambria Math" w:hAnsi="Cambria Math"/>
                <w:lang w:val="en-US"/>
              </w:rPr>
              <m:t>α</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oMath>
      <w:r>
        <w:rPr>
          <w:rFonts w:hint="eastAsia" w:hAnsi="Cambria Math"/>
          <w:i w:val="0"/>
          <w:lang w:val="en-US" w:eastAsia="zh-CN"/>
        </w:rPr>
        <w:t xml:space="preserve"> </w:t>
      </w:r>
      <w:r>
        <w:rPr>
          <w:rFonts w:hint="eastAsia"/>
          <w:lang w:val="en-US" w:eastAsia="zh-CN"/>
        </w:rPr>
        <w:t>同时考虑了分类器的历史准确率（静态稳健性）与当前样本的预测确定性（动态置信度），使权重分配兼顾全局训练性能与局部样本信息。</w:t>
      </w:r>
    </w:p>
    <w:p w14:paraId="2005C065">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4.3.3  加权概率融合与设备身份输出</w:t>
      </w:r>
    </w:p>
    <w:p w14:paraId="07593F57">
      <w:pPr>
        <w:ind w:firstLine="420" w:firstLineChars="200"/>
        <w:rPr>
          <w:rFonts w:hint="eastAsia"/>
          <w:lang w:val="en-US" w:eastAsia="zh-CN"/>
        </w:rPr>
      </w:pPr>
      <w:r>
        <w:rPr>
          <w:rFonts w:hint="eastAsia"/>
          <w:lang w:val="en-US" w:eastAsia="zh-CN"/>
        </w:rPr>
        <w:t>对4个基础分类器输出的后验概率向量按联合权重进行加权求和，得到集成后验概率：</w:t>
      </w:r>
    </w:p>
    <w:p w14:paraId="3ED24A3E">
      <w:pPr>
        <w:rPr>
          <w:rFonts w:hint="default" w:hAnsi="Cambria Math"/>
          <w:i w:val="0"/>
          <w:lang w:val="en-US" w:eastAsia="zh-CN"/>
        </w:rPr>
      </w:pPr>
      <m:oMathPara>
        <m:oMath>
          <m:eqArr>
            <m:eqArrPr>
              <m:maxDist m:val="1"/>
              <m:ctrlPr>
                <w:rPr>
                  <w:rFonts w:hint="default" w:hAnsi="Cambria Math"/>
                  <w:i w:val="0"/>
                  <w:lang w:val="en-US" w:eastAsia="zh-CN"/>
                </w:rPr>
              </m:ctrlPr>
            </m:eqArrPr>
            <m:e>
              <m:acc>
                <m:accPr>
                  <m:chr m:val="̅"/>
                  <m:ctrlPr>
                    <w:rPr>
                      <w:rFonts w:ascii="Cambria Math" w:hAnsi="Cambria Math"/>
                      <w:i/>
                      <w:lang w:val="en-US"/>
                    </w:rPr>
                  </m:ctrlPr>
                </m:accPr>
                <m:e>
                  <m:r>
                    <m:rPr/>
                    <w:rPr>
                      <w:rFonts w:hint="default" w:ascii="Cambria Math" w:hAnsi="Cambria Math"/>
                      <w:lang w:val="en-US" w:eastAsia="zh-CN"/>
                    </w:rPr>
                    <m:t>p</m:t>
                  </m:r>
                  <m:ctrlPr>
                    <w:rPr>
                      <w:rFonts w:ascii="Cambria Math" w:hAnsi="Cambria Math"/>
                      <w:i/>
                      <w:lang w:val="en-US"/>
                    </w:rPr>
                  </m:ctrlPr>
                </m:e>
              </m:acc>
              <m:r>
                <m:rPr/>
                <w:rPr>
                  <w:rFonts w:hint="default" w:ascii="Cambria Math" w:hAnsi="Cambria Math"/>
                  <w:lang w:val="en-US" w:eastAsia="zh-CN"/>
                </w:rPr>
                <m:t>(c|F)=</m:t>
              </m:r>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4</m:t>
                  </m:r>
                  <m:ctrlPr>
                    <w:rPr>
                      <w:rFonts w:hint="default" w:ascii="Cambria Math" w:hAnsi="Cambria Math"/>
                      <w:i/>
                      <w:lang w:val="en-US" w:eastAsia="zh-CN"/>
                    </w:rPr>
                  </m:ctrlPr>
                </m:sup>
                <m:e>
                  <m:sSub>
                    <m:sSubPr>
                      <m:ctrlPr>
                        <w:rPr>
                          <w:rFonts w:hint="default" w:ascii="Cambria Math" w:hAnsi="Cambria Math"/>
                          <w:i/>
                          <w:lang w:val="en-US" w:eastAsia="zh-CN"/>
                        </w:rPr>
                      </m:ctrlPr>
                    </m:sSubPr>
                    <m:e>
                      <m:r>
                        <m:rPr/>
                        <w:rPr>
                          <w:rFonts w:ascii="Cambria Math" w:hAnsi="Cambria Math"/>
                          <w:lang w:val="en-US"/>
                        </w:rPr>
                        <m:t>α</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r>
                    <m:rPr/>
                    <w:rPr>
                      <w:rFonts w:ascii="Cambria Math" w:hAnsi="Cambria Math"/>
                      <w:lang w:val="en-US"/>
                    </w:rPr>
                    <m:t>∙</m:t>
                  </m:r>
                  <m:sSub>
                    <m:sSubPr>
                      <m:ctrlPr>
                        <w:rPr>
                          <w:rFonts w:ascii="Cambria Math" w:hAnsi="Cambria Math"/>
                          <w:i/>
                          <w:lang w:val="en-US"/>
                        </w:rPr>
                      </m:ctrlPr>
                    </m:sSubPr>
                    <m:e>
                      <m:r>
                        <m:rPr/>
                        <w:rPr>
                          <w:rFonts w:hint="default" w:ascii="Cambria Math" w:hAnsi="Cambria Math"/>
                          <w:lang w:val="en-US" w:eastAsia="zh-CN"/>
                        </w:rPr>
                        <m:t>p</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(c|F)</m:t>
                  </m:r>
                  <m:ctrlPr>
                    <w:rPr>
                      <w:rFonts w:hint="default" w:ascii="Cambria Math" w:hAnsi="Cambria Math"/>
                      <w:i/>
                      <w:lang w:val="en-US" w:eastAsia="zh-CN"/>
                    </w:rPr>
                  </m:ctrlPr>
                </m:e>
              </m:nary>
              <m:r>
                <m:rPr>
                  <m:sty m:val="p"/>
                </m:rPr>
                <w:rPr>
                  <w:rFonts w:hint="default" w:ascii="Cambria Math" w:hAnsi="Cambria Math"/>
                  <w:lang w:val="en-US" w:eastAsia="zh-CN"/>
                </w:rPr>
                <m:t>#(8)</m:t>
              </m:r>
              <m:ctrlPr>
                <w:rPr>
                  <w:rFonts w:hint="default" w:hAnsi="Cambria Math"/>
                  <w:i w:val="0"/>
                  <w:lang w:val="en-US" w:eastAsia="zh-CN"/>
                </w:rPr>
              </m:ctrlPr>
            </m:e>
          </m:eqArr>
        </m:oMath>
      </m:oMathPara>
    </w:p>
    <w:p w14:paraId="684A657A">
      <w:pPr>
        <w:rPr>
          <w:rFonts w:hint="eastAsia"/>
          <w:lang w:val="en-US" w:eastAsia="zh-CN"/>
        </w:rPr>
      </w:pPr>
      <w:r>
        <w:rPr>
          <w:rFonts w:hint="eastAsia"/>
          <w:lang w:val="en-US" w:eastAsia="zh-CN"/>
        </w:rPr>
        <w:t>集成后验概率综合了所有基础分类器对各类别的判断，并按照可靠性对各分类器进行了差异化加权，有效降低了单一分类器失误对最终结果的影响。取集成后验概率最大的设备类别作为识别输出：</w:t>
      </w:r>
    </w:p>
    <w:p w14:paraId="602EDF54">
      <w:pPr>
        <w:rPr>
          <w:rFonts w:hint="default" w:hAnsi="Cambria Math"/>
          <w:i w:val="0"/>
          <w:lang w:val="en-US" w:eastAsia="zh-CN"/>
        </w:rPr>
      </w:pPr>
      <m:oMathPara>
        <m:oMath>
          <m:eqArr>
            <m:eqArrPr>
              <m:maxDist m:val="1"/>
              <m:ctrlPr>
                <w:rPr>
                  <w:rFonts w:hint="default" w:hAnsi="Cambria Math"/>
                  <w:i w:val="0"/>
                  <w:lang w:val="en-US" w:eastAsia="zh-CN"/>
                </w:rPr>
              </m:ctrlPr>
            </m:eqArrPr>
            <m:e>
              <m:acc>
                <m:accPr>
                  <m:ctrlPr>
                    <w:rPr>
                      <w:rFonts w:ascii="Cambria Math" w:hAnsi="Cambria Math"/>
                      <w:i/>
                      <w:lang w:val="en-US"/>
                    </w:rPr>
                  </m:ctrlPr>
                </m:accPr>
                <m:e>
                  <m:r>
                    <m:rPr/>
                    <w:rPr>
                      <w:rFonts w:hint="default" w:ascii="Cambria Math" w:hAnsi="Cambria Math"/>
                      <w:lang w:val="en-US" w:eastAsia="zh-CN"/>
                    </w:rPr>
                    <m:t>c</m:t>
                  </m:r>
                  <m:ctrlPr>
                    <w:rPr>
                      <w:rFonts w:ascii="Cambria Math" w:hAnsi="Cambria Math"/>
                      <w:i/>
                      <w:lang w:val="en-US"/>
                    </w:rPr>
                  </m:ctrlPr>
                </m:e>
              </m:acc>
              <m:r>
                <m:rPr/>
                <w:rPr>
                  <w:rFonts w:hint="default" w:ascii="Cambria Math" w:hAnsi="Cambria Math"/>
                  <w:lang w:val="en-US" w:eastAsia="zh-CN"/>
                </w:rPr>
                <m:t>=</m:t>
              </m:r>
              <m:func>
                <m:funcPr>
                  <m:ctrlPr>
                    <w:rPr>
                      <w:rFonts w:hint="default" w:ascii="Cambria Math" w:hAnsi="Cambria Math"/>
                      <w:i/>
                      <w:lang w:val="en-US" w:eastAsia="zh-CN"/>
                    </w:rPr>
                  </m:ctrlPr>
                </m:funcPr>
                <m:fName>
                  <m:limLow>
                    <m:limLowPr>
                      <m:ctrlPr>
                        <w:rPr>
                          <w:rFonts w:hint="default" w:ascii="Cambria Math" w:hAnsi="Cambria Math"/>
                          <w:lang w:val="en-US" w:eastAsia="zh-CN"/>
                        </w:rPr>
                      </m:ctrlPr>
                    </m:limLowPr>
                    <m:e>
                      <m:r>
                        <m:rPr>
                          <m:sty m:val="p"/>
                        </m:rPr>
                        <w:rPr>
                          <w:rFonts w:hint="default" w:ascii="Cambria Math" w:hAnsi="Cambria Math"/>
                          <w:lang w:val="en-US" w:eastAsia="zh-CN"/>
                        </w:rPr>
                        <m:t>arg</m:t>
                      </m:r>
                      <m:r>
                        <m:rPr>
                          <m:sty m:val="p"/>
                        </m:rPr>
                        <w:rPr>
                          <w:rFonts w:ascii="Cambria Math" w:hAnsi="Cambria Math"/>
                          <w:lang w:val="en-US"/>
                        </w:rPr>
                        <m:t>max</m:t>
                      </m:r>
                      <m:ctrlPr>
                        <w:rPr>
                          <w:rFonts w:hint="default" w:ascii="Cambria Math" w:hAnsi="Cambria Math"/>
                          <w:i/>
                          <w:lang w:val="en-US" w:eastAsia="zh-CN"/>
                        </w:rPr>
                      </m:ctrlPr>
                    </m:e>
                    <m:lim>
                      <m:r>
                        <m:rPr/>
                        <w:rPr>
                          <w:rFonts w:hint="default" w:ascii="Cambria Math" w:hAnsi="Cambria Math"/>
                          <w:lang w:val="en-US" w:eastAsia="zh-CN"/>
                        </w:rPr>
                        <m:t>c</m:t>
                      </m:r>
                      <m:r>
                        <m:rPr/>
                        <w:rPr>
                          <w:rFonts w:ascii="Cambria Math" w:hAnsi="Cambria Math"/>
                          <w:lang w:val="en-US"/>
                        </w:rPr>
                        <m:t>∈</m:t>
                      </m:r>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,M</m:t>
                      </m:r>
                      <m:ctrlPr>
                        <w:rPr>
                          <w:rFonts w:hint="default" w:ascii="Cambria Math" w:hAnsi="Cambria Math"/>
                          <w:i/>
                          <w:lang w:val="en-US" w:eastAsia="zh-CN"/>
                        </w:rPr>
                      </m:ctrlPr>
                    </m:lim>
                  </m:limLow>
                  <m:ctrlPr>
                    <w:rPr>
                      <w:rFonts w:hint="default" w:ascii="Cambria Math" w:hAnsi="Cambria Math"/>
                      <w:i/>
                      <w:lang w:val="en-US" w:eastAsia="zh-CN"/>
                    </w:rPr>
                  </m:ctrlPr>
                </m:fName>
                <m:e>
                  <m:acc>
                    <m:accPr>
                      <m:chr m:val="̅"/>
                      <m:ctrlPr>
                        <w:rPr>
                          <w:rFonts w:ascii="Cambria Math" w:hAnsi="Cambria Math"/>
                          <w:i/>
                          <w:lang w:val="en-US"/>
                        </w:rPr>
                      </m:ctrlPr>
                    </m:accPr>
                    <m:e>
                      <m:r>
                        <m:rPr/>
                        <w:rPr>
                          <w:rFonts w:hint="default" w:ascii="Cambria Math" w:hAnsi="Cambria Math"/>
                          <w:lang w:val="en-US" w:eastAsia="zh-CN"/>
                        </w:rPr>
                        <m:t>p</m:t>
                      </m:r>
                      <m:ctrlPr>
                        <w:rPr>
                          <w:rFonts w:ascii="Cambria Math" w:hAnsi="Cambria Math"/>
                          <w:i/>
                          <w:lang w:val="en-US"/>
                        </w:rPr>
                      </m:ctrlPr>
                    </m:e>
                  </m:acc>
                  <m:r>
                    <m:rPr/>
                    <w:rPr>
                      <w:rFonts w:hint="default" w:ascii="Cambria Math" w:hAnsi="Cambria Math"/>
                      <w:lang w:val="en-US" w:eastAsia="zh-CN"/>
                    </w:rPr>
                    <m:t>(c|F)</m:t>
                  </m:r>
                  <m:ctrlPr>
                    <w:rPr>
                      <w:rFonts w:hint="default" w:ascii="Cambria Math" w:hAnsi="Cambria Math"/>
                      <w:i/>
                      <w:lang w:val="en-US" w:eastAsia="zh-CN"/>
                    </w:rPr>
                  </m:ctrlPr>
                </m:e>
              </m:func>
              <m:r>
                <m:rPr>
                  <m:sty m:val="p"/>
                </m:rPr>
                <w:rPr>
                  <w:rFonts w:hint="default" w:ascii="Cambria Math" w:hAnsi="Cambria Math"/>
                  <w:lang w:val="en-US" w:eastAsia="zh-CN"/>
                </w:rPr>
                <m:t>#(9)</m:t>
              </m:r>
              <m:ctrlPr>
                <w:rPr>
                  <w:rFonts w:hint="default" w:hAnsi="Cambria Math"/>
                  <w:i w:val="0"/>
                  <w:lang w:val="en-US" w:eastAsia="zh-CN"/>
                </w:rPr>
              </m:ctrlPr>
            </m:e>
          </m:eqArr>
        </m:oMath>
      </m:oMathPara>
    </w:p>
    <w:p w14:paraId="0F939FE2">
      <w:pPr>
        <w:spacing w:before="156" w:beforeLines="50" w:after="156" w:afterLines="50"/>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4.3.4  基于置信度的未知设备拒识机制</w:t>
      </w:r>
    </w:p>
    <w:p w14:paraId="0CAEAB14">
      <w:pPr>
        <w:ind w:firstLine="420" w:firstLineChars="200"/>
        <w:rPr>
          <w:rFonts w:hint="eastAsia"/>
          <w:lang w:val="en-US" w:eastAsia="zh-CN"/>
        </w:rPr>
      </w:pPr>
      <w:r>
        <w:rPr>
          <w:rFonts w:hint="eastAsia"/>
          <w:lang w:val="en-US" w:eastAsia="zh-CN"/>
        </w:rPr>
        <w:t>在实际部署中，接收端可能收到未注册设备的信号，系统需要具备对未知设备的拒识能力。为此，在输出设备身份之前，对集成后验概率进行双阈值拒识检验。定义类间置信差：</w:t>
      </w:r>
    </w:p>
    <w:p w14:paraId="619B97C7">
      <w:pPr>
        <w:rPr>
          <w:rFonts w:hint="default" w:hAnsi="Cambria Math"/>
          <w:i w:val="0"/>
          <w:lang w:val="en-US" w:eastAsia="zh-CN"/>
        </w:rPr>
      </w:pPr>
      <m:oMathPara>
        <m:oMath>
          <m:eqArr>
            <m:eqArrPr>
              <m:maxDist m:val="1"/>
              <m:ctrlPr>
                <w:rPr>
                  <w:rFonts w:hint="default" w:hAnsi="Cambria Math"/>
                  <w:i w:val="0"/>
                  <w:lang w:val="en-US" w:eastAsia="zh-CN"/>
                </w:rPr>
              </m:ctrlPr>
            </m:eqArrPr>
            <m:e>
              <m:r>
                <m:rPr/>
                <w:rPr>
                  <w:rFonts w:ascii="Cambria Math" w:hAnsi="Cambria Math"/>
                  <w:lang w:val="en-US"/>
                </w:rPr>
                <m:t>∆</m:t>
              </m:r>
              <m:r>
                <m:rPr/>
                <w:rPr>
                  <w:rFonts w:hint="default" w:ascii="Cambria Math" w:hAnsi="Cambria Math"/>
                  <w:lang w:val="en-US" w:eastAsia="zh-CN"/>
                </w:rPr>
                <m:t>p=</m:t>
              </m:r>
              <m:acc>
                <m:accPr>
                  <m:chr m:val="̅"/>
                  <m:ctrlPr>
                    <w:rPr>
                      <w:rFonts w:ascii="Cambria Math" w:hAnsi="Cambria Math"/>
                      <w:i/>
                      <w:lang w:val="en-US"/>
                    </w:rPr>
                  </m:ctrlPr>
                </m:accPr>
                <m:e>
                  <m:r>
                    <m:rPr/>
                    <w:rPr>
                      <w:rFonts w:hint="default" w:ascii="Cambria Math" w:hAnsi="Cambria Math"/>
                      <w:lang w:val="en-US" w:eastAsia="zh-CN"/>
                    </w:rPr>
                    <m:t>p</m:t>
                  </m:r>
                  <m:ctrlPr>
                    <w:rPr>
                      <w:rFonts w:ascii="Cambria Math" w:hAnsi="Cambria Math"/>
                      <w:i/>
                      <w:lang w:val="en-US"/>
                    </w:rPr>
                  </m:ctrlPr>
                </m:e>
              </m:acc>
              <m:r>
                <m:rPr/>
                <w:rPr>
                  <w:rFonts w:hint="default" w:ascii="Cambria Math" w:hAnsi="Cambria Math"/>
                  <w:lang w:val="en-US" w:eastAsia="zh-CN"/>
                </w:rPr>
                <m:t>(</m:t>
              </m:r>
              <m:acc>
                <m:accPr>
                  <m:ctrlPr>
                    <w:rPr>
                      <w:rFonts w:hint="default" w:ascii="Cambria Math" w:hAnsi="Cambria Math"/>
                      <w:i/>
                      <w:lang w:val="en-US" w:eastAsia="zh-CN"/>
                    </w:rPr>
                  </m:ctrlPr>
                </m:accPr>
                <m:e>
                  <m:r>
                    <m:rPr/>
                    <w:rPr>
                      <w:rFonts w:hint="default" w:ascii="Cambria Math" w:hAnsi="Cambria Math"/>
                      <w:lang w:val="en-US" w:eastAsia="zh-CN"/>
                    </w:rPr>
                    <m:t>c</m:t>
                  </m:r>
                  <m:ctrlPr>
                    <w:rPr>
                      <w:rFonts w:hint="default" w:ascii="Cambria Math" w:hAnsi="Cambria Math"/>
                      <w:i/>
                      <w:lang w:val="en-US" w:eastAsia="zh-CN"/>
                    </w:rPr>
                  </m:ctrlPr>
                </m:e>
              </m:acc>
              <m:r>
                <m:rPr/>
                <w:rPr>
                  <w:rFonts w:hint="default" w:ascii="Cambria Math" w:hAnsi="Cambria Math"/>
                  <w:lang w:val="en-US" w:eastAsia="zh-CN"/>
                </w:rPr>
                <m:t>|F)−</m:t>
              </m:r>
              <m:func>
                <m:funcPr>
                  <m:ctrlPr>
                    <w:rPr>
                      <w:rFonts w:hint="default" w:ascii="Cambria Math" w:hAnsi="Cambria Math"/>
                      <w:i/>
                      <w:lang w:val="en-US" w:eastAsia="zh-CN"/>
                    </w:rPr>
                  </m:ctrlPr>
                </m:funcPr>
                <m:fName>
                  <m:limLow>
                    <m:limLowPr>
                      <m:ctrlPr>
                        <w:rPr>
                          <w:rFonts w:hint="default" w:ascii="Cambria Math" w:hAnsi="Cambria Math"/>
                          <w:lang w:val="en-US" w:eastAsia="zh-CN"/>
                        </w:rPr>
                      </m:ctrlPr>
                    </m:limLowPr>
                    <m:e>
                      <m:r>
                        <m:rPr>
                          <m:sty m:val="p"/>
                        </m:rPr>
                        <w:rPr>
                          <w:rFonts w:ascii="Cambria Math" w:hAnsi="Cambria Math"/>
                          <w:lang w:val="en-US"/>
                        </w:rPr>
                        <m:t>max</m:t>
                      </m:r>
                      <m:ctrlPr>
                        <w:rPr>
                          <w:rFonts w:hint="default" w:ascii="Cambria Math" w:hAnsi="Cambria Math"/>
                          <w:i/>
                          <w:lang w:val="en-US" w:eastAsia="zh-CN"/>
                        </w:rPr>
                      </m:ctrlPr>
                    </m:e>
                    <m:lim>
                      <m:r>
                        <m:rPr/>
                        <w:rPr>
                          <w:rFonts w:hint="default" w:ascii="Cambria Math" w:hAnsi="Cambria Math"/>
                          <w:lang w:val="en-US" w:eastAsia="zh-CN"/>
                        </w:rPr>
                        <m:t>c</m:t>
                      </m:r>
                      <m:r>
                        <m:rPr/>
                        <w:rPr>
                          <w:rFonts w:ascii="Cambria Math" w:hAnsi="Cambria Math"/>
                          <w:lang w:val="en-US"/>
                        </w:rPr>
                        <m:t>≠</m:t>
                      </m:r>
                      <m:acc>
                        <m:accPr>
                          <m:ctrlPr>
                            <w:rPr>
                              <w:rFonts w:ascii="Cambria Math" w:hAnsi="Cambria Math"/>
                              <w:i/>
                              <w:lang w:val="en-US"/>
                            </w:rPr>
                          </m:ctrlPr>
                        </m:accPr>
                        <m:e>
                          <m:r>
                            <m:rPr/>
                            <w:rPr>
                              <w:rFonts w:hint="default" w:ascii="Cambria Math" w:hAnsi="Cambria Math"/>
                              <w:lang w:val="en-US" w:eastAsia="zh-CN"/>
                            </w:rPr>
                            <m:t>c</m:t>
                          </m:r>
                          <m:ctrlPr>
                            <w:rPr>
                              <w:rFonts w:ascii="Cambria Math" w:hAnsi="Cambria Math"/>
                              <w:i/>
                              <w:lang w:val="en-US"/>
                            </w:rPr>
                          </m:ctrlPr>
                        </m:e>
                      </m:acc>
                      <m:ctrlPr>
                        <w:rPr>
                          <w:rFonts w:hint="default" w:ascii="Cambria Math" w:hAnsi="Cambria Math"/>
                          <w:i/>
                          <w:lang w:val="en-US" w:eastAsia="zh-CN"/>
                        </w:rPr>
                      </m:ctrlPr>
                    </m:lim>
                  </m:limLow>
                  <m:ctrlPr>
                    <w:rPr>
                      <w:rFonts w:hint="default" w:ascii="Cambria Math" w:hAnsi="Cambria Math"/>
                      <w:i/>
                      <w:lang w:val="en-US" w:eastAsia="zh-CN"/>
                    </w:rPr>
                  </m:ctrlPr>
                </m:fName>
                <m:e>
                  <m:acc>
                    <m:accPr>
                      <m:chr m:val="̅"/>
                      <m:ctrlPr>
                        <w:rPr>
                          <w:rFonts w:ascii="Cambria Math" w:hAnsi="Cambria Math"/>
                          <w:i/>
                          <w:lang w:val="en-US"/>
                        </w:rPr>
                      </m:ctrlPr>
                    </m:accPr>
                    <m:e>
                      <m:r>
                        <m:rPr/>
                        <w:rPr>
                          <w:rFonts w:hint="default" w:ascii="Cambria Math" w:hAnsi="Cambria Math"/>
                          <w:lang w:val="en-US" w:eastAsia="zh-CN"/>
                        </w:rPr>
                        <m:t>p</m:t>
                      </m:r>
                      <m:ctrlPr>
                        <w:rPr>
                          <w:rFonts w:ascii="Cambria Math" w:hAnsi="Cambria Math"/>
                          <w:i/>
                          <w:lang w:val="en-US"/>
                        </w:rPr>
                      </m:ctrlPr>
                    </m:e>
                  </m:acc>
                  <m:r>
                    <m:rPr/>
                    <w:rPr>
                      <w:rFonts w:hint="default" w:ascii="Cambria Math" w:hAnsi="Cambria Math"/>
                      <w:lang w:val="en-US" w:eastAsia="zh-CN"/>
                    </w:rPr>
                    <m:t>(c|F)</m:t>
                  </m:r>
                  <m:ctrlPr>
                    <w:rPr>
                      <w:rFonts w:hint="default" w:ascii="Cambria Math" w:hAnsi="Cambria Math"/>
                      <w:i/>
                      <w:lang w:val="en-US" w:eastAsia="zh-CN"/>
                    </w:rPr>
                  </m:ctrlPr>
                </m:e>
              </m:func>
              <m:r>
                <m:rPr>
                  <m:sty m:val="p"/>
                </m:rPr>
                <w:rPr>
                  <w:rFonts w:hint="default" w:ascii="Cambria Math" w:hAnsi="Cambria Math"/>
                  <w:lang w:val="en-US" w:eastAsia="zh-CN"/>
                </w:rPr>
                <m:t>#(10)</m:t>
              </m:r>
              <m:ctrlPr>
                <w:rPr>
                  <w:rFonts w:hint="default" w:hAnsi="Cambria Math"/>
                  <w:i w:val="0"/>
                  <w:lang w:val="en-US" w:eastAsia="zh-CN"/>
                </w:rPr>
              </m:ctrlPr>
            </m:e>
          </m:eqArr>
        </m:oMath>
      </m:oMathPara>
    </w:p>
    <w:p w14:paraId="58C21C5A">
      <w:pPr>
        <w:rPr>
          <w:rFonts w:hint="eastAsia"/>
          <w:lang w:val="en-US" w:eastAsia="zh-CN"/>
        </w:rPr>
      </w:pPr>
      <w:r>
        <w:rPr>
          <w:rFonts w:hint="eastAsia"/>
          <w:lang w:val="en-US" w:eastAsia="zh-CN"/>
        </w:rPr>
        <w:t xml:space="preserve">类间置信差 </w:t>
      </w:r>
      <m:oMath>
        <m:r>
          <m:rPr/>
          <w:rPr>
            <w:rFonts w:ascii="Cambria Math" w:hAnsi="Cambria Math"/>
            <w:lang w:val="en-US"/>
          </w:rPr>
          <m:t>∆</m:t>
        </m:r>
        <m:r>
          <m:rPr/>
          <w:rPr>
            <w:rFonts w:hint="default" w:ascii="Cambria Math" w:hAnsi="Cambria Math"/>
            <w:lang w:val="en-US" w:eastAsia="zh-CN"/>
          </w:rPr>
          <m:t>p</m:t>
        </m:r>
      </m:oMath>
      <w:r>
        <w:rPr>
          <w:rFonts w:hint="eastAsia" w:hAnsi="Cambria Math"/>
          <w:i w:val="0"/>
          <w:lang w:val="en-US" w:eastAsia="zh-CN"/>
        </w:rPr>
        <w:t xml:space="preserve"> </w:t>
      </w:r>
      <w:r>
        <w:rPr>
          <w:rFonts w:hint="eastAsia"/>
          <w:lang w:val="en-US" w:eastAsia="zh-CN"/>
        </w:rPr>
        <w:t xml:space="preserve">度量最优类别相对于次优类别的置信优势，反映识别结果的区分度。拒识判决规则如下：若满足以下任一条件，则将当前样本判定为未知设备，拒绝输出身份标识：（i）绝对置信条件不满足：最大集成后验概率小于预设绝对门限 </w:t>
      </w:r>
      <m:oMath>
        <m:sSub>
          <m:sSubPr>
            <m:ctrlPr>
              <w:rPr>
                <w:rFonts w:ascii="Cambria Math" w:hAnsi="Cambria Math"/>
                <w:i/>
                <w:lang w:val="en-US"/>
              </w:rPr>
            </m:ctrlPr>
          </m:sSubPr>
          <m:e>
            <m:r>
              <m:rPr/>
              <w:rPr>
                <w:rFonts w:ascii="Cambria Math" w:hAnsi="Cambria Math"/>
                <w:lang w:val="en-US"/>
              </w:rPr>
              <m:t>τ</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oMath>
      <w:r>
        <w:rPr>
          <w:rFonts w:hint="eastAsia"/>
          <w:lang w:val="en-US" w:eastAsia="zh-CN"/>
        </w:rPr>
        <w:t xml:space="preserve">；（ii）相对置信条件不满足：类间置信差 </w:t>
      </w:r>
      <m:oMath>
        <m:r>
          <m:rPr/>
          <w:rPr>
            <w:rFonts w:ascii="Cambria Math" w:hAnsi="Cambria Math"/>
            <w:lang w:val="en-US"/>
          </w:rPr>
          <m:t>∆</m:t>
        </m:r>
        <m:r>
          <m:rPr/>
          <w:rPr>
            <w:rFonts w:hint="default" w:ascii="Cambria Math" w:hAnsi="Cambria Math"/>
            <w:lang w:val="en-US" w:eastAsia="zh-CN"/>
          </w:rPr>
          <m:t>p</m:t>
        </m:r>
      </m:oMath>
      <w:r>
        <w:rPr>
          <w:rFonts w:hint="eastAsia" w:hAnsi="Cambria Math"/>
          <w:i w:val="0"/>
          <w:lang w:val="en-US" w:eastAsia="zh-CN"/>
        </w:rPr>
        <w:t xml:space="preserve"> </w:t>
      </w:r>
      <w:r>
        <w:rPr>
          <w:rFonts w:hint="eastAsia"/>
          <w:lang w:val="en-US" w:eastAsia="zh-CN"/>
        </w:rPr>
        <w:t xml:space="preserve">小于预设相对门限 </w:t>
      </w:r>
      <m:oMath>
        <m:sSub>
          <m:sSubPr>
            <m:ctrlPr>
              <w:rPr>
                <w:rFonts w:ascii="Cambria Math" w:hAnsi="Cambria Math"/>
                <w:i/>
                <w:lang w:val="en-US"/>
              </w:rPr>
            </m:ctrlPr>
          </m:sSubPr>
          <m:e>
            <m:r>
              <m:rPr/>
              <w:rPr>
                <w:rFonts w:ascii="Cambria Math" w:hAnsi="Cambria Math"/>
                <w:lang w:val="en-US"/>
              </w:rPr>
              <m:t>τ</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oMath>
      <w:r>
        <w:rPr>
          <w:rFonts w:hint="eastAsia"/>
          <w:lang w:val="en-US" w:eastAsia="zh-CN"/>
        </w:rPr>
        <w:t>。仅当上述两个条件均满足时，系统输出设备身份标识。双阈值机制从绝对置信度与类间区分度两个维度进行联合判断，相比单一阈值方案，对未知设备的拒识能力更强。</w:t>
      </w:r>
    </w:p>
    <w:p w14:paraId="2A47281A">
      <w:pPr>
        <w:keepNext/>
        <w:widowControl/>
        <w:spacing w:before="156" w:beforeLines="50" w:after="156" w:afterLines="50"/>
        <w:rPr>
          <w:b/>
          <w:sz w:val="28"/>
          <w:szCs w:val="28"/>
        </w:rPr>
      </w:pPr>
      <w:r>
        <w:rPr>
          <w:rFonts w:hint="eastAsia"/>
          <w:b/>
          <w:sz w:val="28"/>
          <w:szCs w:val="28"/>
        </w:rPr>
        <w:t>5 实验验证</w:t>
      </w:r>
    </w:p>
    <w:p w14:paraId="64BDD165">
      <w:pPr>
        <w:spacing w:before="156" w:beforeLines="50" w:after="156" w:afterLines="50"/>
        <w:rPr>
          <w:rFonts w:hint="eastAsia" w:hAnsi="宋体"/>
          <w:b/>
          <w:szCs w:val="21"/>
        </w:rPr>
      </w:pPr>
      <w:r>
        <w:rPr>
          <w:rFonts w:hint="eastAsia"/>
          <w:b/>
          <w:szCs w:val="21"/>
        </w:rPr>
        <w:t>5.1</w:t>
      </w:r>
      <w:r>
        <w:rPr>
          <w:rFonts w:hint="eastAsia" w:hAnsi="宋体"/>
          <w:b/>
          <w:szCs w:val="21"/>
        </w:rPr>
        <w:t>实验设置</w:t>
      </w:r>
    </w:p>
    <w:p w14:paraId="1A5E713A">
      <w:pPr>
        <w:spacing w:before="156" w:beforeLines="50" w:after="156" w:afterLines="50"/>
        <w:ind w:firstLine="420" w:firstLineChars="200"/>
        <w:rPr>
          <w:rFonts w:hint="eastAsia"/>
          <w:lang w:val="en-US" w:eastAsia="zh-CN"/>
        </w:rPr>
      </w:pPr>
      <w:r>
        <w:rPr>
          <w:rFonts w:hint="eastAsia"/>
          <w:lang w:val="en-US" w:eastAsia="zh-CN"/>
        </w:rPr>
        <w:t>为验证所提方案的有效性，本文在包含30台LoRa终端设备的实测数据集上进行了实验验证。设备信息如表1所示。本文在包含30台LoRa终端设备的实测数据集上进行了实验验证。数据采集采用USRP N210软件无线电平台，中心频率433 MHz，采样率5 MHz，带宽125 kHz。训练集包含6434个连续双帧样本对，每个样本为4维融合双帧载波频偏特征向量。</w:t>
      </w:r>
    </w:p>
    <w:p w14:paraId="19077AB0">
      <w:pPr>
        <w:pStyle w:val="90"/>
        <w:spacing w:before="156" w:beforeLines="50" w:line="240" w:lineRule="auto"/>
        <w:ind w:firstLine="0" w:firstLineChars="0"/>
        <w:jc w:val="center"/>
        <w:rPr>
          <w:rFonts w:hint="default" w:ascii="Times New Roman" w:hAnsi="Times New Roman" w:eastAsia="宋体"/>
          <w:sz w:val="18"/>
          <w:lang w:val="en-US" w:eastAsia="zh-CN"/>
        </w:rPr>
      </w:pPr>
      <w:r>
        <w:rPr>
          <w:rFonts w:hint="eastAsia" w:ascii="Times New Roman" w:hAnsi="Times New Roman" w:eastAsia="宋体"/>
          <w:sz w:val="18"/>
          <w:lang w:val="en-US" w:eastAsia="zh-CN"/>
        </w:rPr>
        <w:t>表1  lora设备</w:t>
      </w:r>
    </w:p>
    <w:tbl>
      <w:tblPr>
        <w:tblStyle w:val="40"/>
        <w:tblW w:w="4536"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0"/>
        <w:gridCol w:w="1555"/>
        <w:gridCol w:w="918"/>
        <w:gridCol w:w="1053"/>
      </w:tblGrid>
      <w:tr w14:paraId="573FE4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010" w:type="dxa"/>
            <w:tcBorders>
              <w:top w:val="single" w:color="000000" w:sz="12" w:space="0"/>
              <w:bottom w:val="single" w:color="000000" w:sz="12" w:space="0"/>
            </w:tcBorders>
            <w:noWrap w:val="0"/>
            <w:vAlign w:val="center"/>
          </w:tcPr>
          <w:p w14:paraId="62835D36">
            <w:pPr>
              <w:jc w:val="center"/>
              <w:rPr>
                <w:rFonts w:hint="default" w:eastAsia="宋体"/>
                <w:sz w:val="18"/>
                <w:lang w:val="en-US" w:eastAsia="zh-CN"/>
              </w:rPr>
            </w:pPr>
            <w:r>
              <w:rPr>
                <w:rFonts w:hint="eastAsia"/>
                <w:sz w:val="18"/>
                <w:lang w:val="en-US" w:eastAsia="zh-CN"/>
              </w:rPr>
              <w:t>设备编号</w:t>
            </w:r>
          </w:p>
        </w:tc>
        <w:tc>
          <w:tcPr>
            <w:tcW w:w="1555" w:type="dxa"/>
            <w:tcBorders>
              <w:top w:val="single" w:color="000000" w:sz="12" w:space="0"/>
              <w:bottom w:val="single" w:color="000000" w:sz="12" w:space="0"/>
            </w:tcBorders>
            <w:noWrap w:val="0"/>
            <w:vAlign w:val="center"/>
          </w:tcPr>
          <w:p w14:paraId="5680FF7D">
            <w:pPr>
              <w:jc w:val="center"/>
              <w:rPr>
                <w:rFonts w:hint="default" w:eastAsia="宋体"/>
                <w:sz w:val="18"/>
                <w:lang w:val="en-US" w:eastAsia="zh-CN"/>
              </w:rPr>
            </w:pPr>
            <w:r>
              <w:rPr>
                <w:rFonts w:hint="eastAsia"/>
                <w:sz w:val="18"/>
                <w:lang w:val="en-US" w:eastAsia="zh-CN"/>
              </w:rPr>
              <w:t>设备型号</w:t>
            </w:r>
          </w:p>
        </w:tc>
        <w:tc>
          <w:tcPr>
            <w:tcW w:w="918" w:type="dxa"/>
            <w:tcBorders>
              <w:top w:val="single" w:color="000000" w:sz="12" w:space="0"/>
              <w:bottom w:val="single" w:color="000000" w:sz="12" w:space="0"/>
            </w:tcBorders>
            <w:noWrap w:val="0"/>
            <w:vAlign w:val="center"/>
          </w:tcPr>
          <w:p w14:paraId="451D6988">
            <w:pPr>
              <w:jc w:val="center"/>
              <w:rPr>
                <w:rFonts w:hint="default" w:eastAsia="宋体"/>
                <w:sz w:val="18"/>
                <w:lang w:val="en-US" w:eastAsia="zh-CN"/>
              </w:rPr>
            </w:pPr>
            <w:r>
              <w:rPr>
                <w:rFonts w:hint="eastAsia"/>
                <w:sz w:val="18"/>
                <w:lang w:val="en-US" w:eastAsia="zh-CN"/>
              </w:rPr>
              <w:t>芯片</w:t>
            </w:r>
          </w:p>
        </w:tc>
        <w:tc>
          <w:tcPr>
            <w:tcW w:w="1053" w:type="dxa"/>
            <w:tcBorders>
              <w:top w:val="single" w:color="000000" w:sz="12" w:space="0"/>
              <w:bottom w:val="single" w:color="000000" w:sz="12" w:space="0"/>
            </w:tcBorders>
            <w:noWrap w:val="0"/>
            <w:vAlign w:val="center"/>
          </w:tcPr>
          <w:p w14:paraId="7C02CA85">
            <w:pPr>
              <w:jc w:val="center"/>
              <w:rPr>
                <w:rFonts w:hint="default" w:eastAsia="宋体"/>
                <w:sz w:val="18"/>
                <w:lang w:val="en-US" w:eastAsia="zh-CN"/>
              </w:rPr>
            </w:pPr>
            <w:r>
              <w:rPr>
                <w:rFonts w:hint="eastAsia"/>
                <w:sz w:val="18"/>
                <w:lang w:val="en-US" w:eastAsia="zh-CN"/>
              </w:rPr>
              <w:t>设备数量</w:t>
            </w:r>
          </w:p>
        </w:tc>
      </w:tr>
      <w:tr w14:paraId="0C4F92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010" w:type="dxa"/>
            <w:tcBorders>
              <w:top w:val="single" w:color="000000" w:sz="12" w:space="0"/>
              <w:bottom w:val="nil"/>
            </w:tcBorders>
            <w:noWrap w:val="0"/>
            <w:vAlign w:val="center"/>
          </w:tcPr>
          <w:p w14:paraId="7C76678A">
            <w:pPr>
              <w:pStyle w:val="95"/>
              <w:numPr>
                <w:ilvl w:val="0"/>
                <w:numId w:val="0"/>
              </w:numPr>
              <w:spacing w:before="0" w:beforeLines="0" w:after="0" w:afterLines="0"/>
              <w:jc w:val="center"/>
              <w:rPr>
                <w:rFonts w:hint="default" w:eastAsia="宋体"/>
                <w:lang w:val="en-US" w:eastAsia="zh-CN"/>
              </w:rPr>
            </w:pPr>
            <w:r>
              <w:rPr>
                <w:rFonts w:hint="eastAsia"/>
                <w:lang w:val="en-US" w:eastAsia="zh-CN"/>
              </w:rPr>
              <w:t>1-10</w:t>
            </w:r>
          </w:p>
        </w:tc>
        <w:tc>
          <w:tcPr>
            <w:tcW w:w="1555" w:type="dxa"/>
            <w:tcBorders>
              <w:top w:val="single" w:color="000000" w:sz="12" w:space="0"/>
              <w:bottom w:val="nil"/>
            </w:tcBorders>
            <w:noWrap w:val="0"/>
            <w:vAlign w:val="center"/>
          </w:tcPr>
          <w:p w14:paraId="3AFD4A30">
            <w:pPr>
              <w:pStyle w:val="95"/>
              <w:numPr>
                <w:ilvl w:val="0"/>
                <w:numId w:val="0"/>
              </w:numPr>
              <w:spacing w:before="0" w:beforeLines="0" w:after="0" w:afterLines="0"/>
              <w:jc w:val="center"/>
              <w:rPr>
                <w:rFonts w:hint="eastAsia"/>
              </w:rPr>
            </w:pPr>
            <w:r>
              <w:rPr>
                <w:rFonts w:hint="eastAsia"/>
              </w:rPr>
              <w:t>Dragino SX127x Shield</w:t>
            </w:r>
          </w:p>
        </w:tc>
        <w:tc>
          <w:tcPr>
            <w:tcW w:w="918" w:type="dxa"/>
            <w:tcBorders>
              <w:top w:val="single" w:color="000000" w:sz="12" w:space="0"/>
              <w:bottom w:val="nil"/>
            </w:tcBorders>
            <w:noWrap w:val="0"/>
            <w:vAlign w:val="center"/>
          </w:tcPr>
          <w:p w14:paraId="564BAD0B">
            <w:pPr>
              <w:pStyle w:val="95"/>
              <w:numPr>
                <w:ilvl w:val="0"/>
                <w:numId w:val="0"/>
              </w:numPr>
              <w:spacing w:before="0" w:beforeLines="0" w:after="0" w:afterLines="0"/>
              <w:jc w:val="center"/>
              <w:rPr>
                <w:rFonts w:hint="eastAsia"/>
              </w:rPr>
            </w:pPr>
            <w:r>
              <w:rPr>
                <w:rFonts w:hint="eastAsia"/>
              </w:rPr>
              <w:t>SX127x</w:t>
            </w:r>
          </w:p>
        </w:tc>
        <w:tc>
          <w:tcPr>
            <w:tcW w:w="1053" w:type="dxa"/>
            <w:tcBorders>
              <w:top w:val="single" w:color="000000" w:sz="12" w:space="0"/>
              <w:bottom w:val="nil"/>
            </w:tcBorders>
            <w:noWrap w:val="0"/>
            <w:vAlign w:val="center"/>
          </w:tcPr>
          <w:p w14:paraId="0C350F27">
            <w:pPr>
              <w:pStyle w:val="95"/>
              <w:numPr>
                <w:ilvl w:val="0"/>
                <w:numId w:val="0"/>
              </w:numPr>
              <w:spacing w:before="0" w:beforeLines="0" w:after="0" w:afterLines="0"/>
              <w:jc w:val="center"/>
              <w:rPr>
                <w:rFonts w:hint="default"/>
                <w:lang w:val="en-US"/>
              </w:rPr>
            </w:pPr>
            <w:r>
              <w:rPr>
                <w:rFonts w:hint="eastAsia"/>
                <w:lang w:val="en-US" w:eastAsia="zh-CN"/>
              </w:rPr>
              <w:t>10</w:t>
            </w:r>
          </w:p>
        </w:tc>
      </w:tr>
      <w:tr w14:paraId="6AF3A8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010" w:type="dxa"/>
            <w:tcBorders>
              <w:top w:val="nil"/>
              <w:bottom w:val="nil"/>
            </w:tcBorders>
            <w:noWrap w:val="0"/>
            <w:vAlign w:val="center"/>
          </w:tcPr>
          <w:p w14:paraId="59AFC922">
            <w:pPr>
              <w:pStyle w:val="95"/>
              <w:numPr>
                <w:ilvl w:val="0"/>
                <w:numId w:val="0"/>
              </w:numPr>
              <w:spacing w:before="0" w:beforeLines="0" w:after="0" w:afterLines="0"/>
              <w:jc w:val="center"/>
              <w:rPr>
                <w:rFonts w:hint="default" w:eastAsia="宋体"/>
                <w:lang w:val="en-US" w:eastAsia="zh-CN"/>
              </w:rPr>
            </w:pPr>
            <w:r>
              <w:rPr>
                <w:rFonts w:hint="eastAsia"/>
                <w:lang w:val="en-US" w:eastAsia="zh-CN"/>
              </w:rPr>
              <w:t>11-20</w:t>
            </w:r>
          </w:p>
        </w:tc>
        <w:tc>
          <w:tcPr>
            <w:tcW w:w="1555" w:type="dxa"/>
            <w:tcBorders>
              <w:top w:val="nil"/>
              <w:bottom w:val="nil"/>
            </w:tcBorders>
            <w:noWrap w:val="0"/>
            <w:vAlign w:val="center"/>
          </w:tcPr>
          <w:p w14:paraId="5252ECAC">
            <w:pPr>
              <w:pStyle w:val="95"/>
              <w:numPr>
                <w:ilvl w:val="0"/>
                <w:numId w:val="0"/>
              </w:numPr>
              <w:spacing w:before="0" w:beforeLines="0" w:after="0" w:afterLines="0"/>
              <w:jc w:val="center"/>
              <w:rPr>
                <w:rFonts w:hint="eastAsia"/>
              </w:rPr>
            </w:pPr>
            <w:r>
              <w:rPr>
                <w:rFonts w:hint="eastAsia"/>
              </w:rPr>
              <w:t>Heltec LoRa32</w:t>
            </w:r>
          </w:p>
        </w:tc>
        <w:tc>
          <w:tcPr>
            <w:tcW w:w="918" w:type="dxa"/>
            <w:tcBorders>
              <w:top w:val="nil"/>
              <w:bottom w:val="nil"/>
            </w:tcBorders>
            <w:noWrap w:val="0"/>
            <w:vAlign w:val="center"/>
          </w:tcPr>
          <w:p w14:paraId="56D990E1">
            <w:pPr>
              <w:pStyle w:val="95"/>
              <w:numPr>
                <w:ilvl w:val="0"/>
                <w:numId w:val="0"/>
              </w:numPr>
              <w:spacing w:before="0" w:beforeLines="0" w:after="0" w:afterLines="0"/>
              <w:jc w:val="center"/>
              <w:rPr>
                <w:rFonts w:hint="eastAsia"/>
              </w:rPr>
            </w:pPr>
            <w:r>
              <w:rPr>
                <w:rFonts w:hint="eastAsia"/>
              </w:rPr>
              <w:t>SX1262</w:t>
            </w:r>
          </w:p>
        </w:tc>
        <w:tc>
          <w:tcPr>
            <w:tcW w:w="1053" w:type="dxa"/>
            <w:tcBorders>
              <w:top w:val="nil"/>
              <w:bottom w:val="nil"/>
            </w:tcBorders>
            <w:noWrap w:val="0"/>
            <w:vAlign w:val="center"/>
          </w:tcPr>
          <w:p w14:paraId="269DF971">
            <w:pPr>
              <w:pStyle w:val="95"/>
              <w:numPr>
                <w:ilvl w:val="0"/>
                <w:numId w:val="0"/>
              </w:numPr>
              <w:spacing w:before="0" w:beforeLines="0" w:after="0" w:afterLines="0"/>
              <w:jc w:val="center"/>
              <w:rPr>
                <w:rFonts w:hint="default"/>
                <w:lang w:val="en-US"/>
              </w:rPr>
            </w:pPr>
            <w:r>
              <w:rPr>
                <w:rFonts w:hint="eastAsia"/>
                <w:lang w:val="en-US" w:eastAsia="zh-CN"/>
              </w:rPr>
              <w:t>10</w:t>
            </w:r>
          </w:p>
        </w:tc>
      </w:tr>
      <w:tr w14:paraId="1BD1E3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010" w:type="dxa"/>
            <w:tcBorders>
              <w:top w:val="nil"/>
            </w:tcBorders>
            <w:noWrap w:val="0"/>
            <w:vAlign w:val="center"/>
          </w:tcPr>
          <w:p w14:paraId="7685CEA0">
            <w:pPr>
              <w:pStyle w:val="95"/>
              <w:numPr>
                <w:ilvl w:val="0"/>
                <w:numId w:val="0"/>
              </w:numPr>
              <w:spacing w:before="0" w:beforeLines="0" w:after="0" w:afterLines="0"/>
              <w:jc w:val="center"/>
              <w:rPr>
                <w:rFonts w:hint="default"/>
                <w:lang w:val="en-US" w:eastAsia="zh-CN"/>
              </w:rPr>
            </w:pPr>
            <w:r>
              <w:rPr>
                <w:rFonts w:hint="eastAsia"/>
                <w:lang w:val="en-US" w:eastAsia="zh-CN"/>
              </w:rPr>
              <w:t>21-30</w:t>
            </w:r>
          </w:p>
        </w:tc>
        <w:tc>
          <w:tcPr>
            <w:tcW w:w="1555" w:type="dxa"/>
            <w:tcBorders>
              <w:top w:val="nil"/>
            </w:tcBorders>
            <w:noWrap w:val="0"/>
            <w:vAlign w:val="center"/>
          </w:tcPr>
          <w:p w14:paraId="6DC9871C">
            <w:pPr>
              <w:pStyle w:val="95"/>
              <w:numPr>
                <w:ilvl w:val="0"/>
                <w:numId w:val="0"/>
              </w:numPr>
              <w:spacing w:before="0" w:beforeLines="0" w:after="0" w:afterLines="0"/>
              <w:jc w:val="center"/>
              <w:rPr>
                <w:rFonts w:hint="eastAsia"/>
                <w:lang w:val="en-US" w:eastAsia="zh-CN"/>
              </w:rPr>
            </w:pPr>
            <w:r>
              <w:rPr>
                <w:rFonts w:hint="eastAsia"/>
                <w:lang w:val="en-US" w:eastAsia="zh-CN"/>
              </w:rPr>
              <w:t>Heltec Cube Cell</w:t>
            </w:r>
          </w:p>
        </w:tc>
        <w:tc>
          <w:tcPr>
            <w:tcW w:w="918" w:type="dxa"/>
            <w:tcBorders>
              <w:top w:val="nil"/>
            </w:tcBorders>
            <w:noWrap w:val="0"/>
            <w:vAlign w:val="center"/>
          </w:tcPr>
          <w:p w14:paraId="257E0B04">
            <w:pPr>
              <w:pStyle w:val="95"/>
              <w:numPr>
                <w:ilvl w:val="0"/>
                <w:numId w:val="0"/>
              </w:numPr>
              <w:spacing w:before="0" w:beforeLines="0" w:after="0" w:afterLines="0"/>
              <w:jc w:val="center"/>
              <w:rPr>
                <w:rFonts w:hint="eastAsia"/>
                <w:lang w:val="en-US" w:eastAsia="zh-CN"/>
              </w:rPr>
            </w:pPr>
            <w:r>
              <w:rPr>
                <w:rFonts w:hint="eastAsia"/>
                <w:lang w:val="en-US" w:eastAsia="zh-CN"/>
              </w:rPr>
              <w:t>SX1262</w:t>
            </w:r>
          </w:p>
        </w:tc>
        <w:tc>
          <w:tcPr>
            <w:tcW w:w="1053" w:type="dxa"/>
            <w:tcBorders>
              <w:top w:val="nil"/>
            </w:tcBorders>
            <w:noWrap w:val="0"/>
            <w:vAlign w:val="center"/>
          </w:tcPr>
          <w:p w14:paraId="19D926DB">
            <w:pPr>
              <w:pStyle w:val="95"/>
              <w:numPr>
                <w:ilvl w:val="0"/>
                <w:numId w:val="0"/>
              </w:numPr>
              <w:spacing w:before="0" w:beforeLines="0" w:after="0" w:afterLines="0"/>
              <w:jc w:val="center"/>
              <w:rPr>
                <w:rFonts w:hint="default"/>
                <w:lang w:val="en-US" w:eastAsia="zh-CN"/>
              </w:rPr>
            </w:pPr>
            <w:r>
              <w:rPr>
                <w:rFonts w:hint="eastAsia"/>
                <w:lang w:val="en-US" w:eastAsia="zh-CN"/>
              </w:rPr>
              <w:t>10</w:t>
            </w:r>
          </w:p>
        </w:tc>
      </w:tr>
    </w:tbl>
    <w:p w14:paraId="529F9FAE">
      <w:pPr>
        <w:spacing w:before="156" w:beforeLines="50" w:after="156" w:afterLines="50"/>
        <w:rPr>
          <w:rFonts w:hint="eastAsia"/>
          <w:lang w:val="en-US" w:eastAsia="zh-CN"/>
        </w:rPr>
      </w:pPr>
    </w:p>
    <w:p w14:paraId="637FBD24">
      <w:pPr>
        <w:spacing w:before="156" w:beforeLines="50" w:after="156" w:afterLines="50"/>
        <w:rPr>
          <w:rFonts w:hint="eastAsia" w:ascii="Times New Roman" w:hAnsi="Times New Roman" w:eastAsia="宋体" w:cs="Times New Roman"/>
          <w:b/>
          <w:szCs w:val="21"/>
          <w:lang w:val="en-US" w:eastAsia="zh-CN"/>
        </w:rPr>
      </w:pPr>
      <w:r>
        <w:rPr>
          <w:rFonts w:hint="eastAsia" w:ascii="Times New Roman" w:hAnsi="Times New Roman" w:eastAsia="宋体" w:cs="Times New Roman"/>
          <w:b/>
          <w:szCs w:val="21"/>
          <w:lang w:val="en-US" w:eastAsia="zh-CN"/>
        </w:rPr>
        <w:t>5.2 实验结果与分析</w:t>
      </w:r>
    </w:p>
    <w:p w14:paraId="2FBC4DF9">
      <w:pPr>
        <w:ind w:firstLine="420" w:firstLineChars="200"/>
        <w:rPr>
          <w:rFonts w:hint="eastAsia"/>
          <w:lang w:val="en-US" w:eastAsia="zh-CN"/>
        </w:rPr>
      </w:pPr>
      <w:r>
        <w:rPr>
          <w:rFonts w:hint="eastAsia"/>
          <w:lang w:val="en-US" w:eastAsia="zh-CN"/>
        </w:rPr>
        <w:t>分别在同天测试、跨天测试两种条件下评估识别性能。各分类器及集成方案在不同测试条件下的识别准确率如表2所示。可以看出，在同天测试条件下，集成方案的识别准确率达到99.07%，优于所有单一分类器。其中RF和LDA表现最为突出（分别为99.00%和99.13%），验证了双帧CFO特征在同一信道环境下的高区分度。SVM和KNN准确率相对较低，但通过集成融合后整体性能得到显著提升。在跨天测试条件下，由于采集环境的时变特性导致信道条件变化，各分类器准确率均有所下降，但集成方案仍保持97.68%的识别准确率，说明双帧CFO均值特征有效抑制了随机噪声干扰，差分特征所刻画的设备频率漂移特性具有良好的跨时间稳定性。同时，双阈值拒识机制在两种条件下的拒识率分别为0.34%和0.68%，在保证极低误拒率的同时实现了对低置信样本的有效筛除。</w:t>
      </w:r>
    </w:p>
    <w:p w14:paraId="23557A90">
      <w:pPr>
        <w:pStyle w:val="90"/>
        <w:spacing w:before="156" w:beforeLines="50" w:line="240" w:lineRule="auto"/>
        <w:ind w:firstLine="0" w:firstLineChars="0"/>
        <w:jc w:val="center"/>
        <w:rPr>
          <w:rFonts w:hint="eastAsia" w:ascii="Times New Roman" w:hAnsi="Times New Roman" w:eastAsia="宋体"/>
          <w:sz w:val="18"/>
          <w:lang w:val="en-US" w:eastAsia="zh-CN"/>
        </w:rPr>
      </w:pPr>
      <w:r>
        <w:rPr>
          <w:rFonts w:hint="eastAsia" w:ascii="Times New Roman" w:hAnsi="Times New Roman" w:eastAsia="宋体"/>
          <w:sz w:val="18"/>
          <w:lang w:val="en-US" w:eastAsia="zh-CN"/>
        </w:rPr>
        <w:t>表</w:t>
      </w:r>
      <w:r>
        <w:rPr>
          <w:rFonts w:hint="eastAsia"/>
          <w:sz w:val="18"/>
          <w:lang w:val="en-US" w:eastAsia="zh-CN"/>
        </w:rPr>
        <w:t>2</w:t>
      </w:r>
      <w:r>
        <w:rPr>
          <w:rFonts w:hint="eastAsia" w:ascii="Times New Roman" w:hAnsi="Times New Roman" w:eastAsia="宋体"/>
          <w:sz w:val="18"/>
          <w:lang w:val="en-US" w:eastAsia="zh-CN"/>
        </w:rPr>
        <w:t xml:space="preserve">  不同测试条件下各分类器识别准确率</w:t>
      </w:r>
    </w:p>
    <w:tbl>
      <w:tblPr>
        <w:tblStyle w:val="40"/>
        <w:tblW w:w="491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3"/>
        <w:gridCol w:w="794"/>
        <w:gridCol w:w="794"/>
        <w:gridCol w:w="794"/>
        <w:gridCol w:w="794"/>
        <w:gridCol w:w="794"/>
      </w:tblGrid>
      <w:tr w14:paraId="1E88AF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943" w:type="dxa"/>
            <w:tcBorders>
              <w:top w:val="single" w:color="000000" w:sz="12" w:space="0"/>
              <w:bottom w:val="single" w:color="000000" w:sz="12" w:space="0"/>
            </w:tcBorders>
            <w:noWrap w:val="0"/>
            <w:vAlign w:val="center"/>
          </w:tcPr>
          <w:p w14:paraId="3CBE47E2">
            <w:pPr>
              <w:jc w:val="center"/>
              <w:rPr>
                <w:rFonts w:hint="default" w:eastAsia="宋体"/>
                <w:sz w:val="18"/>
                <w:lang w:val="en-US" w:eastAsia="zh-CN"/>
              </w:rPr>
            </w:pPr>
            <w:r>
              <w:rPr>
                <w:rFonts w:hint="eastAsia"/>
                <w:sz w:val="18"/>
                <w:lang w:val="en-US" w:eastAsia="zh-CN"/>
              </w:rPr>
              <w:t>测试条件</w:t>
            </w:r>
          </w:p>
        </w:tc>
        <w:tc>
          <w:tcPr>
            <w:tcW w:w="794" w:type="dxa"/>
            <w:tcBorders>
              <w:top w:val="single" w:color="000000" w:sz="12" w:space="0"/>
              <w:bottom w:val="single" w:color="000000" w:sz="12" w:space="0"/>
            </w:tcBorders>
            <w:noWrap w:val="0"/>
            <w:vAlign w:val="center"/>
          </w:tcPr>
          <w:p w14:paraId="683DB980">
            <w:pPr>
              <w:jc w:val="center"/>
              <w:rPr>
                <w:rFonts w:hint="default" w:eastAsia="宋体"/>
                <w:sz w:val="18"/>
                <w:lang w:val="en-US" w:eastAsia="zh-CN"/>
              </w:rPr>
            </w:pPr>
            <w:r>
              <w:rPr>
                <w:rFonts w:hint="eastAsia"/>
                <w:sz w:val="18"/>
                <w:lang w:val="en-US" w:eastAsia="zh-CN"/>
              </w:rPr>
              <w:t>SVM</w:t>
            </w:r>
          </w:p>
        </w:tc>
        <w:tc>
          <w:tcPr>
            <w:tcW w:w="794" w:type="dxa"/>
            <w:tcBorders>
              <w:top w:val="single" w:color="000000" w:sz="12" w:space="0"/>
              <w:bottom w:val="single" w:color="000000" w:sz="12" w:space="0"/>
            </w:tcBorders>
            <w:noWrap w:val="0"/>
            <w:vAlign w:val="center"/>
          </w:tcPr>
          <w:p w14:paraId="31AE3A47">
            <w:pPr>
              <w:jc w:val="center"/>
              <w:rPr>
                <w:rFonts w:hint="default" w:eastAsia="宋体"/>
                <w:sz w:val="18"/>
                <w:lang w:val="en-US" w:eastAsia="zh-CN"/>
              </w:rPr>
            </w:pPr>
            <w:r>
              <w:rPr>
                <w:rFonts w:hint="eastAsia"/>
                <w:sz w:val="18"/>
                <w:lang w:val="en-US" w:eastAsia="zh-CN"/>
              </w:rPr>
              <w:t>RF</w:t>
            </w:r>
          </w:p>
        </w:tc>
        <w:tc>
          <w:tcPr>
            <w:tcW w:w="794" w:type="dxa"/>
            <w:tcBorders>
              <w:top w:val="single" w:color="000000" w:sz="12" w:space="0"/>
              <w:bottom w:val="single" w:color="000000" w:sz="12" w:space="0"/>
            </w:tcBorders>
            <w:noWrap w:val="0"/>
            <w:vAlign w:val="center"/>
          </w:tcPr>
          <w:p w14:paraId="6614DAC8">
            <w:pPr>
              <w:jc w:val="center"/>
              <w:rPr>
                <w:rFonts w:hint="default" w:eastAsia="宋体"/>
                <w:sz w:val="18"/>
                <w:lang w:val="en-US" w:eastAsia="zh-CN"/>
              </w:rPr>
            </w:pPr>
            <w:r>
              <w:rPr>
                <w:rFonts w:hint="eastAsia"/>
                <w:sz w:val="18"/>
                <w:lang w:val="en-US" w:eastAsia="zh-CN"/>
              </w:rPr>
              <w:t>LDA</w:t>
            </w:r>
          </w:p>
        </w:tc>
        <w:tc>
          <w:tcPr>
            <w:tcW w:w="794" w:type="dxa"/>
            <w:tcBorders>
              <w:top w:val="single" w:color="000000" w:sz="12" w:space="0"/>
              <w:bottom w:val="single" w:color="000000" w:sz="12" w:space="0"/>
            </w:tcBorders>
            <w:noWrap w:val="0"/>
            <w:vAlign w:val="center"/>
          </w:tcPr>
          <w:p w14:paraId="0E1C3520">
            <w:pPr>
              <w:jc w:val="center"/>
              <w:rPr>
                <w:rFonts w:hint="default" w:eastAsia="宋体"/>
                <w:sz w:val="18"/>
                <w:lang w:val="en-US" w:eastAsia="zh-CN"/>
              </w:rPr>
            </w:pPr>
            <w:r>
              <w:rPr>
                <w:rFonts w:hint="eastAsia"/>
                <w:sz w:val="18"/>
                <w:lang w:val="en-US" w:eastAsia="zh-CN"/>
              </w:rPr>
              <w:t>KNN</w:t>
            </w:r>
          </w:p>
        </w:tc>
        <w:tc>
          <w:tcPr>
            <w:tcW w:w="794" w:type="dxa"/>
            <w:tcBorders>
              <w:top w:val="single" w:color="000000" w:sz="12" w:space="0"/>
              <w:bottom w:val="single" w:color="000000" w:sz="12" w:space="0"/>
            </w:tcBorders>
            <w:noWrap w:val="0"/>
            <w:vAlign w:val="center"/>
          </w:tcPr>
          <w:p w14:paraId="66539D13">
            <w:pPr>
              <w:jc w:val="center"/>
              <w:rPr>
                <w:rFonts w:hint="default" w:eastAsia="宋体"/>
                <w:sz w:val="18"/>
                <w:lang w:val="en-US" w:eastAsia="zh-CN"/>
              </w:rPr>
            </w:pPr>
            <w:r>
              <w:rPr>
                <w:rFonts w:hint="eastAsia"/>
                <w:sz w:val="18"/>
                <w:lang w:val="en-US" w:eastAsia="zh-CN"/>
              </w:rPr>
              <w:t>集成</w:t>
            </w:r>
          </w:p>
        </w:tc>
      </w:tr>
      <w:tr w14:paraId="46FD40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943" w:type="dxa"/>
            <w:tcBorders>
              <w:top w:val="single" w:color="000000" w:sz="12" w:space="0"/>
              <w:bottom w:val="nil"/>
            </w:tcBorders>
            <w:noWrap w:val="0"/>
            <w:vAlign w:val="center"/>
          </w:tcPr>
          <w:p w14:paraId="29B965C2">
            <w:pPr>
              <w:pStyle w:val="95"/>
              <w:numPr>
                <w:ilvl w:val="0"/>
                <w:numId w:val="0"/>
              </w:numPr>
              <w:spacing w:before="0" w:beforeLines="0" w:after="0" w:afterLines="0"/>
              <w:jc w:val="center"/>
              <w:rPr>
                <w:rFonts w:hint="default" w:eastAsia="宋体"/>
                <w:lang w:val="en-US" w:eastAsia="zh-CN"/>
              </w:rPr>
            </w:pPr>
            <w:r>
              <w:rPr>
                <w:rFonts w:hint="eastAsia"/>
                <w:lang w:val="en-US" w:eastAsia="zh-CN"/>
              </w:rPr>
              <w:t>同天测试</w:t>
            </w:r>
          </w:p>
        </w:tc>
        <w:tc>
          <w:tcPr>
            <w:tcW w:w="794" w:type="dxa"/>
            <w:tcBorders>
              <w:top w:val="single" w:color="000000" w:sz="12" w:space="0"/>
              <w:bottom w:val="nil"/>
            </w:tcBorders>
            <w:noWrap w:val="0"/>
            <w:vAlign w:val="center"/>
          </w:tcPr>
          <w:p w14:paraId="391CC254">
            <w:pPr>
              <w:pStyle w:val="95"/>
              <w:numPr>
                <w:ilvl w:val="0"/>
                <w:numId w:val="0"/>
              </w:numPr>
              <w:spacing w:before="0" w:beforeLines="0" w:after="0" w:afterLines="0"/>
              <w:jc w:val="center"/>
              <w:rPr>
                <w:rFonts w:hint="eastAsia"/>
              </w:rPr>
            </w:pPr>
            <w:r>
              <w:rPr>
                <w:rFonts w:hint="eastAsia"/>
                <w:lang w:val="en-US" w:eastAsia="zh-CN"/>
              </w:rPr>
              <w:t>85.17%</w:t>
            </w:r>
          </w:p>
        </w:tc>
        <w:tc>
          <w:tcPr>
            <w:tcW w:w="794" w:type="dxa"/>
            <w:tcBorders>
              <w:top w:val="single" w:color="000000" w:sz="12" w:space="0"/>
              <w:bottom w:val="nil"/>
            </w:tcBorders>
            <w:noWrap w:val="0"/>
            <w:vAlign w:val="center"/>
          </w:tcPr>
          <w:p w14:paraId="75498CE9">
            <w:pPr>
              <w:pStyle w:val="95"/>
              <w:numPr>
                <w:ilvl w:val="0"/>
                <w:numId w:val="0"/>
              </w:numPr>
              <w:spacing w:before="0" w:beforeLines="0" w:after="0" w:afterLines="0"/>
              <w:jc w:val="center"/>
              <w:rPr>
                <w:rFonts w:hint="eastAsia"/>
              </w:rPr>
            </w:pPr>
            <w:r>
              <w:rPr>
                <w:rFonts w:hint="eastAsia"/>
                <w:lang w:val="en-US" w:eastAsia="zh-CN"/>
              </w:rPr>
              <w:t>99.00%</w:t>
            </w:r>
          </w:p>
        </w:tc>
        <w:tc>
          <w:tcPr>
            <w:tcW w:w="794" w:type="dxa"/>
            <w:tcBorders>
              <w:top w:val="single" w:color="000000" w:sz="12" w:space="0"/>
              <w:bottom w:val="nil"/>
            </w:tcBorders>
            <w:noWrap w:val="0"/>
            <w:vAlign w:val="center"/>
          </w:tcPr>
          <w:p w14:paraId="793AE096">
            <w:pPr>
              <w:pStyle w:val="95"/>
              <w:numPr>
                <w:ilvl w:val="0"/>
                <w:numId w:val="0"/>
              </w:numPr>
              <w:spacing w:before="0" w:beforeLines="0" w:after="0" w:afterLines="0"/>
              <w:jc w:val="center"/>
              <w:rPr>
                <w:rFonts w:hint="eastAsia"/>
              </w:rPr>
            </w:pPr>
            <w:r>
              <w:rPr>
                <w:rFonts w:hint="eastAsia"/>
                <w:lang w:val="en-US" w:eastAsia="zh-CN"/>
              </w:rPr>
              <w:t>99.13%</w:t>
            </w:r>
          </w:p>
        </w:tc>
        <w:tc>
          <w:tcPr>
            <w:tcW w:w="794" w:type="dxa"/>
            <w:tcBorders>
              <w:top w:val="single" w:color="000000" w:sz="12" w:space="0"/>
              <w:bottom w:val="nil"/>
            </w:tcBorders>
            <w:noWrap w:val="0"/>
            <w:vAlign w:val="center"/>
          </w:tcPr>
          <w:p w14:paraId="53677F23">
            <w:pPr>
              <w:pStyle w:val="95"/>
              <w:numPr>
                <w:ilvl w:val="0"/>
                <w:numId w:val="0"/>
              </w:numPr>
              <w:spacing w:before="0" w:beforeLines="0" w:after="0" w:afterLines="0"/>
              <w:jc w:val="center"/>
              <w:rPr>
                <w:rFonts w:hint="eastAsia"/>
              </w:rPr>
            </w:pPr>
            <w:r>
              <w:rPr>
                <w:rFonts w:hint="eastAsia"/>
                <w:lang w:val="en-US" w:eastAsia="zh-CN"/>
              </w:rPr>
              <w:t>82.45%</w:t>
            </w:r>
          </w:p>
        </w:tc>
        <w:tc>
          <w:tcPr>
            <w:tcW w:w="794" w:type="dxa"/>
            <w:tcBorders>
              <w:top w:val="single" w:color="000000" w:sz="12" w:space="0"/>
              <w:bottom w:val="nil"/>
            </w:tcBorders>
            <w:noWrap w:val="0"/>
            <w:vAlign w:val="center"/>
          </w:tcPr>
          <w:p w14:paraId="67859602">
            <w:pPr>
              <w:pStyle w:val="95"/>
              <w:numPr>
                <w:ilvl w:val="0"/>
                <w:numId w:val="0"/>
              </w:numPr>
              <w:spacing w:before="0" w:beforeLines="0" w:after="0" w:afterLines="0"/>
              <w:jc w:val="center"/>
              <w:rPr>
                <w:rFonts w:hint="eastAsia"/>
              </w:rPr>
            </w:pPr>
            <w:r>
              <w:rPr>
                <w:rFonts w:hint="eastAsia"/>
                <w:lang w:val="en-US" w:eastAsia="zh-CN"/>
              </w:rPr>
              <w:t>99.07%</w:t>
            </w:r>
          </w:p>
        </w:tc>
      </w:tr>
      <w:tr w14:paraId="450325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943" w:type="dxa"/>
            <w:tcBorders>
              <w:top w:val="nil"/>
            </w:tcBorders>
            <w:noWrap w:val="0"/>
            <w:vAlign w:val="center"/>
          </w:tcPr>
          <w:p w14:paraId="76753134">
            <w:pPr>
              <w:pStyle w:val="95"/>
              <w:numPr>
                <w:ilvl w:val="0"/>
                <w:numId w:val="0"/>
              </w:numPr>
              <w:spacing w:before="0" w:beforeLines="0" w:after="0" w:afterLines="0"/>
              <w:jc w:val="center"/>
              <w:rPr>
                <w:rFonts w:hint="eastAsia" w:eastAsia="宋体"/>
                <w:lang w:eastAsia="zh-CN"/>
              </w:rPr>
            </w:pPr>
            <w:r>
              <w:rPr>
                <w:rFonts w:hint="eastAsia"/>
                <w:lang w:val="en-US" w:eastAsia="zh-CN"/>
              </w:rPr>
              <w:t>跨天测试</w:t>
            </w:r>
          </w:p>
        </w:tc>
        <w:tc>
          <w:tcPr>
            <w:tcW w:w="794" w:type="dxa"/>
            <w:tcBorders>
              <w:top w:val="nil"/>
            </w:tcBorders>
            <w:noWrap w:val="0"/>
            <w:vAlign w:val="center"/>
          </w:tcPr>
          <w:p w14:paraId="698DA0DB">
            <w:pPr>
              <w:pStyle w:val="95"/>
              <w:numPr>
                <w:ilvl w:val="0"/>
                <w:numId w:val="0"/>
              </w:numPr>
              <w:spacing w:before="0" w:beforeLines="0" w:after="0" w:afterLines="0"/>
              <w:jc w:val="center"/>
              <w:rPr>
                <w:rFonts w:hint="eastAsia"/>
              </w:rPr>
            </w:pPr>
            <w:r>
              <w:rPr>
                <w:rFonts w:hint="eastAsia"/>
                <w:lang w:val="en-US" w:eastAsia="zh-CN"/>
              </w:rPr>
              <w:t>79.44%</w:t>
            </w:r>
          </w:p>
        </w:tc>
        <w:tc>
          <w:tcPr>
            <w:tcW w:w="794" w:type="dxa"/>
            <w:tcBorders>
              <w:top w:val="nil"/>
            </w:tcBorders>
            <w:noWrap w:val="0"/>
            <w:vAlign w:val="center"/>
          </w:tcPr>
          <w:p w14:paraId="6140F25D">
            <w:pPr>
              <w:pStyle w:val="95"/>
              <w:numPr>
                <w:ilvl w:val="0"/>
                <w:numId w:val="0"/>
              </w:numPr>
              <w:spacing w:before="0" w:beforeLines="0" w:after="0" w:afterLines="0"/>
              <w:jc w:val="center"/>
              <w:rPr>
                <w:rFonts w:hint="eastAsia"/>
              </w:rPr>
            </w:pPr>
            <w:r>
              <w:rPr>
                <w:rFonts w:hint="eastAsia"/>
                <w:lang w:val="en-US" w:eastAsia="zh-CN"/>
              </w:rPr>
              <w:t>97.63%</w:t>
            </w:r>
          </w:p>
        </w:tc>
        <w:tc>
          <w:tcPr>
            <w:tcW w:w="794" w:type="dxa"/>
            <w:tcBorders>
              <w:top w:val="nil"/>
            </w:tcBorders>
            <w:noWrap w:val="0"/>
            <w:vAlign w:val="center"/>
          </w:tcPr>
          <w:p w14:paraId="20A2BB61">
            <w:pPr>
              <w:pStyle w:val="95"/>
              <w:numPr>
                <w:ilvl w:val="0"/>
                <w:numId w:val="0"/>
              </w:numPr>
              <w:spacing w:before="0" w:beforeLines="0" w:after="0" w:afterLines="0"/>
              <w:jc w:val="center"/>
              <w:rPr>
                <w:rFonts w:hint="eastAsia"/>
              </w:rPr>
            </w:pPr>
            <w:r>
              <w:rPr>
                <w:rFonts w:hint="eastAsia"/>
                <w:lang w:val="en-US" w:eastAsia="zh-CN"/>
              </w:rPr>
              <w:t>97.41%</w:t>
            </w:r>
          </w:p>
        </w:tc>
        <w:tc>
          <w:tcPr>
            <w:tcW w:w="794" w:type="dxa"/>
            <w:tcBorders>
              <w:top w:val="nil"/>
            </w:tcBorders>
            <w:noWrap w:val="0"/>
            <w:vAlign w:val="center"/>
          </w:tcPr>
          <w:p w14:paraId="52F0CD5B">
            <w:pPr>
              <w:pStyle w:val="95"/>
              <w:numPr>
                <w:ilvl w:val="0"/>
                <w:numId w:val="0"/>
              </w:numPr>
              <w:spacing w:before="0" w:beforeLines="0" w:after="0" w:afterLines="0"/>
              <w:jc w:val="center"/>
              <w:rPr>
                <w:rFonts w:hint="eastAsia"/>
              </w:rPr>
            </w:pPr>
            <w:r>
              <w:rPr>
                <w:rFonts w:hint="eastAsia"/>
                <w:lang w:val="en-US" w:eastAsia="zh-CN"/>
              </w:rPr>
              <w:t>76.23%</w:t>
            </w:r>
          </w:p>
        </w:tc>
        <w:tc>
          <w:tcPr>
            <w:tcW w:w="794" w:type="dxa"/>
            <w:tcBorders>
              <w:top w:val="nil"/>
            </w:tcBorders>
            <w:noWrap w:val="0"/>
            <w:vAlign w:val="center"/>
          </w:tcPr>
          <w:p w14:paraId="5754A57E">
            <w:pPr>
              <w:jc w:val="center"/>
              <w:rPr>
                <w:rFonts w:hint="default" w:eastAsia="宋体"/>
                <w:lang w:val="en-US" w:eastAsia="zh-CN"/>
              </w:rPr>
            </w:pPr>
            <w:r>
              <w:rPr>
                <w:rFonts w:hint="eastAsia"/>
                <w:sz w:val="18"/>
                <w:szCs w:val="18"/>
                <w:lang w:val="en-US" w:eastAsia="zh-CN"/>
              </w:rPr>
              <w:t>97.68%</w:t>
            </w:r>
          </w:p>
        </w:tc>
      </w:tr>
    </w:tbl>
    <w:p w14:paraId="5DDEC064">
      <w:pPr>
        <w:pStyle w:val="90"/>
        <w:spacing w:before="156" w:beforeLines="50" w:line="240" w:lineRule="auto"/>
        <w:ind w:firstLine="0" w:firstLineChars="0"/>
        <w:jc w:val="center"/>
        <w:rPr>
          <w:rFonts w:hint="default" w:ascii="Times New Roman" w:hAnsi="Times New Roman" w:eastAsia="宋体"/>
          <w:sz w:val="18"/>
          <w:lang w:val="en-US" w:eastAsia="zh-CN"/>
        </w:rPr>
      </w:pPr>
      <w:r>
        <w:rPr>
          <w:rFonts w:hint="eastAsia" w:ascii="Times New Roman" w:hAnsi="Times New Roman" w:eastAsia="宋体"/>
          <w:sz w:val="18"/>
          <w:lang w:val="en-US" w:eastAsia="zh-CN"/>
        </w:rPr>
        <w:t>表</w:t>
      </w:r>
      <w:r>
        <w:rPr>
          <w:rFonts w:hint="eastAsia"/>
          <w:sz w:val="18"/>
          <w:lang w:val="en-US" w:eastAsia="zh-CN"/>
        </w:rPr>
        <w:t>3</w:t>
      </w:r>
      <w:r>
        <w:rPr>
          <w:rFonts w:hint="eastAsia" w:ascii="Times New Roman" w:hAnsi="Times New Roman" w:eastAsia="宋体"/>
          <w:sz w:val="18"/>
          <w:lang w:val="en-US" w:eastAsia="zh-CN"/>
        </w:rPr>
        <w:t xml:space="preserve">  不同测试条件下拒识率</w:t>
      </w:r>
    </w:p>
    <w:tbl>
      <w:tblPr>
        <w:tblStyle w:val="40"/>
        <w:tblW w:w="5102"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1"/>
        <w:gridCol w:w="2551"/>
      </w:tblGrid>
      <w:tr w14:paraId="3EE18C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551" w:type="dxa"/>
            <w:tcBorders>
              <w:top w:val="single" w:color="000000" w:sz="12" w:space="0"/>
              <w:bottom w:val="single" w:color="000000" w:sz="12" w:space="0"/>
            </w:tcBorders>
            <w:noWrap w:val="0"/>
            <w:vAlign w:val="center"/>
          </w:tcPr>
          <w:p w14:paraId="75E42B0F">
            <w:pPr>
              <w:jc w:val="center"/>
              <w:rPr>
                <w:rFonts w:hint="default" w:eastAsia="宋体"/>
                <w:sz w:val="18"/>
                <w:lang w:val="en-US" w:eastAsia="zh-CN"/>
              </w:rPr>
            </w:pPr>
            <w:r>
              <w:rPr>
                <w:rFonts w:hint="eastAsia"/>
                <w:sz w:val="18"/>
                <w:lang w:val="en-US" w:eastAsia="zh-CN"/>
              </w:rPr>
              <w:t>测试条件</w:t>
            </w:r>
          </w:p>
        </w:tc>
        <w:tc>
          <w:tcPr>
            <w:tcW w:w="2551" w:type="dxa"/>
            <w:tcBorders>
              <w:top w:val="single" w:color="000000" w:sz="12" w:space="0"/>
              <w:bottom w:val="single" w:color="000000" w:sz="12" w:space="0"/>
            </w:tcBorders>
            <w:noWrap w:val="0"/>
            <w:vAlign w:val="center"/>
          </w:tcPr>
          <w:p w14:paraId="530A5B40">
            <w:pPr>
              <w:jc w:val="center"/>
              <w:rPr>
                <w:rFonts w:hint="default" w:eastAsia="宋体"/>
                <w:sz w:val="18"/>
                <w:lang w:val="en-US" w:eastAsia="zh-CN"/>
              </w:rPr>
            </w:pPr>
            <w:r>
              <w:rPr>
                <w:rFonts w:hint="eastAsia"/>
                <w:sz w:val="18"/>
                <w:lang w:val="en-US" w:eastAsia="zh-CN"/>
              </w:rPr>
              <w:t>集成</w:t>
            </w:r>
          </w:p>
        </w:tc>
      </w:tr>
      <w:tr w14:paraId="511A7A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551" w:type="dxa"/>
            <w:tcBorders>
              <w:top w:val="single" w:color="000000" w:sz="12" w:space="0"/>
              <w:bottom w:val="nil"/>
            </w:tcBorders>
            <w:noWrap w:val="0"/>
            <w:vAlign w:val="center"/>
          </w:tcPr>
          <w:p w14:paraId="6564F661">
            <w:pPr>
              <w:pStyle w:val="95"/>
              <w:numPr>
                <w:ilvl w:val="0"/>
                <w:numId w:val="0"/>
              </w:numPr>
              <w:spacing w:before="0" w:beforeLines="0" w:after="0" w:afterLines="0"/>
              <w:jc w:val="center"/>
              <w:rPr>
                <w:rFonts w:hint="default" w:eastAsia="宋体"/>
                <w:lang w:val="en-US" w:eastAsia="zh-CN"/>
              </w:rPr>
            </w:pPr>
            <w:r>
              <w:rPr>
                <w:rFonts w:hint="eastAsia"/>
                <w:lang w:val="en-US" w:eastAsia="zh-CN"/>
              </w:rPr>
              <w:t>同天测试</w:t>
            </w:r>
          </w:p>
        </w:tc>
        <w:tc>
          <w:tcPr>
            <w:tcW w:w="2551" w:type="dxa"/>
            <w:tcBorders>
              <w:top w:val="single" w:color="000000" w:sz="12" w:space="0"/>
              <w:bottom w:val="nil"/>
            </w:tcBorders>
            <w:noWrap w:val="0"/>
            <w:vAlign w:val="center"/>
          </w:tcPr>
          <w:p w14:paraId="1DC5C952">
            <w:pPr>
              <w:pStyle w:val="95"/>
              <w:numPr>
                <w:ilvl w:val="0"/>
                <w:numId w:val="0"/>
              </w:numPr>
              <w:spacing w:before="0" w:beforeLines="0" w:after="0" w:afterLines="0"/>
              <w:jc w:val="center"/>
              <w:rPr>
                <w:rFonts w:hint="eastAsia"/>
              </w:rPr>
            </w:pPr>
            <w:r>
              <w:rPr>
                <w:rFonts w:hint="eastAsia"/>
                <w:lang w:val="en-US" w:eastAsia="zh-CN"/>
              </w:rPr>
              <w:t>0.34%</w:t>
            </w:r>
          </w:p>
        </w:tc>
      </w:tr>
      <w:tr w14:paraId="06CC57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2551" w:type="dxa"/>
            <w:tcBorders>
              <w:top w:val="nil"/>
            </w:tcBorders>
            <w:noWrap w:val="0"/>
            <w:vAlign w:val="center"/>
          </w:tcPr>
          <w:p w14:paraId="7BB4CEAB">
            <w:pPr>
              <w:pStyle w:val="95"/>
              <w:numPr>
                <w:ilvl w:val="0"/>
                <w:numId w:val="0"/>
              </w:numPr>
              <w:spacing w:before="0" w:beforeLines="0" w:after="0" w:afterLines="0"/>
              <w:jc w:val="center"/>
              <w:rPr>
                <w:rFonts w:hint="eastAsia" w:eastAsia="宋体"/>
                <w:lang w:eastAsia="zh-CN"/>
              </w:rPr>
            </w:pPr>
            <w:r>
              <w:rPr>
                <w:rFonts w:hint="eastAsia"/>
                <w:lang w:val="en-US" w:eastAsia="zh-CN"/>
              </w:rPr>
              <w:t>跨天测试</w:t>
            </w:r>
          </w:p>
        </w:tc>
        <w:tc>
          <w:tcPr>
            <w:tcW w:w="2551" w:type="dxa"/>
            <w:tcBorders>
              <w:top w:val="nil"/>
            </w:tcBorders>
            <w:noWrap w:val="0"/>
            <w:vAlign w:val="center"/>
          </w:tcPr>
          <w:p w14:paraId="0E84C2DB">
            <w:pPr>
              <w:jc w:val="center"/>
              <w:rPr>
                <w:rFonts w:hint="default" w:eastAsia="宋体"/>
                <w:lang w:val="en-US" w:eastAsia="zh-CN"/>
              </w:rPr>
            </w:pPr>
            <w:r>
              <w:rPr>
                <w:rFonts w:hint="eastAsia"/>
                <w:sz w:val="18"/>
                <w:szCs w:val="18"/>
                <w:lang w:val="en-US" w:eastAsia="zh-CN"/>
              </w:rPr>
              <w:t>0.68%</w:t>
            </w:r>
          </w:p>
        </w:tc>
      </w:tr>
    </w:tbl>
    <w:p w14:paraId="43FE7DF0">
      <w:pPr>
        <w:rPr>
          <w:rFonts w:hint="eastAsia"/>
          <w:lang w:val="en-US" w:eastAsia="zh-CN"/>
        </w:rPr>
      </w:pPr>
    </w:p>
    <w:p w14:paraId="7C171251">
      <w:pPr>
        <w:ind w:firstLine="420" w:firstLineChars="200"/>
        <w:rPr>
          <w:rFonts w:hint="eastAsia"/>
          <w:lang w:val="en-US" w:eastAsia="zh-CN"/>
        </w:rPr>
      </w:pPr>
      <w:r>
        <w:rPr>
          <w:rFonts w:hint="eastAsia"/>
          <w:lang w:val="en-US" w:eastAsia="zh-CN"/>
        </w:rPr>
        <w:t>图2展示了30台设备在同天测试与跨天测试条件下的归一化混淆矩阵。可以观察到，对角线元素占主导地位，表明绝大多数设备均能被正确识别。在同天条件下，前10台设备（各含500个训练样本）的识别率接近100%；部分小样本设备（如device11、device26等训练样本不足50个）在跨天条件下出现少量误判，说明训练样本量对跨环境泛化能力有一定影响。</w:t>
      </w:r>
    </w:p>
    <w:p w14:paraId="33536A0C">
      <w:pPr>
        <w:rPr>
          <w:rFonts w:hint="eastAsia"/>
          <w:lang w:val="en-US" w:eastAsia="zh-CN"/>
        </w:rPr>
      </w:pPr>
      <w:r>
        <w:rPr>
          <w:rFonts w:hint="eastAsia"/>
          <w:lang w:val="en-US" w:eastAsia="zh-CN"/>
        </w:rPr>
        <w:drawing>
          <wp:inline distT="0" distB="0" distL="114300" distR="114300">
            <wp:extent cx="2921635" cy="2682240"/>
            <wp:effectExtent l="0" t="0" r="12065" b="10160"/>
            <wp:docPr id="13" name="图片 13" descr="微信图片_20260329184954_195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329184954_195_109"/>
                    <pic:cNvPicPr>
                      <a:picLocks noChangeAspect="1"/>
                    </pic:cNvPicPr>
                  </pic:nvPicPr>
                  <pic:blipFill>
                    <a:blip r:embed="rId11"/>
                    <a:stretch>
                      <a:fillRect/>
                    </a:stretch>
                  </pic:blipFill>
                  <pic:spPr>
                    <a:xfrm>
                      <a:off x="0" y="0"/>
                      <a:ext cx="2921635" cy="2682240"/>
                    </a:xfrm>
                    <a:prstGeom prst="rect">
                      <a:avLst/>
                    </a:prstGeom>
                  </pic:spPr>
                </pic:pic>
              </a:graphicData>
            </a:graphic>
          </wp:inline>
        </w:drawing>
      </w:r>
    </w:p>
    <w:p w14:paraId="50E2C3CA">
      <w:pPr>
        <w:jc w:val="center"/>
        <w:rPr>
          <w:rFonts w:hint="default"/>
          <w:lang w:val="en-US" w:eastAsia="zh-CN"/>
        </w:rPr>
      </w:pPr>
      <w:r>
        <w:rPr>
          <w:rFonts w:hint="eastAsia"/>
          <w:lang w:val="en-US" w:eastAsia="zh-CN"/>
        </w:rPr>
        <w:t>a)</w:t>
      </w:r>
    </w:p>
    <w:p w14:paraId="387A6E6C">
      <w:pPr>
        <w:rPr>
          <w:rFonts w:hint="eastAsia"/>
          <w:lang w:val="en-US" w:eastAsia="zh-CN"/>
        </w:rPr>
      </w:pPr>
      <w:r>
        <w:rPr>
          <w:rFonts w:hint="eastAsia"/>
          <w:lang w:val="en-US" w:eastAsia="zh-CN"/>
        </w:rPr>
        <w:drawing>
          <wp:inline distT="0" distB="0" distL="114300" distR="114300">
            <wp:extent cx="2921635" cy="2682240"/>
            <wp:effectExtent l="0" t="0" r="12065" b="10160"/>
            <wp:docPr id="14" name="图片 14" descr="微信图片_20260329184952_193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329184952_193_109"/>
                    <pic:cNvPicPr>
                      <a:picLocks noChangeAspect="1"/>
                    </pic:cNvPicPr>
                  </pic:nvPicPr>
                  <pic:blipFill>
                    <a:blip r:embed="rId12"/>
                    <a:stretch>
                      <a:fillRect/>
                    </a:stretch>
                  </pic:blipFill>
                  <pic:spPr>
                    <a:xfrm>
                      <a:off x="0" y="0"/>
                      <a:ext cx="2921635" cy="2682240"/>
                    </a:xfrm>
                    <a:prstGeom prst="rect">
                      <a:avLst/>
                    </a:prstGeom>
                  </pic:spPr>
                </pic:pic>
              </a:graphicData>
            </a:graphic>
          </wp:inline>
        </w:drawing>
      </w:r>
    </w:p>
    <w:p w14:paraId="385F6177">
      <w:pPr>
        <w:jc w:val="center"/>
        <w:rPr>
          <w:rFonts w:hint="default"/>
          <w:lang w:val="en-US" w:eastAsia="zh-CN"/>
        </w:rPr>
      </w:pPr>
      <w:r>
        <w:rPr>
          <w:rFonts w:hint="eastAsia"/>
          <w:lang w:val="en-US" w:eastAsia="zh-CN"/>
        </w:rPr>
        <w:t>b)</w:t>
      </w:r>
    </w:p>
    <w:p w14:paraId="0AB9ADD7">
      <w:pPr>
        <w:spacing w:after="156" w:afterLines="50"/>
        <w:jc w:val="center"/>
        <w:textAlignment w:val="baseline"/>
        <w:rPr>
          <w:rFonts w:hint="eastAsia" w:ascii="Times New Roman" w:hAnsi="宋体" w:eastAsia="宋体" w:cs="Times New Roman"/>
          <w:sz w:val="18"/>
          <w:lang w:val="en-US" w:eastAsia="zh-CN"/>
        </w:rPr>
      </w:pPr>
      <w:r>
        <w:rPr>
          <w:rFonts w:hint="eastAsia" w:ascii="Times New Roman" w:hAnsi="宋体" w:eastAsia="宋体" w:cs="Times New Roman"/>
          <w:sz w:val="18"/>
          <w:lang w:val="en-US" w:eastAsia="zh-CN"/>
        </w:rPr>
        <w:t>图2 30台设备集成学习混淆矩阵，a)为测试集和训练集在同天采集的测试结果；b)为测试集和训练集在不同天采集的测试结果</w:t>
      </w:r>
    </w:p>
    <w:p w14:paraId="3B637542">
      <w:pPr>
        <w:ind w:firstLine="420" w:firstLineChars="200"/>
        <w:rPr>
          <w:rFonts w:hint="eastAsia" w:ascii="Times New Roman" w:hAnsi="Times New Roman" w:cs="Times New Roman"/>
          <w:lang w:val="en-US" w:eastAsia="zh-CN"/>
        </w:rPr>
      </w:pPr>
      <w:r>
        <w:rPr>
          <w:rFonts w:hint="eastAsia" w:ascii="Times New Roman" w:hAnsi="Times New Roman" w:cs="Times New Roman"/>
          <w:lang w:val="en-US" w:eastAsia="zh-CN"/>
        </w:rPr>
        <w:t>此外，单一分类器的混淆矩阵结果如下图所示，通过对角线与非对角线元素的分布可以直观评估各设备类别的识别准确性及误判情况，从而揭示不同分类器在射频指纹区分能力上的性能差异。</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7"/>
        <w:gridCol w:w="2409"/>
      </w:tblGrid>
      <w:tr w14:paraId="15B99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7" w:hRule="atLeast"/>
        </w:trPr>
        <w:tc>
          <w:tcPr>
            <w:tcW w:w="4927" w:type="dxa"/>
            <w:tcBorders>
              <w:top w:val="nil"/>
              <w:left w:val="nil"/>
              <w:bottom w:val="nil"/>
              <w:right w:val="nil"/>
              <w:tl2br w:val="nil"/>
            </w:tcBorders>
            <w:shd w:val="clear" w:color="auto" w:fill="FFFFFF"/>
            <w:vAlign w:val="top"/>
          </w:tcPr>
          <w:p w14:paraId="7C6F2395">
            <w:pPr>
              <w:rPr>
                <w:rFonts w:hint="eastAsia"/>
                <w:lang w:val="en-US" w:eastAsia="zh-CN"/>
              </w:rPr>
            </w:pPr>
            <w:r>
              <w:rPr>
                <w:rFonts w:hint="eastAsia"/>
                <w:lang w:val="en-US" w:eastAsia="zh-CN"/>
              </w:rPr>
              <w:drawing>
                <wp:inline distT="0" distB="0" distL="114300" distR="114300">
                  <wp:extent cx="1477645" cy="1356995"/>
                  <wp:effectExtent l="0" t="0" r="8255" b="1905"/>
                  <wp:docPr id="66" name="图片 66" descr="cm_another_day_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cm_another_day_svm"/>
                          <pic:cNvPicPr>
                            <a:picLocks noChangeAspect="1"/>
                          </pic:cNvPicPr>
                        </pic:nvPicPr>
                        <pic:blipFill>
                          <a:blip r:embed="rId13"/>
                          <a:stretch>
                            <a:fillRect/>
                          </a:stretch>
                        </pic:blipFill>
                        <pic:spPr>
                          <a:xfrm>
                            <a:off x="0" y="0"/>
                            <a:ext cx="1477645" cy="1356995"/>
                          </a:xfrm>
                          <a:prstGeom prst="rect">
                            <a:avLst/>
                          </a:prstGeom>
                        </pic:spPr>
                      </pic:pic>
                    </a:graphicData>
                  </a:graphic>
                </wp:inline>
              </w:drawing>
            </w:r>
          </w:p>
        </w:tc>
        <w:tc>
          <w:tcPr>
            <w:tcW w:w="4927" w:type="dxa"/>
            <w:tcBorders>
              <w:top w:val="nil"/>
              <w:left w:val="nil"/>
              <w:bottom w:val="nil"/>
              <w:right w:val="nil"/>
            </w:tcBorders>
            <w:shd w:val="clear" w:color="auto" w:fill="FFFFFF"/>
            <w:vAlign w:val="top"/>
          </w:tcPr>
          <w:p w14:paraId="03FD164F">
            <w:pPr>
              <w:rPr>
                <w:rFonts w:hint="eastAsia"/>
                <w:lang w:val="en-US" w:eastAsia="zh-CN"/>
              </w:rPr>
            </w:pPr>
            <w:r>
              <w:rPr>
                <w:rFonts w:hint="eastAsia"/>
                <w:lang w:val="en-US" w:eastAsia="zh-CN"/>
              </w:rPr>
              <w:drawing>
                <wp:inline distT="0" distB="0" distL="114300" distR="114300">
                  <wp:extent cx="1436370" cy="1319530"/>
                  <wp:effectExtent l="0" t="0" r="11430" b="1270"/>
                  <wp:docPr id="67" name="图片 67" descr="cm_another_day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m_another_day_rf"/>
                          <pic:cNvPicPr>
                            <a:picLocks noChangeAspect="1"/>
                          </pic:cNvPicPr>
                        </pic:nvPicPr>
                        <pic:blipFill>
                          <a:blip r:embed="rId14"/>
                          <a:stretch>
                            <a:fillRect/>
                          </a:stretch>
                        </pic:blipFill>
                        <pic:spPr>
                          <a:xfrm>
                            <a:off x="0" y="0"/>
                            <a:ext cx="1436370" cy="1319530"/>
                          </a:xfrm>
                          <a:prstGeom prst="rect">
                            <a:avLst/>
                          </a:prstGeom>
                        </pic:spPr>
                      </pic:pic>
                    </a:graphicData>
                  </a:graphic>
                </wp:inline>
              </w:drawing>
            </w:r>
          </w:p>
        </w:tc>
      </w:tr>
      <w:tr w14:paraId="27CB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6957A1A4">
            <w:pPr>
              <w:jc w:val="center"/>
              <w:rPr>
                <w:rFonts w:hint="eastAsia"/>
                <w:lang w:val="en-US" w:eastAsia="zh-CN"/>
              </w:rPr>
            </w:pPr>
            <w:r>
              <w:rPr>
                <w:rFonts w:hint="eastAsia"/>
                <w:lang w:val="en-US" w:eastAsia="zh-CN"/>
              </w:rPr>
              <w:t>a)</w:t>
            </w:r>
          </w:p>
        </w:tc>
        <w:tc>
          <w:tcPr>
            <w:tcW w:w="4927" w:type="dxa"/>
            <w:tcBorders>
              <w:top w:val="nil"/>
              <w:left w:val="nil"/>
              <w:bottom w:val="nil"/>
              <w:right w:val="nil"/>
            </w:tcBorders>
            <w:shd w:val="clear" w:color="auto" w:fill="FFFFFF"/>
            <w:vAlign w:val="top"/>
          </w:tcPr>
          <w:p w14:paraId="019F13BC">
            <w:pPr>
              <w:jc w:val="center"/>
              <w:rPr>
                <w:rFonts w:hint="eastAsia"/>
                <w:lang w:val="en-US" w:eastAsia="zh-CN"/>
              </w:rPr>
            </w:pPr>
            <w:r>
              <w:rPr>
                <w:rFonts w:hint="eastAsia"/>
                <w:lang w:val="en-US" w:eastAsia="zh-CN"/>
              </w:rPr>
              <w:t>b)</w:t>
            </w:r>
          </w:p>
        </w:tc>
      </w:tr>
      <w:tr w14:paraId="40D2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38FE4195">
            <w:pPr>
              <w:rPr>
                <w:rFonts w:hint="eastAsia"/>
                <w:lang w:val="en-US" w:eastAsia="zh-CN"/>
              </w:rPr>
            </w:pPr>
            <w:r>
              <w:rPr>
                <w:rFonts w:hint="eastAsia"/>
                <w:lang w:val="en-US" w:eastAsia="zh-CN"/>
              </w:rPr>
              <w:drawing>
                <wp:inline distT="0" distB="0" distL="114300" distR="114300">
                  <wp:extent cx="1488440" cy="1366520"/>
                  <wp:effectExtent l="0" t="0" r="10160" b="5080"/>
                  <wp:docPr id="68" name="图片 68" descr="cm_another_day_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cm_another_day_lda"/>
                          <pic:cNvPicPr>
                            <a:picLocks noChangeAspect="1"/>
                          </pic:cNvPicPr>
                        </pic:nvPicPr>
                        <pic:blipFill>
                          <a:blip r:embed="rId15"/>
                          <a:stretch>
                            <a:fillRect/>
                          </a:stretch>
                        </pic:blipFill>
                        <pic:spPr>
                          <a:xfrm>
                            <a:off x="0" y="0"/>
                            <a:ext cx="1488440" cy="1366520"/>
                          </a:xfrm>
                          <a:prstGeom prst="rect">
                            <a:avLst/>
                          </a:prstGeom>
                        </pic:spPr>
                      </pic:pic>
                    </a:graphicData>
                  </a:graphic>
                </wp:inline>
              </w:drawing>
            </w:r>
          </w:p>
        </w:tc>
        <w:tc>
          <w:tcPr>
            <w:tcW w:w="4927" w:type="dxa"/>
            <w:tcBorders>
              <w:top w:val="nil"/>
              <w:left w:val="nil"/>
              <w:bottom w:val="nil"/>
              <w:right w:val="nil"/>
            </w:tcBorders>
            <w:shd w:val="clear" w:color="auto" w:fill="FFFFFF"/>
            <w:vAlign w:val="top"/>
          </w:tcPr>
          <w:p w14:paraId="150F2A8F">
            <w:pPr>
              <w:rPr>
                <w:rFonts w:hint="eastAsia"/>
                <w:lang w:val="en-US" w:eastAsia="zh-CN"/>
              </w:rPr>
            </w:pPr>
            <w:r>
              <w:rPr>
                <w:rFonts w:hint="eastAsia"/>
                <w:lang w:val="en-US" w:eastAsia="zh-CN"/>
              </w:rPr>
              <w:drawing>
                <wp:inline distT="0" distB="0" distL="114300" distR="114300">
                  <wp:extent cx="1485900" cy="1364615"/>
                  <wp:effectExtent l="0" t="0" r="0" b="6985"/>
                  <wp:docPr id="69" name="图片 69" descr="cm_another_day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cm_another_day_knn"/>
                          <pic:cNvPicPr>
                            <a:picLocks noChangeAspect="1"/>
                          </pic:cNvPicPr>
                        </pic:nvPicPr>
                        <pic:blipFill>
                          <a:blip r:embed="rId16"/>
                          <a:stretch>
                            <a:fillRect/>
                          </a:stretch>
                        </pic:blipFill>
                        <pic:spPr>
                          <a:xfrm>
                            <a:off x="0" y="0"/>
                            <a:ext cx="1485900" cy="1364615"/>
                          </a:xfrm>
                          <a:prstGeom prst="rect">
                            <a:avLst/>
                          </a:prstGeom>
                        </pic:spPr>
                      </pic:pic>
                    </a:graphicData>
                  </a:graphic>
                </wp:inline>
              </w:drawing>
            </w:r>
          </w:p>
        </w:tc>
      </w:tr>
      <w:tr w14:paraId="7A73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27" w:type="dxa"/>
            <w:tcBorders>
              <w:top w:val="nil"/>
              <w:left w:val="nil"/>
              <w:bottom w:val="nil"/>
              <w:right w:val="nil"/>
            </w:tcBorders>
            <w:shd w:val="clear" w:color="auto" w:fill="FFFFFF"/>
            <w:vAlign w:val="top"/>
          </w:tcPr>
          <w:p w14:paraId="452CDC2E">
            <w:pPr>
              <w:jc w:val="center"/>
              <w:rPr>
                <w:rFonts w:hint="eastAsia"/>
                <w:lang w:val="en-US" w:eastAsia="zh-CN"/>
              </w:rPr>
            </w:pPr>
            <w:r>
              <w:rPr>
                <w:rFonts w:hint="eastAsia"/>
                <w:lang w:val="en-US" w:eastAsia="zh-CN"/>
              </w:rPr>
              <w:t>c)</w:t>
            </w:r>
          </w:p>
        </w:tc>
        <w:tc>
          <w:tcPr>
            <w:tcW w:w="4927" w:type="dxa"/>
            <w:tcBorders>
              <w:top w:val="nil"/>
              <w:left w:val="nil"/>
              <w:bottom w:val="nil"/>
              <w:right w:val="nil"/>
            </w:tcBorders>
            <w:shd w:val="clear" w:color="auto" w:fill="FFFFFF"/>
            <w:vAlign w:val="top"/>
          </w:tcPr>
          <w:p w14:paraId="6060FA2F">
            <w:pPr>
              <w:jc w:val="center"/>
              <w:rPr>
                <w:rFonts w:hint="eastAsia"/>
                <w:lang w:val="en-US" w:eastAsia="zh-CN"/>
              </w:rPr>
            </w:pPr>
            <w:r>
              <w:rPr>
                <w:rFonts w:hint="eastAsia"/>
                <w:lang w:val="en-US" w:eastAsia="zh-CN"/>
              </w:rPr>
              <w:t>d)</w:t>
            </w:r>
          </w:p>
        </w:tc>
      </w:tr>
    </w:tbl>
    <w:p w14:paraId="03E32969">
      <w:pPr>
        <w:jc w:val="center"/>
        <w:rPr>
          <w:rFonts w:hint="eastAsia"/>
          <w:lang w:val="en-US" w:eastAsia="zh-CN"/>
        </w:rPr>
      </w:pPr>
      <w:r>
        <w:rPr>
          <w:rFonts w:hint="eastAsia"/>
          <w:lang w:val="en-US" w:eastAsia="zh-CN"/>
        </w:rPr>
        <w:t>图3 30台设备同一天情况下的各分类器的测试混淆矩阵结果：a）为SVM；b）为RF；c）为LDA；d）为KNN；</w:t>
      </w:r>
    </w:p>
    <w:tbl>
      <w:tblPr>
        <w:tblStyle w:val="4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370"/>
      </w:tblGrid>
      <w:tr w14:paraId="3453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1" w:hRule="atLeast"/>
        </w:trPr>
        <w:tc>
          <w:tcPr>
            <w:tcW w:w="2466" w:type="dxa"/>
            <w:tcBorders>
              <w:top w:val="nil"/>
              <w:left w:val="nil"/>
              <w:bottom w:val="nil"/>
              <w:right w:val="nil"/>
              <w:tl2br w:val="nil"/>
            </w:tcBorders>
            <w:shd w:val="clear" w:color="auto" w:fill="FFFFFF"/>
            <w:vAlign w:val="top"/>
          </w:tcPr>
          <w:p w14:paraId="15056E51">
            <w:pPr>
              <w:spacing w:before="156" w:beforeLines="50" w:line="240" w:lineRule="auto"/>
              <w:jc w:val="center"/>
              <w:rPr>
                <w:rFonts w:hint="eastAsia" w:ascii="Times New Roman" w:hAnsi="Times New Roman" w:cs="Times New Roman"/>
                <w:b w:val="0"/>
                <w:color w:val="000000"/>
                <w:sz w:val="24"/>
                <w:vertAlign w:val="baseline"/>
                <w:lang w:val="en-US" w:eastAsia="zh-CN"/>
              </w:rPr>
            </w:pPr>
            <w:r>
              <w:rPr>
                <w:rFonts w:hint="eastAsia" w:ascii="Times New Roman" w:hAnsi="Times New Roman" w:cs="Times New Roman"/>
                <w:b w:val="0"/>
                <w:color w:val="000000"/>
                <w:sz w:val="24"/>
                <w:vertAlign w:val="baseline"/>
                <w:lang w:val="en-US" w:eastAsia="zh-CN"/>
              </w:rPr>
              <w:drawing>
                <wp:inline distT="0" distB="0" distL="114300" distR="114300">
                  <wp:extent cx="1437005" cy="1319530"/>
                  <wp:effectExtent l="0" t="0" r="10795" b="1270"/>
                  <wp:docPr id="70" name="图片 70" descr="cm_same_day_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m_same_day_svm"/>
                          <pic:cNvPicPr>
                            <a:picLocks noChangeAspect="1"/>
                          </pic:cNvPicPr>
                        </pic:nvPicPr>
                        <pic:blipFill>
                          <a:blip r:embed="rId17"/>
                          <a:stretch>
                            <a:fillRect/>
                          </a:stretch>
                        </pic:blipFill>
                        <pic:spPr>
                          <a:xfrm>
                            <a:off x="0" y="0"/>
                            <a:ext cx="1437005" cy="1319530"/>
                          </a:xfrm>
                          <a:prstGeom prst="rect">
                            <a:avLst/>
                          </a:prstGeom>
                        </pic:spPr>
                      </pic:pic>
                    </a:graphicData>
                  </a:graphic>
                </wp:inline>
              </w:drawing>
            </w:r>
          </w:p>
        </w:tc>
        <w:tc>
          <w:tcPr>
            <w:tcW w:w="2370" w:type="dxa"/>
            <w:tcBorders>
              <w:top w:val="nil"/>
              <w:left w:val="nil"/>
              <w:bottom w:val="nil"/>
              <w:right w:val="nil"/>
            </w:tcBorders>
            <w:shd w:val="clear" w:color="auto" w:fill="FFFFFF"/>
            <w:vAlign w:val="top"/>
          </w:tcPr>
          <w:p w14:paraId="5415325A">
            <w:pPr>
              <w:spacing w:before="156" w:beforeLines="50" w:line="240" w:lineRule="auto"/>
              <w:jc w:val="center"/>
              <w:rPr>
                <w:rFonts w:hint="eastAsia" w:ascii="Times New Roman" w:hAnsi="Times New Roman" w:cs="Times New Roman"/>
                <w:b w:val="0"/>
                <w:color w:val="000000"/>
                <w:sz w:val="24"/>
                <w:vertAlign w:val="baseline"/>
                <w:lang w:val="en-US" w:eastAsia="zh-CN"/>
              </w:rPr>
            </w:pPr>
            <w:r>
              <w:rPr>
                <w:rFonts w:hint="eastAsia" w:ascii="Times New Roman" w:hAnsi="Times New Roman" w:cs="Times New Roman"/>
                <w:b w:val="0"/>
                <w:color w:val="000000"/>
                <w:sz w:val="24"/>
                <w:vertAlign w:val="baseline"/>
                <w:lang w:val="en-US" w:eastAsia="zh-CN"/>
              </w:rPr>
              <w:drawing>
                <wp:inline distT="0" distB="0" distL="114300" distR="114300">
                  <wp:extent cx="1480185" cy="1358900"/>
                  <wp:effectExtent l="0" t="0" r="5715" b="0"/>
                  <wp:docPr id="71" name="图片 71" descr="cm_same_day_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m_same_day_rf"/>
                          <pic:cNvPicPr>
                            <a:picLocks noChangeAspect="1"/>
                          </pic:cNvPicPr>
                        </pic:nvPicPr>
                        <pic:blipFill>
                          <a:blip r:embed="rId18"/>
                          <a:stretch>
                            <a:fillRect/>
                          </a:stretch>
                        </pic:blipFill>
                        <pic:spPr>
                          <a:xfrm>
                            <a:off x="0" y="0"/>
                            <a:ext cx="1480185" cy="1358900"/>
                          </a:xfrm>
                          <a:prstGeom prst="rect">
                            <a:avLst/>
                          </a:prstGeom>
                        </pic:spPr>
                      </pic:pic>
                    </a:graphicData>
                  </a:graphic>
                </wp:inline>
              </w:drawing>
            </w:r>
          </w:p>
        </w:tc>
      </w:tr>
      <w:tr w14:paraId="3CFFB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2466" w:type="dxa"/>
            <w:tcBorders>
              <w:top w:val="nil"/>
              <w:left w:val="nil"/>
              <w:bottom w:val="nil"/>
              <w:right w:val="nil"/>
            </w:tcBorders>
            <w:shd w:val="clear" w:color="auto" w:fill="FFFFFF"/>
            <w:vAlign w:val="top"/>
          </w:tcPr>
          <w:p w14:paraId="15BA624A">
            <w:pPr>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lang w:val="en-US" w:eastAsia="zh-CN"/>
              </w:rPr>
              <w:t>a)</w:t>
            </w:r>
          </w:p>
        </w:tc>
        <w:tc>
          <w:tcPr>
            <w:tcW w:w="2370" w:type="dxa"/>
            <w:tcBorders>
              <w:top w:val="nil"/>
              <w:left w:val="nil"/>
              <w:bottom w:val="nil"/>
              <w:right w:val="nil"/>
            </w:tcBorders>
            <w:shd w:val="clear" w:color="auto" w:fill="FFFFFF"/>
            <w:vAlign w:val="top"/>
          </w:tcPr>
          <w:p w14:paraId="52E85BD3">
            <w:pPr>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lang w:val="en-US" w:eastAsia="zh-CN"/>
              </w:rPr>
              <w:t>b)</w:t>
            </w:r>
          </w:p>
        </w:tc>
      </w:tr>
      <w:tr w14:paraId="0B4E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6" w:type="dxa"/>
            <w:tcBorders>
              <w:top w:val="nil"/>
              <w:left w:val="nil"/>
              <w:bottom w:val="nil"/>
              <w:right w:val="nil"/>
            </w:tcBorders>
            <w:shd w:val="clear" w:color="auto" w:fill="FFFFFF"/>
            <w:vAlign w:val="top"/>
          </w:tcPr>
          <w:p w14:paraId="4CE7BDF0">
            <w:pPr>
              <w:spacing w:before="156" w:beforeLines="50" w:line="240" w:lineRule="auto"/>
              <w:jc w:val="center"/>
              <w:rPr>
                <w:rFonts w:hint="eastAsia" w:ascii="Times New Roman" w:hAnsi="Times New Roman" w:cs="Times New Roman"/>
                <w:b w:val="0"/>
                <w:color w:val="000000"/>
                <w:sz w:val="24"/>
                <w:vertAlign w:val="baseline"/>
                <w:lang w:val="en-US" w:eastAsia="zh-CN"/>
              </w:rPr>
            </w:pPr>
            <w:r>
              <w:rPr>
                <w:rFonts w:hint="eastAsia" w:ascii="Times New Roman" w:hAnsi="Times New Roman" w:cs="Times New Roman"/>
                <w:b w:val="0"/>
                <w:color w:val="000000"/>
                <w:sz w:val="24"/>
                <w:vertAlign w:val="baseline"/>
                <w:lang w:val="en-US" w:eastAsia="zh-CN"/>
              </w:rPr>
              <w:drawing>
                <wp:inline distT="0" distB="0" distL="114300" distR="114300">
                  <wp:extent cx="1484630" cy="1363345"/>
                  <wp:effectExtent l="0" t="0" r="1270" b="8255"/>
                  <wp:docPr id="72" name="图片 72" descr="cm_same_day_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cm_same_day_lda"/>
                          <pic:cNvPicPr>
                            <a:picLocks noChangeAspect="1"/>
                          </pic:cNvPicPr>
                        </pic:nvPicPr>
                        <pic:blipFill>
                          <a:blip r:embed="rId19"/>
                          <a:stretch>
                            <a:fillRect/>
                          </a:stretch>
                        </pic:blipFill>
                        <pic:spPr>
                          <a:xfrm>
                            <a:off x="0" y="0"/>
                            <a:ext cx="1484630" cy="1363345"/>
                          </a:xfrm>
                          <a:prstGeom prst="rect">
                            <a:avLst/>
                          </a:prstGeom>
                        </pic:spPr>
                      </pic:pic>
                    </a:graphicData>
                  </a:graphic>
                </wp:inline>
              </w:drawing>
            </w:r>
          </w:p>
        </w:tc>
        <w:tc>
          <w:tcPr>
            <w:tcW w:w="2370" w:type="dxa"/>
            <w:tcBorders>
              <w:top w:val="nil"/>
              <w:left w:val="nil"/>
              <w:bottom w:val="nil"/>
              <w:right w:val="nil"/>
            </w:tcBorders>
            <w:shd w:val="clear" w:color="auto" w:fill="FFFFFF"/>
            <w:vAlign w:val="top"/>
          </w:tcPr>
          <w:p w14:paraId="27D831DC">
            <w:pPr>
              <w:spacing w:before="156" w:beforeLines="50" w:line="240" w:lineRule="auto"/>
              <w:jc w:val="center"/>
              <w:rPr>
                <w:rFonts w:hint="eastAsia" w:ascii="Times New Roman" w:hAnsi="Times New Roman" w:cs="Times New Roman"/>
                <w:b w:val="0"/>
                <w:color w:val="000000"/>
                <w:sz w:val="24"/>
                <w:vertAlign w:val="baseline"/>
                <w:lang w:val="en-US" w:eastAsia="zh-CN"/>
              </w:rPr>
            </w:pPr>
            <w:r>
              <w:rPr>
                <w:rFonts w:hint="eastAsia" w:ascii="Times New Roman" w:hAnsi="Times New Roman" w:cs="Times New Roman"/>
                <w:b w:val="0"/>
                <w:color w:val="000000"/>
                <w:sz w:val="24"/>
                <w:vertAlign w:val="baseline"/>
                <w:lang w:val="en-US" w:eastAsia="zh-CN"/>
              </w:rPr>
              <w:drawing>
                <wp:inline distT="0" distB="0" distL="114300" distR="114300">
                  <wp:extent cx="1481455" cy="1360170"/>
                  <wp:effectExtent l="0" t="0" r="4445" b="11430"/>
                  <wp:docPr id="73" name="图片 73" descr="cm_same_day_k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m_same_day_knn"/>
                          <pic:cNvPicPr>
                            <a:picLocks noChangeAspect="1"/>
                          </pic:cNvPicPr>
                        </pic:nvPicPr>
                        <pic:blipFill>
                          <a:blip r:embed="rId20"/>
                          <a:stretch>
                            <a:fillRect/>
                          </a:stretch>
                        </pic:blipFill>
                        <pic:spPr>
                          <a:xfrm>
                            <a:off x="0" y="0"/>
                            <a:ext cx="1481455" cy="1360170"/>
                          </a:xfrm>
                          <a:prstGeom prst="rect">
                            <a:avLst/>
                          </a:prstGeom>
                        </pic:spPr>
                      </pic:pic>
                    </a:graphicData>
                  </a:graphic>
                </wp:inline>
              </w:drawing>
            </w:r>
          </w:p>
        </w:tc>
      </w:tr>
      <w:tr w14:paraId="2B16D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2466" w:type="dxa"/>
            <w:tcBorders>
              <w:top w:val="nil"/>
              <w:left w:val="nil"/>
              <w:bottom w:val="nil"/>
              <w:right w:val="nil"/>
            </w:tcBorders>
            <w:shd w:val="clear" w:color="auto" w:fill="FFFFFF"/>
            <w:vAlign w:val="top"/>
          </w:tcPr>
          <w:p w14:paraId="2A4BAAE6">
            <w:pPr>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lang w:val="en-US" w:eastAsia="zh-CN"/>
              </w:rPr>
              <w:t>c)</w:t>
            </w:r>
          </w:p>
        </w:tc>
        <w:tc>
          <w:tcPr>
            <w:tcW w:w="2370" w:type="dxa"/>
            <w:tcBorders>
              <w:top w:val="nil"/>
              <w:left w:val="nil"/>
              <w:bottom w:val="nil"/>
              <w:right w:val="nil"/>
            </w:tcBorders>
            <w:shd w:val="clear" w:color="auto" w:fill="FFFFFF"/>
            <w:vAlign w:val="top"/>
          </w:tcPr>
          <w:p w14:paraId="2D936D6F">
            <w:pPr>
              <w:jc w:val="center"/>
              <w:rPr>
                <w:rFonts w:hint="eastAsia" w:ascii="Times New Roman" w:hAnsi="Times New Roman" w:eastAsia="宋体" w:cs="Times New Roman"/>
                <w:b w:val="0"/>
                <w:color w:val="000000"/>
                <w:kern w:val="2"/>
                <w:sz w:val="24"/>
                <w:szCs w:val="24"/>
                <w:vertAlign w:val="baseline"/>
                <w:lang w:val="en-US" w:eastAsia="zh-CN" w:bidi="ar-SA"/>
              </w:rPr>
            </w:pPr>
            <w:r>
              <w:rPr>
                <w:rFonts w:hint="eastAsia"/>
                <w:lang w:val="en-US" w:eastAsia="zh-CN"/>
              </w:rPr>
              <w:t>d)</w:t>
            </w:r>
          </w:p>
        </w:tc>
      </w:tr>
    </w:tbl>
    <w:p w14:paraId="14521ACA">
      <w:pPr>
        <w:spacing w:before="156" w:beforeLines="50" w:line="360" w:lineRule="exact"/>
        <w:jc w:val="center"/>
        <w:rPr>
          <w:rFonts w:hint="eastAsia" w:ascii="Times New Roman" w:hAnsi="Times New Roman" w:cs="Times New Roman"/>
          <w:sz w:val="24"/>
          <w:lang w:val="en-US" w:eastAsia="zh-CN"/>
        </w:rPr>
      </w:pPr>
      <w:r>
        <w:rPr>
          <w:rFonts w:ascii="Times New Roman" w:hAnsi="Times New Roman" w:cs="Times New Roman"/>
          <w:sz w:val="24"/>
        </w:rPr>
        <w:t>图</w:t>
      </w:r>
      <w:r>
        <w:rPr>
          <w:rFonts w:hint="eastAsia" w:ascii="Times New Roman" w:hAnsi="Times New Roman" w:cs="Times New Roman"/>
          <w:sz w:val="24"/>
          <w:lang w:val="en-US" w:eastAsia="zh-CN"/>
        </w:rPr>
        <w:t xml:space="preserve">4 </w:t>
      </w:r>
      <w:r>
        <w:rPr>
          <w:rFonts w:ascii="Times New Roman" w:hAnsi="Times New Roman" w:cs="Times New Roman"/>
          <w:sz w:val="24"/>
        </w:rPr>
        <w:t>30台设备</w:t>
      </w:r>
      <w:r>
        <w:rPr>
          <w:rFonts w:hint="eastAsia" w:ascii="Times New Roman" w:hAnsi="Times New Roman" w:cs="Times New Roman"/>
          <w:sz w:val="24"/>
          <w:lang w:val="en-US" w:eastAsia="zh-CN"/>
        </w:rPr>
        <w:t>不同天情况下的</w:t>
      </w:r>
      <w:r>
        <w:rPr>
          <w:rFonts w:ascii="Times New Roman" w:hAnsi="Times New Roman" w:cs="Times New Roman"/>
          <w:sz w:val="24"/>
        </w:rPr>
        <w:t>各分类器</w:t>
      </w:r>
      <w:r>
        <w:rPr>
          <w:rFonts w:hint="eastAsia" w:ascii="Times New Roman" w:hAnsi="Times New Roman" w:cs="Times New Roman"/>
          <w:sz w:val="24"/>
          <w:lang w:val="en-US" w:eastAsia="zh-CN"/>
        </w:rPr>
        <w:t>的测试混淆矩阵结果：a）为SVM；b）为RF；c）为LDA；d）为KNN；</w:t>
      </w:r>
    </w:p>
    <w:p w14:paraId="60D4B890">
      <w:pPr>
        <w:jc w:val="both"/>
        <w:rPr>
          <w:rFonts w:hint="eastAsia"/>
          <w:lang w:val="en-US" w:eastAsia="zh-CN"/>
        </w:rPr>
      </w:pPr>
    </w:p>
    <w:p w14:paraId="19A2E326">
      <w:pPr>
        <w:rPr>
          <w:rFonts w:hint="eastAsia"/>
          <w:lang w:val="en-US" w:eastAsia="zh-CN"/>
        </w:rPr>
      </w:pPr>
    </w:p>
    <w:p w14:paraId="6E22BBEB">
      <w:pPr>
        <w:ind w:firstLine="420" w:firstLineChars="200"/>
        <w:rPr>
          <w:rFonts w:hint="eastAsia"/>
          <w:lang w:val="en-US" w:eastAsia="zh-CN"/>
        </w:rPr>
      </w:pPr>
      <w:r>
        <w:rPr>
          <w:rFonts w:hint="eastAsia"/>
          <w:lang w:val="en-US" w:eastAsia="zh-CN"/>
        </w:rPr>
        <w:t>非视距（NLoS）是实际无线通信中常见的信道条件。为验证所提方法在NLoS环境下的性能，本文通过在USRP与设备之间设置障碍物来模拟非视距传播场景。在该条件下，由于障碍物的存在引入多径效应，进而对信号相位产生一定影响，识别性能相较视距环境略有下降。然而，如图3所示的混淆矩阵结果表明，大多数设备仍能够被准确区分，整体识别效果良好，验证了所提方法在复杂信道环境下的鲁棒性。</w:t>
      </w:r>
    </w:p>
    <w:p w14:paraId="43B136F3">
      <w:pPr>
        <w:rPr>
          <w:rFonts w:hint="eastAsia"/>
          <w:lang w:val="en-US" w:eastAsia="zh-CN"/>
        </w:rPr>
      </w:pPr>
      <w:r>
        <w:rPr>
          <w:rFonts w:hint="eastAsia"/>
          <w:lang w:val="en-US" w:eastAsia="zh-CN"/>
        </w:rPr>
        <w:drawing>
          <wp:inline distT="0" distB="0" distL="114300" distR="114300">
            <wp:extent cx="2921635" cy="2682240"/>
            <wp:effectExtent l="0" t="0" r="12065" b="10160"/>
            <wp:docPr id="16" name="图片 16" descr="c163d5ea192b2a814eba1f401976a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163d5ea192b2a814eba1f401976a220"/>
                    <pic:cNvPicPr>
                      <a:picLocks noChangeAspect="1"/>
                    </pic:cNvPicPr>
                  </pic:nvPicPr>
                  <pic:blipFill>
                    <a:blip r:embed="rId21"/>
                    <a:stretch>
                      <a:fillRect/>
                    </a:stretch>
                  </pic:blipFill>
                  <pic:spPr>
                    <a:xfrm>
                      <a:off x="0" y="0"/>
                      <a:ext cx="2921635" cy="2682240"/>
                    </a:xfrm>
                    <a:prstGeom prst="rect">
                      <a:avLst/>
                    </a:prstGeom>
                  </pic:spPr>
                </pic:pic>
              </a:graphicData>
            </a:graphic>
          </wp:inline>
        </w:drawing>
      </w:r>
    </w:p>
    <w:p w14:paraId="21C00266">
      <w:pPr>
        <w:spacing w:after="156" w:afterLines="50"/>
        <w:jc w:val="center"/>
        <w:textAlignment w:val="baseline"/>
        <w:rPr>
          <w:rFonts w:hint="eastAsia"/>
          <w:lang w:val="en-US" w:eastAsia="zh-CN"/>
        </w:rPr>
      </w:pPr>
      <w:r>
        <w:rPr>
          <w:rFonts w:hint="eastAsia" w:ascii="Times New Roman" w:hAnsi="宋体" w:eastAsia="宋体" w:cs="Times New Roman"/>
          <w:sz w:val="18"/>
          <w:lang w:val="en-US" w:eastAsia="zh-CN"/>
        </w:rPr>
        <w:t>图</w:t>
      </w:r>
      <w:r>
        <w:rPr>
          <w:rFonts w:hint="eastAsia" w:hAnsi="宋体" w:cs="Times New Roman"/>
          <w:sz w:val="18"/>
          <w:lang w:val="en-US" w:eastAsia="zh-CN"/>
        </w:rPr>
        <w:t>5</w:t>
      </w:r>
      <w:r>
        <w:rPr>
          <w:rFonts w:hint="eastAsia" w:ascii="Times New Roman" w:hAnsi="宋体" w:eastAsia="宋体" w:cs="Times New Roman"/>
          <w:sz w:val="18"/>
          <w:lang w:val="en-US" w:eastAsia="zh-CN"/>
        </w:rPr>
        <w:t xml:space="preserve"> 30台设备集成学习在非视距情况下的混淆矩阵</w:t>
      </w:r>
    </w:p>
    <w:p w14:paraId="267EB0B4">
      <w:pPr>
        <w:ind w:firstLine="420" w:firstLineChars="200"/>
        <w:rPr>
          <w:rFonts w:hint="eastAsia"/>
          <w:lang w:val="en-US" w:eastAsia="zh-CN"/>
        </w:rPr>
      </w:pPr>
      <w:r>
        <w:rPr>
          <w:rFonts w:hint="eastAsia"/>
          <w:lang w:val="en-US" w:eastAsia="zh-CN"/>
        </w:rPr>
        <w:t>综上所述，本方案通过四种异构分类器的集成融合，结合静态权重与动态置信度联合加权机制，在30台LoRa终端设备的识别任务中取得了同天99.07%、跨天97.68%的识别准确率。实验结果表明，融合双帧载波频偏特征的集成学习方法能够有效提取LoRa设备的射频指纹特征，在保证高识别精度的同时兼具良好的跨时间鲁棒性。</w:t>
      </w:r>
    </w:p>
    <w:p w14:paraId="2FC3321A">
      <w:pPr>
        <w:keepNext/>
        <w:widowControl/>
        <w:spacing w:before="156" w:beforeLines="50" w:after="156" w:afterLines="50"/>
        <w:rPr>
          <w:rFonts w:hint="eastAsia"/>
          <w:b/>
          <w:sz w:val="28"/>
          <w:szCs w:val="28"/>
        </w:rPr>
      </w:pPr>
      <w:r>
        <w:rPr>
          <w:rFonts w:hint="eastAsia"/>
          <w:b/>
          <w:sz w:val="28"/>
          <w:szCs w:val="28"/>
        </w:rPr>
        <w:t>6 结论</w:t>
      </w:r>
    </w:p>
    <w:p w14:paraId="141322D4">
      <w:pPr>
        <w:ind w:firstLine="420" w:firstLineChars="200"/>
        <w:rPr>
          <w:rFonts w:hint="eastAsia"/>
          <w:lang w:val="en-US" w:eastAsia="zh-CN"/>
        </w:rPr>
      </w:pPr>
      <w:r>
        <w:rPr>
          <w:rFonts w:hint="eastAsia"/>
          <w:lang w:val="en-US" w:eastAsia="zh-CN"/>
        </w:rPr>
        <w:t>本文提出了一种融合双帧载波频偏特征的LoRa终端射频指纹识别方法。通过连续双帧建模与均值、差分特征融合，有效提升了特征的稳定性与区分能力；结合多分类器集成及静态权重与动态置信度联合加权机制，提高了识别准确性与鲁棒性；引入双阈值拒识策略，实现了对未知设备的有效识别。实验结果表明，该方法在同天与跨天条件下均取得较高识别精度，并具备良好的泛化能力和安全性。该方法为资源受限LoRa网络的安全接入提供了一种有效解决方案。</w:t>
      </w:r>
    </w:p>
    <w:p w14:paraId="32AB985B">
      <w:pPr>
        <w:keepNext/>
        <w:widowControl/>
        <w:spacing w:before="156" w:beforeLines="50" w:after="156" w:afterLines="50"/>
        <w:rPr>
          <w:rFonts w:hint="eastAsia"/>
          <w:b/>
          <w:sz w:val="28"/>
          <w:szCs w:val="28"/>
        </w:rPr>
      </w:pPr>
      <w:r>
        <w:rPr>
          <w:rFonts w:hint="eastAsia"/>
          <w:b/>
          <w:sz w:val="28"/>
          <w:szCs w:val="28"/>
        </w:rPr>
        <w:t>参考文献</w:t>
      </w:r>
    </w:p>
    <w:p w14:paraId="63162AE5">
      <w:pPr>
        <w:numPr>
          <w:ilvl w:val="0"/>
          <w:numId w:val="8"/>
        </w:numPr>
        <w:rPr>
          <w:rFonts w:hint="eastAsia"/>
          <w:kern w:val="15"/>
          <w:sz w:val="18"/>
          <w:szCs w:val="18"/>
        </w:rPr>
      </w:pPr>
      <w:r>
        <w:rPr>
          <w:rFonts w:hint="default"/>
          <w:kern w:val="15"/>
          <w:sz w:val="18"/>
          <w:szCs w:val="18"/>
        </w:rPr>
        <w:t>Li C, Cao Z. LoRa Networking Techniques for Large-scale and Long-term IoT: A Down-to-top Survey[J]. ACM Computing Surveys, 2023, 55(3): 1-36.</w:t>
      </w:r>
    </w:p>
    <w:p w14:paraId="40240996">
      <w:pPr>
        <w:numPr>
          <w:ilvl w:val="0"/>
          <w:numId w:val="8"/>
        </w:numPr>
        <w:rPr>
          <w:rFonts w:hint="default"/>
          <w:kern w:val="15"/>
          <w:sz w:val="18"/>
          <w:szCs w:val="18"/>
        </w:rPr>
      </w:pPr>
      <w:r>
        <w:rPr>
          <w:rFonts w:hint="default"/>
          <w:kern w:val="15"/>
          <w:sz w:val="18"/>
          <w:szCs w:val="18"/>
        </w:rPr>
        <w:t>Statista. IoT devices installed base worldwide 2015-2025[EB/OL]. </w:t>
      </w:r>
      <w:r>
        <w:rPr>
          <w:rFonts w:hint="default"/>
          <w:kern w:val="15"/>
          <w:sz w:val="18"/>
          <w:szCs w:val="18"/>
        </w:rPr>
        <w:fldChar w:fldCharType="begin"/>
      </w:r>
      <w:r>
        <w:rPr>
          <w:rFonts w:hint="default"/>
          <w:kern w:val="15"/>
          <w:sz w:val="18"/>
          <w:szCs w:val="18"/>
        </w:rPr>
        <w:instrText xml:space="preserve"> HYPERLINK "https://www.statista.com/statistics/471264/iot-number-of-connected-devices-worldwide/" \t "https://chat.deepseek.com/a/chat/s/_blank" </w:instrText>
      </w:r>
      <w:r>
        <w:rPr>
          <w:rFonts w:hint="default"/>
          <w:kern w:val="15"/>
          <w:sz w:val="18"/>
          <w:szCs w:val="18"/>
        </w:rPr>
        <w:fldChar w:fldCharType="separate"/>
      </w:r>
      <w:r>
        <w:rPr>
          <w:rFonts w:hint="default"/>
          <w:kern w:val="15"/>
          <w:sz w:val="18"/>
          <w:szCs w:val="18"/>
        </w:rPr>
        <w:t>https://www.statista.com/statistics/471264/iot-number-of-connected-devices-worldwide/</w:t>
      </w:r>
      <w:r>
        <w:rPr>
          <w:rFonts w:hint="default"/>
          <w:kern w:val="15"/>
          <w:sz w:val="18"/>
          <w:szCs w:val="18"/>
        </w:rPr>
        <w:fldChar w:fldCharType="end"/>
      </w:r>
      <w:r>
        <w:rPr>
          <w:rFonts w:hint="default"/>
          <w:kern w:val="15"/>
          <w:sz w:val="18"/>
          <w:szCs w:val="18"/>
        </w:rPr>
        <w:t>, 2023.</w:t>
      </w:r>
    </w:p>
    <w:p w14:paraId="34A13F3A">
      <w:pPr>
        <w:numPr>
          <w:ilvl w:val="0"/>
          <w:numId w:val="8"/>
        </w:numPr>
        <w:rPr>
          <w:rFonts w:hint="default"/>
          <w:kern w:val="15"/>
          <w:sz w:val="18"/>
          <w:szCs w:val="18"/>
        </w:rPr>
      </w:pPr>
      <w:r>
        <w:rPr>
          <w:rFonts w:hint="default"/>
          <w:kern w:val="15"/>
          <w:sz w:val="18"/>
          <w:szCs w:val="18"/>
        </w:rPr>
        <w:t>Danev G, Luecken H, Capkun S, et al. Attacks on physical-layer identification[C]//Proceedings of the third ACM conference on Wireless network security. 2010: 89-98.</w:t>
      </w:r>
    </w:p>
    <w:p w14:paraId="32EFE1F0">
      <w:pPr>
        <w:numPr>
          <w:ilvl w:val="0"/>
          <w:numId w:val="8"/>
        </w:numPr>
        <w:rPr>
          <w:rFonts w:hint="default"/>
          <w:kern w:val="15"/>
          <w:sz w:val="18"/>
          <w:szCs w:val="18"/>
        </w:rPr>
      </w:pPr>
      <w:r>
        <w:rPr>
          <w:rFonts w:hint="default"/>
          <w:kern w:val="15"/>
          <w:sz w:val="18"/>
          <w:szCs w:val="18"/>
        </w:rPr>
        <w:t>Xiao L, Li Y, Han G, et al. PHY-layer spoofing detection with reinforcement learning in wireless networks[J]. IEEE Transactions on Vehicular Technology, 2017, 66(11): 10037-10047.</w:t>
      </w:r>
    </w:p>
    <w:p w14:paraId="4D7A97A6">
      <w:pPr>
        <w:numPr>
          <w:ilvl w:val="0"/>
          <w:numId w:val="8"/>
        </w:numPr>
        <w:rPr>
          <w:rFonts w:hint="default"/>
          <w:kern w:val="15"/>
          <w:sz w:val="18"/>
          <w:szCs w:val="18"/>
        </w:rPr>
      </w:pPr>
      <w:r>
        <w:rPr>
          <w:rFonts w:hint="default"/>
          <w:kern w:val="15"/>
          <w:sz w:val="18"/>
          <w:szCs w:val="18"/>
        </w:rPr>
        <w:t>Zanetti D, Capkun S. Physical-layer identification of wireless devices[D]. ETH Zurich, 2012.</w:t>
      </w:r>
    </w:p>
    <w:p w14:paraId="70581BCD">
      <w:pPr>
        <w:numPr>
          <w:ilvl w:val="0"/>
          <w:numId w:val="8"/>
        </w:numPr>
        <w:rPr>
          <w:rFonts w:hint="default"/>
          <w:kern w:val="15"/>
          <w:sz w:val="18"/>
          <w:szCs w:val="18"/>
        </w:rPr>
      </w:pPr>
      <w:r>
        <w:rPr>
          <w:rFonts w:hint="default"/>
          <w:kern w:val="15"/>
          <w:sz w:val="18"/>
          <w:szCs w:val="18"/>
        </w:rPr>
        <w:t>Shen G, Zhang J, Marshall A, et al. Towards scalable and channel-robust radio frequency fingerprint identification for LoRa[J]. IEEE Transactions on Information Forensics and Security, 2022, 17: 774-787.</w:t>
      </w:r>
    </w:p>
    <w:p w14:paraId="31ECA5CD">
      <w:pPr>
        <w:numPr>
          <w:ilvl w:val="0"/>
          <w:numId w:val="8"/>
        </w:numPr>
        <w:rPr>
          <w:rFonts w:hint="default"/>
          <w:kern w:val="15"/>
          <w:sz w:val="18"/>
          <w:szCs w:val="18"/>
        </w:rPr>
      </w:pPr>
      <w:r>
        <w:rPr>
          <w:rFonts w:hint="default"/>
          <w:kern w:val="15"/>
          <w:sz w:val="18"/>
          <w:szCs w:val="18"/>
        </w:rPr>
        <w:t>Shen G, Zhang J, Marshall A, et al. Radio frequency fingerprint identification for LoRa using spectrogram and CNN[C]//IEEE INFOCOM 2021 - IEEE Conference on Computer Communications. 2021: 1-10.</w:t>
      </w:r>
    </w:p>
    <w:p w14:paraId="75B98162">
      <w:pPr>
        <w:numPr>
          <w:ilvl w:val="0"/>
          <w:numId w:val="8"/>
        </w:numPr>
        <w:rPr>
          <w:rFonts w:hint="default"/>
          <w:kern w:val="15"/>
          <w:sz w:val="18"/>
          <w:szCs w:val="18"/>
        </w:rPr>
      </w:pPr>
      <w:r>
        <w:rPr>
          <w:rFonts w:hint="default"/>
          <w:kern w:val="15"/>
          <w:sz w:val="18"/>
          <w:szCs w:val="18"/>
        </w:rPr>
        <w:t>Gu X, Wu W, Guo N, et al. TeRFF: Temperature-aware radio frequency fingerprinting for smartphones[C]//2022 19th Annual IEEE International Conference on Sensing, Communication, and Networking (SECON). 2022: 127-135.</w:t>
      </w:r>
    </w:p>
    <w:p w14:paraId="48F1DD0B">
      <w:pPr>
        <w:numPr>
          <w:ilvl w:val="0"/>
          <w:numId w:val="8"/>
        </w:numPr>
        <w:rPr>
          <w:rFonts w:hint="default"/>
          <w:kern w:val="15"/>
          <w:sz w:val="18"/>
          <w:szCs w:val="18"/>
        </w:rPr>
      </w:pPr>
      <w:r>
        <w:rPr>
          <w:rFonts w:hint="default"/>
          <w:kern w:val="15"/>
          <w:sz w:val="18"/>
          <w:szCs w:val="18"/>
        </w:rPr>
        <w:t>Scheirer W J, de Rezende Rocha A, Sapkota A, et al. Toward open set recognition[J]. IEEE Transactions on Pattern Analysis and Machine Intelligence, 2013, 35(7): 1757-1772.</w:t>
      </w:r>
    </w:p>
    <w:p w14:paraId="0242C2E8">
      <w:pPr>
        <w:numPr>
          <w:ilvl w:val="0"/>
          <w:numId w:val="8"/>
        </w:numPr>
        <w:rPr>
          <w:rFonts w:hint="default"/>
          <w:kern w:val="15"/>
          <w:sz w:val="18"/>
          <w:szCs w:val="18"/>
        </w:rPr>
      </w:pPr>
      <w:r>
        <w:rPr>
          <w:rFonts w:hint="default"/>
          <w:kern w:val="15"/>
          <w:sz w:val="18"/>
          <w:szCs w:val="18"/>
        </w:rPr>
        <w:t>Brik V, Banerjee S, Gruteser M, et al. Wireless device identification with radiometric signatures[C]//Proceedings of the 14th ACM international conference on Mobile computing and networking. 2008: 116-127.</w:t>
      </w:r>
    </w:p>
    <w:p w14:paraId="4484DFAA">
      <w:pPr>
        <w:numPr>
          <w:ilvl w:val="0"/>
          <w:numId w:val="8"/>
        </w:numPr>
        <w:rPr>
          <w:rFonts w:hint="default"/>
          <w:kern w:val="15"/>
          <w:sz w:val="18"/>
          <w:szCs w:val="18"/>
        </w:rPr>
      </w:pPr>
      <w:r>
        <w:rPr>
          <w:rFonts w:hint="default"/>
          <w:kern w:val="15"/>
          <w:sz w:val="18"/>
          <w:szCs w:val="18"/>
        </w:rPr>
        <w:t>Wu X, Jiang Y, Hu A. LoRa devices identification based on differential constellation trace figure[C]//International Conference on Artificial Intelligence and Security. Springer, Cham, 2020: 658-669.</w:t>
      </w:r>
    </w:p>
    <w:p w14:paraId="6B836F91">
      <w:pPr>
        <w:numPr>
          <w:ilvl w:val="0"/>
          <w:numId w:val="8"/>
        </w:numPr>
        <w:rPr>
          <w:rFonts w:hint="default"/>
          <w:kern w:val="15"/>
          <w:sz w:val="18"/>
          <w:szCs w:val="18"/>
        </w:rPr>
      </w:pPr>
      <w:r>
        <w:rPr>
          <w:rFonts w:hint="default"/>
          <w:kern w:val="15"/>
          <w:sz w:val="18"/>
          <w:szCs w:val="18"/>
        </w:rPr>
        <w:t>Al-Shawabka A, Pietraski P, Pattar S B, et al. DeepLoRa: Fingerprinting LoRa devices at scale through deep learning and data augmentation[C]//Proceedings of the Twenty-second International Symposium on Theory, Algorithmic Foundations, and Protocol Design for Mobile Networks and Mobile Computing. 2021: 251-260.</w:t>
      </w:r>
    </w:p>
    <w:p w14:paraId="4344DA2C">
      <w:pPr>
        <w:numPr>
          <w:ilvl w:val="0"/>
          <w:numId w:val="8"/>
        </w:numPr>
        <w:rPr>
          <w:rFonts w:hint="default"/>
          <w:kern w:val="15"/>
          <w:sz w:val="18"/>
          <w:szCs w:val="18"/>
        </w:rPr>
      </w:pPr>
      <w:r>
        <w:rPr>
          <w:rFonts w:hint="default"/>
          <w:kern w:val="15"/>
          <w:sz w:val="18"/>
          <w:szCs w:val="18"/>
        </w:rPr>
        <w:t>Robyns P, Marin E, Lamotte W, et al. Physical-layer fingerprinting of LoRa devices using supervised and zero-shot learning[C]//Proceedings of the 10th ACM Conference on Security and Privacy in Wireless and Mobile Networks. 2017: 58-63.</w:t>
      </w:r>
    </w:p>
    <w:p w14:paraId="7E253F1A">
      <w:pPr>
        <w:numPr>
          <w:ilvl w:val="0"/>
          <w:numId w:val="8"/>
        </w:numPr>
        <w:rPr>
          <w:rFonts w:hint="default"/>
          <w:kern w:val="15"/>
          <w:sz w:val="18"/>
          <w:szCs w:val="18"/>
        </w:rPr>
      </w:pPr>
      <w:r>
        <w:rPr>
          <w:rFonts w:hint="default"/>
          <w:kern w:val="15"/>
          <w:sz w:val="18"/>
          <w:szCs w:val="18"/>
        </w:rPr>
        <w:t>Restuccia F, D'Oro S, Al-Shawabka A, et al. DeepRadioID: Real-time channel-resilient optimization of deep learning-based</w:t>
      </w:r>
      <w:r>
        <w:rPr>
          <w:rFonts w:hint="eastAsia"/>
          <w:kern w:val="15"/>
          <w:sz w:val="18"/>
          <w:szCs w:val="18"/>
          <w:lang w:val="en-US" w:eastAsia="zh-CN"/>
        </w:rPr>
        <w:t xml:space="preserve"> </w:t>
      </w:r>
      <w:r>
        <w:rPr>
          <w:rFonts w:hint="default"/>
          <w:kern w:val="15"/>
          <w:sz w:val="18"/>
          <w:szCs w:val="18"/>
        </w:rPr>
        <w:t>radio</w:t>
      </w:r>
      <w:r>
        <w:rPr>
          <w:rFonts w:hint="eastAsia"/>
          <w:kern w:val="15"/>
          <w:sz w:val="18"/>
          <w:szCs w:val="18"/>
          <w:lang w:val="en-US" w:eastAsia="zh-CN"/>
        </w:rPr>
        <w:t xml:space="preserve"> </w:t>
      </w:r>
      <w:r>
        <w:rPr>
          <w:rFonts w:hint="default"/>
          <w:kern w:val="15"/>
          <w:sz w:val="18"/>
          <w:szCs w:val="18"/>
        </w:rPr>
        <w:t>fingerprinting</w:t>
      </w:r>
      <w:r>
        <w:rPr>
          <w:rFonts w:hint="eastAsia"/>
          <w:kern w:val="15"/>
          <w:sz w:val="18"/>
          <w:szCs w:val="18"/>
          <w:lang w:val="en-US" w:eastAsia="zh-CN"/>
        </w:rPr>
        <w:t xml:space="preserve"> </w:t>
      </w:r>
      <w:r>
        <w:rPr>
          <w:rFonts w:hint="default"/>
          <w:kern w:val="15"/>
          <w:sz w:val="18"/>
          <w:szCs w:val="18"/>
        </w:rPr>
        <w:t>algorithms[C]//</w:t>
      </w:r>
      <w:r>
        <w:rPr>
          <w:rFonts w:hint="eastAsia"/>
          <w:kern w:val="15"/>
          <w:sz w:val="18"/>
          <w:szCs w:val="18"/>
          <w:lang w:val="en-US" w:eastAsia="zh-CN"/>
        </w:rPr>
        <w:t xml:space="preserve"> </w:t>
      </w:r>
      <w:r>
        <w:rPr>
          <w:rFonts w:hint="default"/>
          <w:kern w:val="15"/>
          <w:sz w:val="18"/>
          <w:szCs w:val="18"/>
        </w:rPr>
        <w:t>Proceedings of the Twentieth ACM International Symposium on Mobile Ad Hoc Networking and Computing. 2019: 51-60.</w:t>
      </w:r>
    </w:p>
    <w:p w14:paraId="2166BBD2">
      <w:pPr>
        <w:numPr>
          <w:ilvl w:val="0"/>
          <w:numId w:val="8"/>
        </w:numPr>
        <w:rPr>
          <w:rFonts w:hint="default"/>
          <w:kern w:val="15"/>
          <w:sz w:val="18"/>
          <w:szCs w:val="18"/>
        </w:rPr>
      </w:pPr>
      <w:r>
        <w:rPr>
          <w:rFonts w:hint="default"/>
          <w:kern w:val="15"/>
          <w:sz w:val="18"/>
          <w:szCs w:val="18"/>
        </w:rPr>
        <w:t>Dietterich T G. Ensemble methods in machine learning[C]//International workshop on multiple classifier systems. Springer, Berlin, Heidelberg, 2000: 1-15.</w:t>
      </w:r>
    </w:p>
    <w:p w14:paraId="6ED7B4E2">
      <w:pPr>
        <w:numPr>
          <w:ilvl w:val="0"/>
          <w:numId w:val="8"/>
        </w:numPr>
        <w:rPr>
          <w:rFonts w:hint="default"/>
          <w:kern w:val="15"/>
          <w:sz w:val="18"/>
          <w:szCs w:val="18"/>
        </w:rPr>
      </w:pPr>
      <w:r>
        <w:rPr>
          <w:rFonts w:hint="default"/>
          <w:kern w:val="15"/>
          <w:sz w:val="18"/>
          <w:szCs w:val="18"/>
        </w:rPr>
        <w:t>Huang Y, Wang Y, Zhang J, et al. FSST and supervised contrastive learning for robust RF fingerprinting[J]. IEEE Transactions on Communications, 2022, 70(8): 5432-5446.</w:t>
      </w:r>
    </w:p>
    <w:p w14:paraId="6E64E794">
      <w:pPr>
        <w:numPr>
          <w:ilvl w:val="0"/>
          <w:numId w:val="8"/>
        </w:numPr>
        <w:rPr>
          <w:rFonts w:hint="default"/>
          <w:kern w:val="15"/>
          <w:sz w:val="18"/>
          <w:szCs w:val="18"/>
        </w:rPr>
      </w:pPr>
      <w:r>
        <w:rPr>
          <w:rFonts w:hint="eastAsia"/>
          <w:kern w:val="15"/>
          <w:sz w:val="18"/>
          <w:szCs w:val="18"/>
          <w:lang w:val="en-US" w:eastAsia="zh-CN"/>
        </w:rPr>
        <w:t xml:space="preserve"> </w:t>
      </w:r>
      <w:r>
        <w:rPr>
          <w:rFonts w:hint="eastAsia"/>
          <w:kern w:val="15"/>
          <w:sz w:val="18"/>
          <w:szCs w:val="18"/>
        </w:rPr>
        <w:t>Y. Huang et al., "FSST and Supervised Contrastive Learning for Robust RF Fingerprinting," *IEEE Transactions on Communications*, 2022.</w:t>
      </w:r>
    </w:p>
    <w:p w14:paraId="017160F2">
      <w:pPr>
        <w:numPr>
          <w:ilvl w:val="0"/>
          <w:numId w:val="8"/>
        </w:numPr>
        <w:ind w:left="340" w:leftChars="0" w:hanging="340" w:firstLineChars="0"/>
        <w:rPr>
          <w:rFonts w:hint="eastAsia"/>
          <w:kern w:val="15"/>
          <w:sz w:val="18"/>
          <w:szCs w:val="18"/>
        </w:rPr>
      </w:pPr>
      <w:r>
        <w:rPr>
          <w:rFonts w:hint="eastAsia"/>
          <w:kern w:val="15"/>
          <w:sz w:val="18"/>
          <w:szCs w:val="18"/>
        </w:rPr>
        <w:t>He W, Wu W, Gu X, et al. Diff-ADF: Differential Adjacent-dual-frame Radio Frequency Fingerprinting for LoRa Devices[C]//IEEE INFOCOM 2024 - IEEE Conference on Computer Communications. 2024: 1-10.</w:t>
      </w:r>
    </w:p>
    <w:p w14:paraId="5C081D56">
      <w:pPr>
        <w:numPr>
          <w:ilvl w:val="0"/>
          <w:numId w:val="8"/>
        </w:numPr>
        <w:ind w:left="340" w:leftChars="0" w:hanging="340" w:firstLineChars="0"/>
        <w:rPr>
          <w:rFonts w:hint="eastAsia"/>
          <w:sz w:val="18"/>
          <w:szCs w:val="18"/>
        </w:rPr>
      </w:pPr>
      <w:r>
        <w:rPr>
          <w:rFonts w:hint="eastAsia"/>
          <w:sz w:val="18"/>
          <w:szCs w:val="18"/>
        </w:rPr>
        <w:t>T. M. Schmidl and D. C. Cox, “Robust frequency and timing synchronization for OFDM,” IEEE Transactions on Communications, vol. 45,no. 12, pp. 1613–1621, 1997.</w:t>
      </w:r>
    </w:p>
    <w:p w14:paraId="0EE7EC5A">
      <w:pPr>
        <w:numPr>
          <w:ilvl w:val="0"/>
          <w:numId w:val="8"/>
        </w:numPr>
        <w:rPr>
          <w:rFonts w:hint="eastAsia"/>
          <w:sz w:val="18"/>
          <w:szCs w:val="18"/>
        </w:rPr>
      </w:pPr>
      <w:r>
        <w:rPr>
          <w:rFonts w:hint="eastAsia"/>
          <w:sz w:val="18"/>
          <w:szCs w:val="18"/>
        </w:rPr>
        <w:t>P. Robyns, P. Quax, W. Lamotte, and W. Thenaers, “A multi-channel</w:t>
      </w:r>
      <w:r>
        <w:rPr>
          <w:rFonts w:hint="eastAsia"/>
          <w:sz w:val="18"/>
          <w:szCs w:val="18"/>
          <w:lang w:val="en-US" w:eastAsia="zh-CN"/>
        </w:rPr>
        <w:t xml:space="preserve"> </w:t>
      </w:r>
      <w:r>
        <w:rPr>
          <w:rFonts w:hint="eastAsia"/>
          <w:sz w:val="18"/>
          <w:szCs w:val="18"/>
        </w:rPr>
        <w:t>software decoder for the LoRa modulation scheme.” in 3rd International</w:t>
      </w:r>
      <w:r>
        <w:rPr>
          <w:rFonts w:hint="eastAsia"/>
          <w:sz w:val="18"/>
          <w:szCs w:val="18"/>
          <w:lang w:val="en-US" w:eastAsia="zh-CN"/>
        </w:rPr>
        <w:t xml:space="preserve"> </w:t>
      </w:r>
      <w:r>
        <w:rPr>
          <w:rFonts w:hint="eastAsia"/>
          <w:sz w:val="18"/>
          <w:szCs w:val="18"/>
        </w:rPr>
        <w:t>Conference on Internet of Things, Big Data and Securit (IoTBDS),</w:t>
      </w:r>
      <w:r>
        <w:rPr>
          <w:rFonts w:hint="eastAsia"/>
          <w:sz w:val="18"/>
          <w:szCs w:val="18"/>
          <w:lang w:val="en-US" w:eastAsia="zh-CN"/>
        </w:rPr>
        <w:t xml:space="preserve"> </w:t>
      </w:r>
      <w:r>
        <w:rPr>
          <w:rFonts w:hint="eastAsia"/>
          <w:sz w:val="18"/>
          <w:szCs w:val="18"/>
        </w:rPr>
        <w:t>Funchal, Madeira, Portugal, 2018, pp. 41–51.</w:t>
      </w:r>
    </w:p>
    <w:p w14:paraId="5BE75FC3">
      <w:pPr>
        <w:numPr>
          <w:ilvl w:val="0"/>
          <w:numId w:val="8"/>
        </w:numPr>
        <w:rPr>
          <w:rFonts w:hint="eastAsia"/>
          <w:sz w:val="18"/>
          <w:szCs w:val="18"/>
        </w:rPr>
      </w:pPr>
      <w:r>
        <w:rPr>
          <w:rFonts w:hint="eastAsia"/>
          <w:sz w:val="18"/>
          <w:szCs w:val="18"/>
        </w:rPr>
        <w:t>L. Peng, A. Hu, Y. Jiang, Y. Yan, and C. Zhu, “A differential constellation trace figure based device identification method for ZigBee nodes,</w:t>
      </w:r>
      <w:r>
        <w:rPr>
          <w:rFonts w:hint="default"/>
          <w:sz w:val="18"/>
          <w:szCs w:val="18"/>
          <w:lang w:val="en-US" w:eastAsia="zh-CN"/>
        </w:rPr>
        <w:t>”</w:t>
      </w:r>
      <w:r>
        <w:rPr>
          <w:rFonts w:hint="eastAsia"/>
          <w:sz w:val="18"/>
          <w:szCs w:val="18"/>
          <w:lang w:val="en-US" w:eastAsia="zh-CN"/>
        </w:rPr>
        <w:t xml:space="preserve"> </w:t>
      </w:r>
      <w:r>
        <w:rPr>
          <w:rFonts w:hint="eastAsia"/>
          <w:sz w:val="18"/>
          <w:szCs w:val="18"/>
        </w:rPr>
        <w:t>in 8th International Conference on Wireless Communications &amp; Signal</w:t>
      </w:r>
      <w:r>
        <w:rPr>
          <w:rFonts w:hint="eastAsia"/>
          <w:sz w:val="18"/>
          <w:szCs w:val="18"/>
          <w:lang w:val="en-US" w:eastAsia="zh-CN"/>
        </w:rPr>
        <w:t xml:space="preserve"> </w:t>
      </w:r>
      <w:r>
        <w:rPr>
          <w:rFonts w:hint="eastAsia"/>
          <w:sz w:val="18"/>
          <w:szCs w:val="18"/>
        </w:rPr>
        <w:t>Processing (WCSP), Yangzhou, China, 2016, pp. 1–6.</w:t>
      </w:r>
    </w:p>
    <w:p w14:paraId="03EC5FEC">
      <w:pPr>
        <w:numPr>
          <w:ilvl w:val="0"/>
          <w:numId w:val="8"/>
        </w:numPr>
        <w:rPr>
          <w:rFonts w:hint="eastAsia"/>
          <w:sz w:val="18"/>
          <w:szCs w:val="18"/>
        </w:rPr>
      </w:pPr>
      <w:r>
        <w:rPr>
          <w:rFonts w:hint="eastAsia"/>
          <w:sz w:val="18"/>
          <w:szCs w:val="18"/>
        </w:rPr>
        <w:t>X. Wu, Y. Jiang, and A. Hu, “LoRa devices identification based on</w:t>
      </w:r>
      <w:r>
        <w:rPr>
          <w:rFonts w:hint="eastAsia"/>
          <w:sz w:val="18"/>
          <w:szCs w:val="18"/>
          <w:lang w:val="en-US" w:eastAsia="zh-CN"/>
        </w:rPr>
        <w:t xml:space="preserve"> </w:t>
      </w:r>
      <w:r>
        <w:rPr>
          <w:rFonts w:hint="eastAsia"/>
          <w:sz w:val="18"/>
          <w:szCs w:val="18"/>
        </w:rPr>
        <w:t>differential constellation trace figure,” in 6th International Conference</w:t>
      </w:r>
      <w:r>
        <w:rPr>
          <w:rFonts w:hint="eastAsia"/>
          <w:sz w:val="18"/>
          <w:szCs w:val="18"/>
          <w:lang w:val="en-US" w:eastAsia="zh-CN"/>
        </w:rPr>
        <w:t xml:space="preserve"> </w:t>
      </w:r>
      <w:r>
        <w:rPr>
          <w:rFonts w:hint="eastAsia"/>
          <w:sz w:val="18"/>
          <w:szCs w:val="18"/>
        </w:rPr>
        <w:t>on Artificial Intelligence and Security (ICAIS), Hohhot, China, 2020, pp.658–669.</w:t>
      </w:r>
    </w:p>
    <w:p w14:paraId="1127CA44">
      <w:pPr>
        <w:numPr>
          <w:ilvl w:val="0"/>
          <w:numId w:val="8"/>
        </w:numPr>
        <w:rPr>
          <w:rFonts w:hint="eastAsia"/>
          <w:sz w:val="18"/>
          <w:szCs w:val="18"/>
        </w:rPr>
      </w:pPr>
      <w:r>
        <w:rPr>
          <w:rFonts w:hint="eastAsia"/>
          <w:sz w:val="18"/>
          <w:szCs w:val="18"/>
        </w:rPr>
        <w:t>J. Hua, H. Sun, Z. Shen, Z. Qian, and S. Zhong, “Accurate and efficient</w:t>
      </w:r>
      <w:r>
        <w:rPr>
          <w:rFonts w:hint="eastAsia"/>
          <w:sz w:val="18"/>
          <w:szCs w:val="18"/>
          <w:lang w:val="en-US" w:eastAsia="zh-CN"/>
        </w:rPr>
        <w:t xml:space="preserve"> </w:t>
      </w:r>
      <w:r>
        <w:rPr>
          <w:rFonts w:hint="eastAsia"/>
          <w:sz w:val="18"/>
          <w:szCs w:val="18"/>
        </w:rPr>
        <w:t>wireless device fingerprinting using channel state information,” in IEEE</w:t>
      </w:r>
      <w:r>
        <w:rPr>
          <w:rFonts w:hint="eastAsia"/>
          <w:sz w:val="18"/>
          <w:szCs w:val="18"/>
          <w:lang w:val="en-US" w:eastAsia="zh-CN"/>
        </w:rPr>
        <w:t xml:space="preserve"> </w:t>
      </w:r>
      <w:r>
        <w:rPr>
          <w:rFonts w:hint="eastAsia"/>
          <w:sz w:val="18"/>
          <w:szCs w:val="18"/>
        </w:rPr>
        <w:t>Conference on Computer Communications (INFOCOM), Honolulu, HI,</w:t>
      </w:r>
      <w:r>
        <w:rPr>
          <w:rFonts w:hint="eastAsia"/>
          <w:sz w:val="18"/>
          <w:szCs w:val="18"/>
          <w:lang w:val="en-US" w:eastAsia="zh-CN"/>
        </w:rPr>
        <w:t xml:space="preserve"> </w:t>
      </w:r>
      <w:r>
        <w:rPr>
          <w:rFonts w:hint="eastAsia"/>
          <w:sz w:val="18"/>
          <w:szCs w:val="18"/>
        </w:rPr>
        <w:t>USA, 2018,</w:t>
      </w:r>
      <w:r>
        <w:rPr>
          <w:rFonts w:hint="eastAsia"/>
          <w:sz w:val="18"/>
          <w:szCs w:val="18"/>
          <w:lang w:val="en-US" w:eastAsia="zh-CN"/>
        </w:rPr>
        <w:t xml:space="preserve"> </w:t>
      </w:r>
      <w:r>
        <w:rPr>
          <w:rFonts w:hint="eastAsia"/>
          <w:sz w:val="18"/>
          <w:szCs w:val="18"/>
        </w:rPr>
        <w:t>pp. 1700–1708.</w:t>
      </w:r>
    </w:p>
    <w:p w14:paraId="7EAAD97E">
      <w:pPr>
        <w:numPr>
          <w:ilvl w:val="0"/>
          <w:numId w:val="8"/>
        </w:numPr>
        <w:rPr>
          <w:rFonts w:hint="eastAsia"/>
          <w:sz w:val="18"/>
          <w:szCs w:val="18"/>
        </w:rPr>
      </w:pPr>
      <w:r>
        <w:rPr>
          <w:rFonts w:hint="eastAsia"/>
          <w:sz w:val="18"/>
          <w:szCs w:val="18"/>
        </w:rPr>
        <w:t>W. Yan, T. Voigt, and C. Rohner, “RRF: A robust radiometric fingerprint</w:t>
      </w:r>
      <w:r>
        <w:rPr>
          <w:rFonts w:hint="eastAsia"/>
          <w:sz w:val="18"/>
          <w:szCs w:val="18"/>
          <w:lang w:val="en-US" w:eastAsia="zh-CN"/>
        </w:rPr>
        <w:t xml:space="preserve"> </w:t>
      </w:r>
      <w:r>
        <w:rPr>
          <w:rFonts w:hint="eastAsia"/>
          <w:sz w:val="18"/>
          <w:szCs w:val="18"/>
        </w:rPr>
        <w:t>system that embraces wireless channel diversity,” in Proceedings of the</w:t>
      </w:r>
      <w:r>
        <w:rPr>
          <w:rFonts w:hint="eastAsia"/>
          <w:sz w:val="18"/>
          <w:szCs w:val="18"/>
          <w:lang w:val="en-US" w:eastAsia="zh-CN"/>
        </w:rPr>
        <w:t xml:space="preserve"> </w:t>
      </w:r>
      <w:r>
        <w:rPr>
          <w:rFonts w:hint="eastAsia"/>
          <w:sz w:val="18"/>
          <w:szCs w:val="18"/>
        </w:rPr>
        <w:t>15th ACM Conference on Security and Privacy in Wireless and Mobile</w:t>
      </w:r>
      <w:r>
        <w:rPr>
          <w:rFonts w:hint="eastAsia"/>
          <w:sz w:val="18"/>
          <w:szCs w:val="18"/>
          <w:lang w:val="en-US" w:eastAsia="zh-CN"/>
        </w:rPr>
        <w:t xml:space="preserve"> </w:t>
      </w:r>
      <w:r>
        <w:rPr>
          <w:rFonts w:hint="eastAsia"/>
          <w:sz w:val="18"/>
          <w:szCs w:val="18"/>
        </w:rPr>
        <w:t>Networks (WiSec), San Antonio, Texas, USA, 2022, pp. 85–97.</w:t>
      </w:r>
    </w:p>
    <w:p w14:paraId="477864B0">
      <w:pPr>
        <w:numPr>
          <w:ilvl w:val="0"/>
          <w:numId w:val="8"/>
        </w:numPr>
        <w:rPr>
          <w:rFonts w:hint="eastAsia"/>
          <w:sz w:val="18"/>
          <w:szCs w:val="18"/>
        </w:rPr>
        <w:sectPr>
          <w:type w:val="continuous"/>
          <w:pgSz w:w="11906" w:h="16838"/>
          <w:pgMar w:top="1701" w:right="1134" w:bottom="1701" w:left="1134" w:header="851" w:footer="992" w:gutter="0"/>
          <w:cols w:space="398" w:num="2"/>
          <w:docGrid w:type="linesAndChars" w:linePitch="312" w:charSpace="0"/>
        </w:sectPr>
      </w:pPr>
      <w:r>
        <w:rPr>
          <w:rFonts w:hint="eastAsia"/>
          <w:sz w:val="18"/>
          <w:szCs w:val="18"/>
        </w:rPr>
        <w:t>S. Rajendran and Z. Sun, “RF impairment model-based IoT physicallayer identification for enhanced domain generalization,” IEEE Transactions on Information Forensics and Security, vol. 17, pp. 1285–1299,</w:t>
      </w:r>
      <w:r>
        <w:rPr>
          <w:rFonts w:hint="eastAsia"/>
          <w:sz w:val="18"/>
          <w:szCs w:val="18"/>
          <w:lang w:val="en-US" w:eastAsia="zh-CN"/>
        </w:rPr>
        <w:t xml:space="preserve"> </w:t>
      </w:r>
      <w:r>
        <w:rPr>
          <w:rFonts w:hint="eastAsia"/>
          <w:sz w:val="18"/>
          <w:szCs w:val="18"/>
        </w:rPr>
        <w:t>2022.</w:t>
      </w:r>
    </w:p>
    <w:p w14:paraId="7E4D8562">
      <w:pPr>
        <w:tabs>
          <w:tab w:val="left" w:pos="340"/>
        </w:tabs>
        <w:ind w:left="340"/>
        <w:rPr>
          <w:rFonts w:hint="eastAsia"/>
          <w:sz w:val="18"/>
          <w:szCs w:val="21"/>
        </w:rPr>
      </w:pPr>
    </w:p>
    <w:sectPr>
      <w:type w:val="continuous"/>
      <w:pgSz w:w="11906" w:h="16838"/>
      <w:pgMar w:top="1701" w:right="1134" w:bottom="1701" w:left="1134" w:header="851" w:footer="992" w:gutter="0"/>
      <w:cols w:space="398" w:num="2"/>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ˎ̥">
    <w:altName w:val="Times New Roman"/>
    <w:panose1 w:val="00000000000000000000"/>
    <w:charset w:val="00"/>
    <w:family w:val="roman"/>
    <w:pitch w:val="default"/>
    <w:sig w:usb0="00000000" w:usb1="00000000" w:usb2="00000000" w:usb3="00000000" w:csb0="00040001" w:csb1="00000000"/>
  </w:font>
  <w:font w:name="Georgia">
    <w:panose1 w:val="02040502050405020303"/>
    <w:charset w:val="00"/>
    <w:family w:val="roman"/>
    <w:pitch w:val="default"/>
    <w:sig w:usb0="00000287" w:usb1="00000000" w:usb2="00000000" w:usb3="00000000" w:csb0="2000009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5B686C">
    <w:pPr>
      <w:pStyle w:val="26"/>
      <w:adjustRightInd w:val="0"/>
      <w:ind w:right="98"/>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3B18D">
    <w:pPr>
      <w:pStyle w:val="2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5717D">
    <w:pPr>
      <w:pStyle w:val="26"/>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65834">
    <w:pPr>
      <w:pStyle w:val="27"/>
      <w:jc w:val="both"/>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3D8A8">
    <w:pPr>
      <w:pStyle w:val="27"/>
      <w:rPr>
        <w:rStyle w:val="45"/>
        <w:rFonts w:hint="eastAsia"/>
        <w:highlight w:val="red"/>
      </w:rPr>
    </w:pPr>
  </w:p>
  <w:p w14:paraId="40D84AA4">
    <w:pPr>
      <w:pStyle w:val="27"/>
      <w:rPr>
        <w:rStyle w:val="45"/>
        <w:rFonts w:hint="eastAsia"/>
        <w:highlight w:val="red"/>
      </w:rPr>
    </w:pPr>
    <w:r>
      <w:rPr>
        <w:rStyle w:val="45"/>
        <w:rFonts w:hint="eastAsia"/>
        <w:highlight w:val="red"/>
      </w:rPr>
      <w:t>0</w:t>
    </w:r>
    <w:r>
      <w:rPr>
        <w:rStyle w:val="45"/>
        <w:rFonts w:hint="eastAsia"/>
      </w:rPr>
      <w:t xml:space="preserve">                                            </w:t>
    </w:r>
    <w:r>
      <w:rPr>
        <w:rStyle w:val="45"/>
      </w:rPr>
      <w:t>东南大学研究生学报</w:t>
    </w:r>
    <w:r>
      <w:rPr>
        <w:rStyle w:val="45"/>
        <w:rFonts w:hint="eastAsia"/>
      </w:rPr>
      <w:t xml:space="preserve">                                      第</w:t>
    </w:r>
    <w:r>
      <w:rPr>
        <w:rStyle w:val="45"/>
        <w:rFonts w:hint="eastAsia"/>
        <w:highlight w:val="red"/>
      </w:rPr>
      <w:t>7</w:t>
    </w:r>
    <w:r>
      <w:rPr>
        <w:rStyle w:val="45"/>
        <w:rFonts w:hint="eastAsia"/>
      </w:rPr>
      <w:t>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10684">
    <w:pPr>
      <w:pStyle w:val="27"/>
    </w:pPr>
    <w:r>
      <w:rPr>
        <w:highlight w:val="red"/>
      </w:rPr>
      <w:t>第7卷第2期</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 xml:space="preserve">   </w:t>
    </w:r>
    <w:r>
      <w:rPr>
        <w:b/>
        <w:sz w:val="24"/>
      </w:rPr>
      <w:t>东 南 大 学 研 究 生 学 报</w:t>
    </w:r>
    <w:r>
      <w:t xml:space="preserve">          </w:t>
    </w:r>
    <w:r>
      <w:rPr>
        <w:rFonts w:hint="eastAsia"/>
      </w:rPr>
      <w:t xml:space="preserve">  </w:t>
    </w:r>
    <w:r>
      <w:t xml:space="preserve">    </w:t>
    </w:r>
    <w:r>
      <w:rPr>
        <w:rFonts w:hint="eastAsia"/>
      </w:rPr>
      <w:t xml:space="preserve"> </w:t>
    </w:r>
    <w:r>
      <w:t xml:space="preserve">          </w:t>
    </w:r>
    <w:r>
      <w:rPr>
        <w:highlight w:val="red"/>
      </w:rPr>
      <w:t>Vol.7 No.2</w:t>
    </w:r>
  </w:p>
  <w:p w14:paraId="5A2C0BAB">
    <w:pPr>
      <w:pStyle w:val="27"/>
    </w:pPr>
    <w:r>
      <w:rPr>
        <w:highlight w:val="red"/>
      </w:rPr>
      <w:t>2009年12月</w:t>
    </w:r>
    <w:r>
      <w:t xml:space="preserve">          </w:t>
    </w:r>
    <w:r>
      <w:rPr>
        <w:rFonts w:hint="eastAsia"/>
      </w:rPr>
      <w:t xml:space="preserve">      </w:t>
    </w:r>
    <w:r>
      <w:t xml:space="preserve">JOURNAL OF GRADUATE STUDENTS SOUTHEAST UNIVERSITY       </w:t>
    </w:r>
    <w:r>
      <w:rPr>
        <w:rFonts w:hint="eastAsia"/>
      </w:rPr>
      <w:t xml:space="preserve">  </w:t>
    </w:r>
    <w:r>
      <w:t xml:space="preserve">    </w:t>
    </w:r>
    <w:r>
      <w:rPr>
        <w:highlight w:val="red"/>
      </w:rPr>
      <w:t>D</w:t>
    </w:r>
    <w:r>
      <w:rPr>
        <w:rFonts w:hint="eastAsia"/>
        <w:highlight w:val="red"/>
      </w:rPr>
      <w:t>ec</w:t>
    </w:r>
    <w:r>
      <w:rPr>
        <w:highlight w:val="red"/>
      </w:rPr>
      <w:t>.</w:t>
    </w:r>
    <w:r>
      <w:rPr>
        <w:rFonts w:hint="eastAsia"/>
        <w:highlight w:val="red"/>
      </w:rPr>
      <w:t xml:space="preserve"> </w:t>
    </w:r>
    <w:r>
      <w:rPr>
        <w:highlight w:val="red"/>
      </w:rPr>
      <w:t>2009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132864"/>
    <w:multiLevelType w:val="singleLevel"/>
    <w:tmpl w:val="D3132864"/>
    <w:lvl w:ilvl="0" w:tentative="0">
      <w:start w:val="1"/>
      <w:numFmt w:val="decimal"/>
      <w:suff w:val="space"/>
      <w:lvlText w:val="(%1."/>
      <w:lvlJc w:val="left"/>
    </w:lvl>
  </w:abstractNum>
  <w:abstractNum w:abstractNumId="1">
    <w:nsid w:val="E771A6BE"/>
    <w:multiLevelType w:val="singleLevel"/>
    <w:tmpl w:val="E771A6BE"/>
    <w:lvl w:ilvl="0" w:tentative="0">
      <w:start w:val="2"/>
      <w:numFmt w:val="decimal"/>
      <w:suff w:val="space"/>
      <w:lvlText w:val="%1."/>
      <w:lvlJc w:val="left"/>
    </w:lvl>
  </w:abstractNum>
  <w:abstractNum w:abstractNumId="2">
    <w:nsid w:val="0A6E5D3D"/>
    <w:multiLevelType w:val="multilevel"/>
    <w:tmpl w:val="0A6E5D3D"/>
    <w:lvl w:ilvl="0" w:tentative="0">
      <w:start w:val="1"/>
      <w:numFmt w:val="decimal"/>
      <w:pStyle w:val="2"/>
      <w:lvlText w:val="%1"/>
      <w:lvlJc w:val="left"/>
      <w:pPr>
        <w:tabs>
          <w:tab w:val="left" w:pos="425"/>
        </w:tabs>
        <w:ind w:left="425" w:hanging="425"/>
      </w:pPr>
      <w:rPr>
        <w:rFonts w:hint="eastAsia"/>
      </w:rPr>
    </w:lvl>
    <w:lvl w:ilvl="1" w:tentative="0">
      <w:start w:val="1"/>
      <w:numFmt w:val="decimal"/>
      <w:pStyle w:val="3"/>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10071CED"/>
    <w:multiLevelType w:val="multilevel"/>
    <w:tmpl w:val="10071CED"/>
    <w:lvl w:ilvl="0" w:tentative="0">
      <w:start w:val="1"/>
      <w:numFmt w:val="none"/>
      <w:pStyle w:val="95"/>
      <w:lvlText w:val="Abstract:"/>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32C27D2C"/>
    <w:multiLevelType w:val="multilevel"/>
    <w:tmpl w:val="32C27D2C"/>
    <w:lvl w:ilvl="0" w:tentative="0">
      <w:start w:val="1"/>
      <w:numFmt w:val="decimal"/>
      <w:pStyle w:val="97"/>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A877D64"/>
    <w:multiLevelType w:val="singleLevel"/>
    <w:tmpl w:val="3A877D64"/>
    <w:lvl w:ilvl="0" w:tentative="0">
      <w:start w:val="1"/>
      <w:numFmt w:val="decimal"/>
      <w:pStyle w:val="98"/>
      <w:lvlText w:val="[%1]"/>
      <w:lvlJc w:val="left"/>
      <w:pPr>
        <w:tabs>
          <w:tab w:val="left" w:pos="360"/>
        </w:tabs>
        <w:ind w:left="360" w:hanging="360"/>
      </w:pPr>
      <w:rPr>
        <w:sz w:val="16"/>
        <w:szCs w:val="16"/>
      </w:rPr>
    </w:lvl>
  </w:abstractNum>
  <w:abstractNum w:abstractNumId="6">
    <w:nsid w:val="44DB54CE"/>
    <w:multiLevelType w:val="multilevel"/>
    <w:tmpl w:val="44DB54CE"/>
    <w:lvl w:ilvl="0" w:tentative="0">
      <w:start w:val="1"/>
      <w:numFmt w:val="none"/>
      <w:pStyle w:val="92"/>
      <w:lvlText w:val="Key words: "/>
      <w:lvlJc w:val="left"/>
      <w:pPr>
        <w:tabs>
          <w:tab w:val="left" w:pos="1080"/>
        </w:tabs>
        <w:ind w:left="360" w:hanging="360"/>
      </w:pPr>
      <w:rPr>
        <w:rFonts w:hint="default" w:ascii="Arial" w:hAnsi="Arial"/>
        <w:b/>
        <w:i w:val="0"/>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4DEA51AA"/>
    <w:multiLevelType w:val="multilevel"/>
    <w:tmpl w:val="4DEA51AA"/>
    <w:lvl w:ilvl="0" w:tentative="0">
      <w:start w:val="1"/>
      <w:numFmt w:val="decimal"/>
      <w:lvlText w:val="[%1]"/>
      <w:lvlJc w:val="left"/>
      <w:pPr>
        <w:tabs>
          <w:tab w:val="left" w:pos="340"/>
        </w:tabs>
        <w:ind w:left="340" w:hanging="340"/>
      </w:pPr>
      <w:rPr>
        <w:rFonts w:hint="eastAsia"/>
        <w:spacing w:val="0"/>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6"/>
  </w:num>
  <w:num w:numId="3">
    <w:abstractNumId w:val="3"/>
  </w:num>
  <w:num w:numId="4">
    <w:abstractNumId w:val="4"/>
  </w:num>
  <w:num w:numId="5">
    <w:abstractNumId w:val="5"/>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FmMDM1NWYwZDYzNWZlMTRlYzJiMjkwOWM5MTI1NzEifQ=="/>
  </w:docVars>
  <w:rsids>
    <w:rsidRoot w:val="00EF0F1A"/>
    <w:rsid w:val="00000EF1"/>
    <w:rsid w:val="00001CB1"/>
    <w:rsid w:val="00006473"/>
    <w:rsid w:val="000067AD"/>
    <w:rsid w:val="00010776"/>
    <w:rsid w:val="00011675"/>
    <w:rsid w:val="0001250B"/>
    <w:rsid w:val="0001285C"/>
    <w:rsid w:val="000158BE"/>
    <w:rsid w:val="000269DA"/>
    <w:rsid w:val="00030160"/>
    <w:rsid w:val="00032621"/>
    <w:rsid w:val="000330B3"/>
    <w:rsid w:val="0003450B"/>
    <w:rsid w:val="00036029"/>
    <w:rsid w:val="00036FDC"/>
    <w:rsid w:val="00041AFE"/>
    <w:rsid w:val="000422AD"/>
    <w:rsid w:val="000432E8"/>
    <w:rsid w:val="000442BD"/>
    <w:rsid w:val="000467F5"/>
    <w:rsid w:val="00050548"/>
    <w:rsid w:val="0005138A"/>
    <w:rsid w:val="00053A5C"/>
    <w:rsid w:val="00054EDE"/>
    <w:rsid w:val="00054EF2"/>
    <w:rsid w:val="000570A9"/>
    <w:rsid w:val="00063E39"/>
    <w:rsid w:val="00071735"/>
    <w:rsid w:val="000729A2"/>
    <w:rsid w:val="00073B5B"/>
    <w:rsid w:val="00073F23"/>
    <w:rsid w:val="00074CA8"/>
    <w:rsid w:val="000763DA"/>
    <w:rsid w:val="000764EF"/>
    <w:rsid w:val="00077296"/>
    <w:rsid w:val="00077DA6"/>
    <w:rsid w:val="000808CB"/>
    <w:rsid w:val="0008139A"/>
    <w:rsid w:val="00081DF3"/>
    <w:rsid w:val="00082B5A"/>
    <w:rsid w:val="0008507E"/>
    <w:rsid w:val="0008584B"/>
    <w:rsid w:val="000867A1"/>
    <w:rsid w:val="00087C4D"/>
    <w:rsid w:val="000901A5"/>
    <w:rsid w:val="00090335"/>
    <w:rsid w:val="00091AD9"/>
    <w:rsid w:val="000932F8"/>
    <w:rsid w:val="000A22A7"/>
    <w:rsid w:val="000A2B1F"/>
    <w:rsid w:val="000A2B67"/>
    <w:rsid w:val="000A5C34"/>
    <w:rsid w:val="000A7C38"/>
    <w:rsid w:val="000B033F"/>
    <w:rsid w:val="000B11E1"/>
    <w:rsid w:val="000B14C2"/>
    <w:rsid w:val="000B3EAA"/>
    <w:rsid w:val="000B4E9C"/>
    <w:rsid w:val="000B5F44"/>
    <w:rsid w:val="000B62EF"/>
    <w:rsid w:val="000B7CF5"/>
    <w:rsid w:val="000C198A"/>
    <w:rsid w:val="000C43FA"/>
    <w:rsid w:val="000C4525"/>
    <w:rsid w:val="000D35B6"/>
    <w:rsid w:val="000D3F1B"/>
    <w:rsid w:val="000D69B8"/>
    <w:rsid w:val="000E0EC7"/>
    <w:rsid w:val="000E2869"/>
    <w:rsid w:val="000E57C9"/>
    <w:rsid w:val="000E7062"/>
    <w:rsid w:val="000F29CE"/>
    <w:rsid w:val="000F2D50"/>
    <w:rsid w:val="000F33DE"/>
    <w:rsid w:val="000F38B5"/>
    <w:rsid w:val="000F6614"/>
    <w:rsid w:val="00101648"/>
    <w:rsid w:val="00101AC4"/>
    <w:rsid w:val="001025E3"/>
    <w:rsid w:val="00102F83"/>
    <w:rsid w:val="00103CD9"/>
    <w:rsid w:val="001073A5"/>
    <w:rsid w:val="00107BA8"/>
    <w:rsid w:val="00110908"/>
    <w:rsid w:val="001114A4"/>
    <w:rsid w:val="00116E5A"/>
    <w:rsid w:val="00117880"/>
    <w:rsid w:val="001235F8"/>
    <w:rsid w:val="00133271"/>
    <w:rsid w:val="00136BC0"/>
    <w:rsid w:val="00137713"/>
    <w:rsid w:val="001400FD"/>
    <w:rsid w:val="00140169"/>
    <w:rsid w:val="001437E0"/>
    <w:rsid w:val="001446F2"/>
    <w:rsid w:val="00146E34"/>
    <w:rsid w:val="00153036"/>
    <w:rsid w:val="00153ACA"/>
    <w:rsid w:val="00157929"/>
    <w:rsid w:val="00157BBC"/>
    <w:rsid w:val="001608D2"/>
    <w:rsid w:val="00162F62"/>
    <w:rsid w:val="00165BAB"/>
    <w:rsid w:val="0016607A"/>
    <w:rsid w:val="00175CB9"/>
    <w:rsid w:val="001774E6"/>
    <w:rsid w:val="00177941"/>
    <w:rsid w:val="00181445"/>
    <w:rsid w:val="00182F97"/>
    <w:rsid w:val="0018634D"/>
    <w:rsid w:val="0018637C"/>
    <w:rsid w:val="00193C87"/>
    <w:rsid w:val="001955D7"/>
    <w:rsid w:val="00196607"/>
    <w:rsid w:val="001A06E6"/>
    <w:rsid w:val="001A115F"/>
    <w:rsid w:val="001A1933"/>
    <w:rsid w:val="001A1E47"/>
    <w:rsid w:val="001A3270"/>
    <w:rsid w:val="001A60BF"/>
    <w:rsid w:val="001B3C33"/>
    <w:rsid w:val="001B6C3B"/>
    <w:rsid w:val="001C0BB1"/>
    <w:rsid w:val="001C1AAE"/>
    <w:rsid w:val="001C33E4"/>
    <w:rsid w:val="001C4AD2"/>
    <w:rsid w:val="001C50C7"/>
    <w:rsid w:val="001D0E8F"/>
    <w:rsid w:val="001D1D9B"/>
    <w:rsid w:val="001D25E5"/>
    <w:rsid w:val="001E1968"/>
    <w:rsid w:val="001E321F"/>
    <w:rsid w:val="001E4667"/>
    <w:rsid w:val="001E63FF"/>
    <w:rsid w:val="001F1AD3"/>
    <w:rsid w:val="001F2AFE"/>
    <w:rsid w:val="001F5846"/>
    <w:rsid w:val="00201228"/>
    <w:rsid w:val="00202F7E"/>
    <w:rsid w:val="002032AB"/>
    <w:rsid w:val="00212640"/>
    <w:rsid w:val="00213A06"/>
    <w:rsid w:val="00214486"/>
    <w:rsid w:val="002159A8"/>
    <w:rsid w:val="00215DF8"/>
    <w:rsid w:val="0022067A"/>
    <w:rsid w:val="00220B43"/>
    <w:rsid w:val="00220F2A"/>
    <w:rsid w:val="002211E9"/>
    <w:rsid w:val="002216AC"/>
    <w:rsid w:val="002222D1"/>
    <w:rsid w:val="002248E8"/>
    <w:rsid w:val="00226C76"/>
    <w:rsid w:val="002346EB"/>
    <w:rsid w:val="0023755E"/>
    <w:rsid w:val="00241AED"/>
    <w:rsid w:val="00242039"/>
    <w:rsid w:val="00242051"/>
    <w:rsid w:val="0024252C"/>
    <w:rsid w:val="00243FBD"/>
    <w:rsid w:val="00246A83"/>
    <w:rsid w:val="00252F7F"/>
    <w:rsid w:val="0025579E"/>
    <w:rsid w:val="00257F81"/>
    <w:rsid w:val="00261581"/>
    <w:rsid w:val="00261811"/>
    <w:rsid w:val="00263213"/>
    <w:rsid w:val="00263804"/>
    <w:rsid w:val="00264B0E"/>
    <w:rsid w:val="00265B90"/>
    <w:rsid w:val="0027049D"/>
    <w:rsid w:val="00270907"/>
    <w:rsid w:val="00273EA9"/>
    <w:rsid w:val="00274570"/>
    <w:rsid w:val="00274DD9"/>
    <w:rsid w:val="00282C3A"/>
    <w:rsid w:val="00284DF2"/>
    <w:rsid w:val="00286A66"/>
    <w:rsid w:val="00287168"/>
    <w:rsid w:val="0029030B"/>
    <w:rsid w:val="00292817"/>
    <w:rsid w:val="002946DE"/>
    <w:rsid w:val="0029489C"/>
    <w:rsid w:val="00295120"/>
    <w:rsid w:val="00296AEE"/>
    <w:rsid w:val="002A50E6"/>
    <w:rsid w:val="002A5F9A"/>
    <w:rsid w:val="002B1A0A"/>
    <w:rsid w:val="002B41DB"/>
    <w:rsid w:val="002B6441"/>
    <w:rsid w:val="002B7CC3"/>
    <w:rsid w:val="002C3737"/>
    <w:rsid w:val="002C4ABC"/>
    <w:rsid w:val="002C61D7"/>
    <w:rsid w:val="002C6AA9"/>
    <w:rsid w:val="002C7EE7"/>
    <w:rsid w:val="002D094D"/>
    <w:rsid w:val="002D19E4"/>
    <w:rsid w:val="002D5DE9"/>
    <w:rsid w:val="002D6201"/>
    <w:rsid w:val="002D6C2F"/>
    <w:rsid w:val="002E27C4"/>
    <w:rsid w:val="002E2B16"/>
    <w:rsid w:val="002F0898"/>
    <w:rsid w:val="002F0CB5"/>
    <w:rsid w:val="002F5D90"/>
    <w:rsid w:val="002F6882"/>
    <w:rsid w:val="0030156B"/>
    <w:rsid w:val="00303BC8"/>
    <w:rsid w:val="00303D5D"/>
    <w:rsid w:val="00317185"/>
    <w:rsid w:val="00320C88"/>
    <w:rsid w:val="00321D4F"/>
    <w:rsid w:val="00323258"/>
    <w:rsid w:val="00324ADA"/>
    <w:rsid w:val="00324D55"/>
    <w:rsid w:val="0033380D"/>
    <w:rsid w:val="003340A0"/>
    <w:rsid w:val="00336796"/>
    <w:rsid w:val="00337BAA"/>
    <w:rsid w:val="0034082E"/>
    <w:rsid w:val="003437BD"/>
    <w:rsid w:val="00344353"/>
    <w:rsid w:val="00347FD5"/>
    <w:rsid w:val="00350E27"/>
    <w:rsid w:val="00353583"/>
    <w:rsid w:val="00360450"/>
    <w:rsid w:val="003611C1"/>
    <w:rsid w:val="00371420"/>
    <w:rsid w:val="00374B5B"/>
    <w:rsid w:val="00380BF1"/>
    <w:rsid w:val="00380DD2"/>
    <w:rsid w:val="00380DE5"/>
    <w:rsid w:val="00380FE9"/>
    <w:rsid w:val="00381245"/>
    <w:rsid w:val="003829C4"/>
    <w:rsid w:val="00385FC2"/>
    <w:rsid w:val="00391D90"/>
    <w:rsid w:val="00392BE7"/>
    <w:rsid w:val="00396699"/>
    <w:rsid w:val="003A12E1"/>
    <w:rsid w:val="003A1753"/>
    <w:rsid w:val="003A6671"/>
    <w:rsid w:val="003B0DB0"/>
    <w:rsid w:val="003B21E3"/>
    <w:rsid w:val="003B2CFA"/>
    <w:rsid w:val="003B39FD"/>
    <w:rsid w:val="003B5D30"/>
    <w:rsid w:val="003B60C5"/>
    <w:rsid w:val="003B6302"/>
    <w:rsid w:val="003C4AFD"/>
    <w:rsid w:val="003C5150"/>
    <w:rsid w:val="003D0157"/>
    <w:rsid w:val="003D1944"/>
    <w:rsid w:val="003D2EA5"/>
    <w:rsid w:val="003E04F7"/>
    <w:rsid w:val="003E26C0"/>
    <w:rsid w:val="003E4A3B"/>
    <w:rsid w:val="003E4DAF"/>
    <w:rsid w:val="003E6D2A"/>
    <w:rsid w:val="003E7CD4"/>
    <w:rsid w:val="003F0035"/>
    <w:rsid w:val="003F045C"/>
    <w:rsid w:val="003F1DBC"/>
    <w:rsid w:val="003F7EDC"/>
    <w:rsid w:val="00405B6B"/>
    <w:rsid w:val="004115DF"/>
    <w:rsid w:val="00416FDD"/>
    <w:rsid w:val="00421C17"/>
    <w:rsid w:val="00422961"/>
    <w:rsid w:val="00423969"/>
    <w:rsid w:val="00424AD3"/>
    <w:rsid w:val="00424E98"/>
    <w:rsid w:val="0042506D"/>
    <w:rsid w:val="00425C0A"/>
    <w:rsid w:val="00426463"/>
    <w:rsid w:val="00427AAA"/>
    <w:rsid w:val="0043083D"/>
    <w:rsid w:val="00430D48"/>
    <w:rsid w:val="00431FD8"/>
    <w:rsid w:val="00433322"/>
    <w:rsid w:val="00433470"/>
    <w:rsid w:val="00433AE5"/>
    <w:rsid w:val="00434787"/>
    <w:rsid w:val="00434D4B"/>
    <w:rsid w:val="004400C3"/>
    <w:rsid w:val="00442600"/>
    <w:rsid w:val="0044758A"/>
    <w:rsid w:val="004526B3"/>
    <w:rsid w:val="004557D4"/>
    <w:rsid w:val="0046605D"/>
    <w:rsid w:val="00471419"/>
    <w:rsid w:val="00471516"/>
    <w:rsid w:val="00472964"/>
    <w:rsid w:val="004732BF"/>
    <w:rsid w:val="004736B3"/>
    <w:rsid w:val="00483413"/>
    <w:rsid w:val="00486213"/>
    <w:rsid w:val="004867F8"/>
    <w:rsid w:val="0048757C"/>
    <w:rsid w:val="0049013D"/>
    <w:rsid w:val="004903C0"/>
    <w:rsid w:val="004947F5"/>
    <w:rsid w:val="00495D1F"/>
    <w:rsid w:val="00495DD1"/>
    <w:rsid w:val="00496041"/>
    <w:rsid w:val="00496EA2"/>
    <w:rsid w:val="004A2AE9"/>
    <w:rsid w:val="004A62EA"/>
    <w:rsid w:val="004B0A23"/>
    <w:rsid w:val="004B2FA5"/>
    <w:rsid w:val="004B39BE"/>
    <w:rsid w:val="004B40D4"/>
    <w:rsid w:val="004B4E12"/>
    <w:rsid w:val="004B5449"/>
    <w:rsid w:val="004C23BD"/>
    <w:rsid w:val="004C5423"/>
    <w:rsid w:val="004D1CB1"/>
    <w:rsid w:val="004D509D"/>
    <w:rsid w:val="004D5B14"/>
    <w:rsid w:val="004E1A08"/>
    <w:rsid w:val="004E37AE"/>
    <w:rsid w:val="004E6C47"/>
    <w:rsid w:val="004F093E"/>
    <w:rsid w:val="004F3918"/>
    <w:rsid w:val="004F470E"/>
    <w:rsid w:val="004F51F4"/>
    <w:rsid w:val="004F5DFD"/>
    <w:rsid w:val="004F6FAB"/>
    <w:rsid w:val="004F795B"/>
    <w:rsid w:val="00500DA2"/>
    <w:rsid w:val="0050226E"/>
    <w:rsid w:val="0050323C"/>
    <w:rsid w:val="0050367D"/>
    <w:rsid w:val="0050603E"/>
    <w:rsid w:val="00513379"/>
    <w:rsid w:val="00514F68"/>
    <w:rsid w:val="00516B8C"/>
    <w:rsid w:val="00517DEA"/>
    <w:rsid w:val="00521060"/>
    <w:rsid w:val="005239A2"/>
    <w:rsid w:val="00523EA9"/>
    <w:rsid w:val="005248BA"/>
    <w:rsid w:val="00525DF4"/>
    <w:rsid w:val="00531AE7"/>
    <w:rsid w:val="0053242C"/>
    <w:rsid w:val="00533497"/>
    <w:rsid w:val="005344B4"/>
    <w:rsid w:val="0053585A"/>
    <w:rsid w:val="0053659A"/>
    <w:rsid w:val="00537E01"/>
    <w:rsid w:val="0054101E"/>
    <w:rsid w:val="00541A80"/>
    <w:rsid w:val="00542099"/>
    <w:rsid w:val="00544AF1"/>
    <w:rsid w:val="00547D40"/>
    <w:rsid w:val="005514B8"/>
    <w:rsid w:val="00551DAD"/>
    <w:rsid w:val="0055283C"/>
    <w:rsid w:val="0055336F"/>
    <w:rsid w:val="00556886"/>
    <w:rsid w:val="00560345"/>
    <w:rsid w:val="005619D6"/>
    <w:rsid w:val="00561EAF"/>
    <w:rsid w:val="00564E0A"/>
    <w:rsid w:val="005672EA"/>
    <w:rsid w:val="00571138"/>
    <w:rsid w:val="0057126B"/>
    <w:rsid w:val="00582C32"/>
    <w:rsid w:val="00582E44"/>
    <w:rsid w:val="00582EBA"/>
    <w:rsid w:val="005840D2"/>
    <w:rsid w:val="005842BF"/>
    <w:rsid w:val="00584697"/>
    <w:rsid w:val="005853A3"/>
    <w:rsid w:val="00585559"/>
    <w:rsid w:val="0058598B"/>
    <w:rsid w:val="005875B4"/>
    <w:rsid w:val="00587BA6"/>
    <w:rsid w:val="00590D9F"/>
    <w:rsid w:val="00591071"/>
    <w:rsid w:val="0059371B"/>
    <w:rsid w:val="005A2043"/>
    <w:rsid w:val="005A2666"/>
    <w:rsid w:val="005A6F0C"/>
    <w:rsid w:val="005B040E"/>
    <w:rsid w:val="005B4068"/>
    <w:rsid w:val="005B61EC"/>
    <w:rsid w:val="005B6FFE"/>
    <w:rsid w:val="005B7B5B"/>
    <w:rsid w:val="005C114A"/>
    <w:rsid w:val="005C62C4"/>
    <w:rsid w:val="005D0508"/>
    <w:rsid w:val="005D1509"/>
    <w:rsid w:val="005D1C3A"/>
    <w:rsid w:val="005D294B"/>
    <w:rsid w:val="005D4218"/>
    <w:rsid w:val="005D460B"/>
    <w:rsid w:val="005D56CB"/>
    <w:rsid w:val="005D7FD4"/>
    <w:rsid w:val="005E0925"/>
    <w:rsid w:val="005E3374"/>
    <w:rsid w:val="005E522E"/>
    <w:rsid w:val="005F0672"/>
    <w:rsid w:val="006002E7"/>
    <w:rsid w:val="0060529C"/>
    <w:rsid w:val="00606226"/>
    <w:rsid w:val="006106FE"/>
    <w:rsid w:val="00613029"/>
    <w:rsid w:val="00613633"/>
    <w:rsid w:val="00614215"/>
    <w:rsid w:val="00616D0F"/>
    <w:rsid w:val="0061778E"/>
    <w:rsid w:val="006207DE"/>
    <w:rsid w:val="00621F65"/>
    <w:rsid w:val="00626943"/>
    <w:rsid w:val="0062694B"/>
    <w:rsid w:val="006338A8"/>
    <w:rsid w:val="006341F5"/>
    <w:rsid w:val="006342D6"/>
    <w:rsid w:val="00634A9D"/>
    <w:rsid w:val="0063610A"/>
    <w:rsid w:val="00636D2C"/>
    <w:rsid w:val="006371F7"/>
    <w:rsid w:val="006433CF"/>
    <w:rsid w:val="00644499"/>
    <w:rsid w:val="0064510F"/>
    <w:rsid w:val="00645A97"/>
    <w:rsid w:val="0065191C"/>
    <w:rsid w:val="00652FF7"/>
    <w:rsid w:val="00656B40"/>
    <w:rsid w:val="00660F36"/>
    <w:rsid w:val="00661715"/>
    <w:rsid w:val="00661B9B"/>
    <w:rsid w:val="00662AD5"/>
    <w:rsid w:val="00662B38"/>
    <w:rsid w:val="006677D8"/>
    <w:rsid w:val="00672046"/>
    <w:rsid w:val="00680F5E"/>
    <w:rsid w:val="00681946"/>
    <w:rsid w:val="00682B68"/>
    <w:rsid w:val="006834B1"/>
    <w:rsid w:val="00686D3D"/>
    <w:rsid w:val="006870D1"/>
    <w:rsid w:val="006878C8"/>
    <w:rsid w:val="0069130C"/>
    <w:rsid w:val="006951B6"/>
    <w:rsid w:val="00695268"/>
    <w:rsid w:val="0069528C"/>
    <w:rsid w:val="006A36C9"/>
    <w:rsid w:val="006A5C65"/>
    <w:rsid w:val="006A6295"/>
    <w:rsid w:val="006B0210"/>
    <w:rsid w:val="006B1000"/>
    <w:rsid w:val="006B30D7"/>
    <w:rsid w:val="006B45A0"/>
    <w:rsid w:val="006B4A52"/>
    <w:rsid w:val="006B5E3C"/>
    <w:rsid w:val="006C677B"/>
    <w:rsid w:val="006C776C"/>
    <w:rsid w:val="006D0043"/>
    <w:rsid w:val="006D2A12"/>
    <w:rsid w:val="006D3CB6"/>
    <w:rsid w:val="006D434C"/>
    <w:rsid w:val="006D76EF"/>
    <w:rsid w:val="006D7825"/>
    <w:rsid w:val="006E0D9C"/>
    <w:rsid w:val="006E4300"/>
    <w:rsid w:val="006E5BD2"/>
    <w:rsid w:val="006E6B84"/>
    <w:rsid w:val="006E6FE9"/>
    <w:rsid w:val="006F137D"/>
    <w:rsid w:val="006F4EA4"/>
    <w:rsid w:val="006F530F"/>
    <w:rsid w:val="006F644D"/>
    <w:rsid w:val="006F6C43"/>
    <w:rsid w:val="006F791F"/>
    <w:rsid w:val="007004FF"/>
    <w:rsid w:val="00702CDF"/>
    <w:rsid w:val="00704C14"/>
    <w:rsid w:val="00706307"/>
    <w:rsid w:val="00707B3E"/>
    <w:rsid w:val="0071017F"/>
    <w:rsid w:val="00710659"/>
    <w:rsid w:val="0071116D"/>
    <w:rsid w:val="007112BF"/>
    <w:rsid w:val="007171CD"/>
    <w:rsid w:val="0072176E"/>
    <w:rsid w:val="00722387"/>
    <w:rsid w:val="00723454"/>
    <w:rsid w:val="007253F8"/>
    <w:rsid w:val="007270F5"/>
    <w:rsid w:val="007277DE"/>
    <w:rsid w:val="00730035"/>
    <w:rsid w:val="00731258"/>
    <w:rsid w:val="007317FE"/>
    <w:rsid w:val="00732E68"/>
    <w:rsid w:val="007352AC"/>
    <w:rsid w:val="007355B8"/>
    <w:rsid w:val="007445DA"/>
    <w:rsid w:val="00752930"/>
    <w:rsid w:val="00753BD7"/>
    <w:rsid w:val="00755107"/>
    <w:rsid w:val="00757079"/>
    <w:rsid w:val="007578AF"/>
    <w:rsid w:val="007638AC"/>
    <w:rsid w:val="00764F42"/>
    <w:rsid w:val="00765172"/>
    <w:rsid w:val="007658B1"/>
    <w:rsid w:val="00766454"/>
    <w:rsid w:val="00772226"/>
    <w:rsid w:val="00776971"/>
    <w:rsid w:val="00777B6C"/>
    <w:rsid w:val="007812CE"/>
    <w:rsid w:val="00783E60"/>
    <w:rsid w:val="00784FC0"/>
    <w:rsid w:val="00785062"/>
    <w:rsid w:val="00787323"/>
    <w:rsid w:val="007907DD"/>
    <w:rsid w:val="00790B1C"/>
    <w:rsid w:val="00795593"/>
    <w:rsid w:val="00795724"/>
    <w:rsid w:val="007969D1"/>
    <w:rsid w:val="00797F00"/>
    <w:rsid w:val="007A16E9"/>
    <w:rsid w:val="007A4CC0"/>
    <w:rsid w:val="007B0091"/>
    <w:rsid w:val="007B23C8"/>
    <w:rsid w:val="007B3363"/>
    <w:rsid w:val="007B59CA"/>
    <w:rsid w:val="007C0B72"/>
    <w:rsid w:val="007C2F01"/>
    <w:rsid w:val="007C3415"/>
    <w:rsid w:val="007C37E7"/>
    <w:rsid w:val="007C3E13"/>
    <w:rsid w:val="007C5153"/>
    <w:rsid w:val="007C516A"/>
    <w:rsid w:val="007C729F"/>
    <w:rsid w:val="007C7D98"/>
    <w:rsid w:val="007D7963"/>
    <w:rsid w:val="007E09BB"/>
    <w:rsid w:val="007E0FEB"/>
    <w:rsid w:val="007E160D"/>
    <w:rsid w:val="007E42E5"/>
    <w:rsid w:val="007E57BE"/>
    <w:rsid w:val="007E73DE"/>
    <w:rsid w:val="007E77B5"/>
    <w:rsid w:val="007F0221"/>
    <w:rsid w:val="007F05BF"/>
    <w:rsid w:val="007F1262"/>
    <w:rsid w:val="007F5E01"/>
    <w:rsid w:val="008029D6"/>
    <w:rsid w:val="00803137"/>
    <w:rsid w:val="00804547"/>
    <w:rsid w:val="00804797"/>
    <w:rsid w:val="008140E2"/>
    <w:rsid w:val="00816C6B"/>
    <w:rsid w:val="0082100A"/>
    <w:rsid w:val="00822066"/>
    <w:rsid w:val="00825EC6"/>
    <w:rsid w:val="008270D2"/>
    <w:rsid w:val="008336E9"/>
    <w:rsid w:val="00833E71"/>
    <w:rsid w:val="00836B10"/>
    <w:rsid w:val="00836C58"/>
    <w:rsid w:val="00843875"/>
    <w:rsid w:val="0084395D"/>
    <w:rsid w:val="00844B9E"/>
    <w:rsid w:val="008462CF"/>
    <w:rsid w:val="00846859"/>
    <w:rsid w:val="00851224"/>
    <w:rsid w:val="008513E8"/>
    <w:rsid w:val="008515F9"/>
    <w:rsid w:val="00851B43"/>
    <w:rsid w:val="00852234"/>
    <w:rsid w:val="00855C44"/>
    <w:rsid w:val="00856B02"/>
    <w:rsid w:val="00860DF7"/>
    <w:rsid w:val="008651D3"/>
    <w:rsid w:val="00867F91"/>
    <w:rsid w:val="0087225C"/>
    <w:rsid w:val="008747ED"/>
    <w:rsid w:val="00877B49"/>
    <w:rsid w:val="00881607"/>
    <w:rsid w:val="00882B76"/>
    <w:rsid w:val="00883774"/>
    <w:rsid w:val="008902CC"/>
    <w:rsid w:val="008905C2"/>
    <w:rsid w:val="00892254"/>
    <w:rsid w:val="008A08A0"/>
    <w:rsid w:val="008A57EF"/>
    <w:rsid w:val="008A65A0"/>
    <w:rsid w:val="008A6E70"/>
    <w:rsid w:val="008A7354"/>
    <w:rsid w:val="008A7815"/>
    <w:rsid w:val="008B43C5"/>
    <w:rsid w:val="008B467C"/>
    <w:rsid w:val="008B6F5E"/>
    <w:rsid w:val="008B74FB"/>
    <w:rsid w:val="008C0A89"/>
    <w:rsid w:val="008C1BCC"/>
    <w:rsid w:val="008C1E61"/>
    <w:rsid w:val="008C2097"/>
    <w:rsid w:val="008C30F5"/>
    <w:rsid w:val="008C3E04"/>
    <w:rsid w:val="008C4E0B"/>
    <w:rsid w:val="008C5DEE"/>
    <w:rsid w:val="008C7782"/>
    <w:rsid w:val="008D129D"/>
    <w:rsid w:val="008D3DEA"/>
    <w:rsid w:val="008D4CD5"/>
    <w:rsid w:val="008D5587"/>
    <w:rsid w:val="008D5DF1"/>
    <w:rsid w:val="008D733B"/>
    <w:rsid w:val="008D7E7E"/>
    <w:rsid w:val="008E2CE4"/>
    <w:rsid w:val="008E3D7F"/>
    <w:rsid w:val="008E673E"/>
    <w:rsid w:val="008E7756"/>
    <w:rsid w:val="008F18E2"/>
    <w:rsid w:val="008F309A"/>
    <w:rsid w:val="008F4EAE"/>
    <w:rsid w:val="008F5372"/>
    <w:rsid w:val="008F605E"/>
    <w:rsid w:val="00907638"/>
    <w:rsid w:val="00910E16"/>
    <w:rsid w:val="00911367"/>
    <w:rsid w:val="0091283C"/>
    <w:rsid w:val="00913F63"/>
    <w:rsid w:val="00914BC5"/>
    <w:rsid w:val="00916264"/>
    <w:rsid w:val="00916279"/>
    <w:rsid w:val="00917BC2"/>
    <w:rsid w:val="00920C2C"/>
    <w:rsid w:val="00923444"/>
    <w:rsid w:val="00923740"/>
    <w:rsid w:val="00925065"/>
    <w:rsid w:val="00926494"/>
    <w:rsid w:val="00931BDD"/>
    <w:rsid w:val="00934526"/>
    <w:rsid w:val="00935E87"/>
    <w:rsid w:val="0093609A"/>
    <w:rsid w:val="00940580"/>
    <w:rsid w:val="0094284C"/>
    <w:rsid w:val="00942E47"/>
    <w:rsid w:val="00944245"/>
    <w:rsid w:val="009449F2"/>
    <w:rsid w:val="00945534"/>
    <w:rsid w:val="00946F16"/>
    <w:rsid w:val="009514B7"/>
    <w:rsid w:val="00952100"/>
    <w:rsid w:val="00953B8B"/>
    <w:rsid w:val="00954536"/>
    <w:rsid w:val="00954CC8"/>
    <w:rsid w:val="00960BED"/>
    <w:rsid w:val="009641DC"/>
    <w:rsid w:val="00966527"/>
    <w:rsid w:val="00971AE8"/>
    <w:rsid w:val="00971B94"/>
    <w:rsid w:val="00973D15"/>
    <w:rsid w:val="00977CC7"/>
    <w:rsid w:val="00980C59"/>
    <w:rsid w:val="00986805"/>
    <w:rsid w:val="00986F48"/>
    <w:rsid w:val="00991568"/>
    <w:rsid w:val="009929DD"/>
    <w:rsid w:val="009961DC"/>
    <w:rsid w:val="0099726E"/>
    <w:rsid w:val="009A0146"/>
    <w:rsid w:val="009A109C"/>
    <w:rsid w:val="009A33E3"/>
    <w:rsid w:val="009A4D74"/>
    <w:rsid w:val="009A4F1C"/>
    <w:rsid w:val="009A6F9B"/>
    <w:rsid w:val="009A71B3"/>
    <w:rsid w:val="009B066C"/>
    <w:rsid w:val="009C2FEE"/>
    <w:rsid w:val="009C38A5"/>
    <w:rsid w:val="009C4894"/>
    <w:rsid w:val="009C6354"/>
    <w:rsid w:val="009C6378"/>
    <w:rsid w:val="009C7215"/>
    <w:rsid w:val="009D73D6"/>
    <w:rsid w:val="009E14CD"/>
    <w:rsid w:val="009E5086"/>
    <w:rsid w:val="009E5366"/>
    <w:rsid w:val="009E6041"/>
    <w:rsid w:val="009E6432"/>
    <w:rsid w:val="009E6769"/>
    <w:rsid w:val="009E7B13"/>
    <w:rsid w:val="009E7EE1"/>
    <w:rsid w:val="009F407B"/>
    <w:rsid w:val="009F5F61"/>
    <w:rsid w:val="009F723A"/>
    <w:rsid w:val="00A024C4"/>
    <w:rsid w:val="00A044D2"/>
    <w:rsid w:val="00A05F00"/>
    <w:rsid w:val="00A1040A"/>
    <w:rsid w:val="00A10411"/>
    <w:rsid w:val="00A143AE"/>
    <w:rsid w:val="00A17C12"/>
    <w:rsid w:val="00A250E8"/>
    <w:rsid w:val="00A26F72"/>
    <w:rsid w:val="00A271E7"/>
    <w:rsid w:val="00A3031B"/>
    <w:rsid w:val="00A30BE2"/>
    <w:rsid w:val="00A30CF8"/>
    <w:rsid w:val="00A32F73"/>
    <w:rsid w:val="00A33B0E"/>
    <w:rsid w:val="00A34C1C"/>
    <w:rsid w:val="00A354B6"/>
    <w:rsid w:val="00A35C19"/>
    <w:rsid w:val="00A361DE"/>
    <w:rsid w:val="00A40168"/>
    <w:rsid w:val="00A408F3"/>
    <w:rsid w:val="00A4095D"/>
    <w:rsid w:val="00A47A7E"/>
    <w:rsid w:val="00A50838"/>
    <w:rsid w:val="00A5372C"/>
    <w:rsid w:val="00A5572D"/>
    <w:rsid w:val="00A568ED"/>
    <w:rsid w:val="00A56A08"/>
    <w:rsid w:val="00A63442"/>
    <w:rsid w:val="00A656EB"/>
    <w:rsid w:val="00A66444"/>
    <w:rsid w:val="00A6760E"/>
    <w:rsid w:val="00A676C4"/>
    <w:rsid w:val="00A721C1"/>
    <w:rsid w:val="00A72CB7"/>
    <w:rsid w:val="00A73726"/>
    <w:rsid w:val="00A76499"/>
    <w:rsid w:val="00A803AD"/>
    <w:rsid w:val="00A80BF2"/>
    <w:rsid w:val="00A812C8"/>
    <w:rsid w:val="00A84CF6"/>
    <w:rsid w:val="00A850EB"/>
    <w:rsid w:val="00A917F7"/>
    <w:rsid w:val="00A91A14"/>
    <w:rsid w:val="00A91B3F"/>
    <w:rsid w:val="00A9397E"/>
    <w:rsid w:val="00A957C7"/>
    <w:rsid w:val="00A965E7"/>
    <w:rsid w:val="00A9683E"/>
    <w:rsid w:val="00AA098D"/>
    <w:rsid w:val="00AA3046"/>
    <w:rsid w:val="00AA3F18"/>
    <w:rsid w:val="00AA54A9"/>
    <w:rsid w:val="00AB0E33"/>
    <w:rsid w:val="00AB1008"/>
    <w:rsid w:val="00AB32E9"/>
    <w:rsid w:val="00AB52D5"/>
    <w:rsid w:val="00AC0293"/>
    <w:rsid w:val="00AC0E96"/>
    <w:rsid w:val="00AC33C4"/>
    <w:rsid w:val="00AC5F43"/>
    <w:rsid w:val="00AD3906"/>
    <w:rsid w:val="00AD3AE8"/>
    <w:rsid w:val="00AE0938"/>
    <w:rsid w:val="00AE40C8"/>
    <w:rsid w:val="00AE6938"/>
    <w:rsid w:val="00AF0220"/>
    <w:rsid w:val="00AF1808"/>
    <w:rsid w:val="00AF30AC"/>
    <w:rsid w:val="00AF7535"/>
    <w:rsid w:val="00B047B4"/>
    <w:rsid w:val="00B053A7"/>
    <w:rsid w:val="00B063D1"/>
    <w:rsid w:val="00B073FE"/>
    <w:rsid w:val="00B104B1"/>
    <w:rsid w:val="00B10BC2"/>
    <w:rsid w:val="00B11A06"/>
    <w:rsid w:val="00B13DAA"/>
    <w:rsid w:val="00B14139"/>
    <w:rsid w:val="00B1736A"/>
    <w:rsid w:val="00B223C5"/>
    <w:rsid w:val="00B2298D"/>
    <w:rsid w:val="00B24A41"/>
    <w:rsid w:val="00B2600C"/>
    <w:rsid w:val="00B32140"/>
    <w:rsid w:val="00B33BEB"/>
    <w:rsid w:val="00B41D5B"/>
    <w:rsid w:val="00B44325"/>
    <w:rsid w:val="00B453AE"/>
    <w:rsid w:val="00B4542F"/>
    <w:rsid w:val="00B50A53"/>
    <w:rsid w:val="00B5136C"/>
    <w:rsid w:val="00B5301B"/>
    <w:rsid w:val="00B54C81"/>
    <w:rsid w:val="00B5546B"/>
    <w:rsid w:val="00B57F47"/>
    <w:rsid w:val="00B606C4"/>
    <w:rsid w:val="00B62A87"/>
    <w:rsid w:val="00B62AC4"/>
    <w:rsid w:val="00B668E0"/>
    <w:rsid w:val="00B67D40"/>
    <w:rsid w:val="00B7053B"/>
    <w:rsid w:val="00B72CE9"/>
    <w:rsid w:val="00B72F59"/>
    <w:rsid w:val="00B7733F"/>
    <w:rsid w:val="00B853BF"/>
    <w:rsid w:val="00B85618"/>
    <w:rsid w:val="00B918F6"/>
    <w:rsid w:val="00B961FB"/>
    <w:rsid w:val="00B96314"/>
    <w:rsid w:val="00BA568E"/>
    <w:rsid w:val="00BA6E02"/>
    <w:rsid w:val="00BA742A"/>
    <w:rsid w:val="00BA7BFD"/>
    <w:rsid w:val="00BB20DD"/>
    <w:rsid w:val="00BB31EA"/>
    <w:rsid w:val="00BB332D"/>
    <w:rsid w:val="00BB3A74"/>
    <w:rsid w:val="00BB503A"/>
    <w:rsid w:val="00BC0A5B"/>
    <w:rsid w:val="00BC5D8E"/>
    <w:rsid w:val="00BC79F5"/>
    <w:rsid w:val="00BD062D"/>
    <w:rsid w:val="00BD4302"/>
    <w:rsid w:val="00BD716E"/>
    <w:rsid w:val="00BE099F"/>
    <w:rsid w:val="00BE1095"/>
    <w:rsid w:val="00BE3C7A"/>
    <w:rsid w:val="00BE5EE9"/>
    <w:rsid w:val="00BF04AA"/>
    <w:rsid w:val="00BF3B33"/>
    <w:rsid w:val="00BF539B"/>
    <w:rsid w:val="00BF60B5"/>
    <w:rsid w:val="00BF770B"/>
    <w:rsid w:val="00C0049F"/>
    <w:rsid w:val="00C03B8A"/>
    <w:rsid w:val="00C04943"/>
    <w:rsid w:val="00C05108"/>
    <w:rsid w:val="00C07F42"/>
    <w:rsid w:val="00C11F22"/>
    <w:rsid w:val="00C14B7E"/>
    <w:rsid w:val="00C170AB"/>
    <w:rsid w:val="00C17FC4"/>
    <w:rsid w:val="00C20A3B"/>
    <w:rsid w:val="00C213BD"/>
    <w:rsid w:val="00C24339"/>
    <w:rsid w:val="00C255AB"/>
    <w:rsid w:val="00C31DC2"/>
    <w:rsid w:val="00C37292"/>
    <w:rsid w:val="00C521CB"/>
    <w:rsid w:val="00C5406F"/>
    <w:rsid w:val="00C560BF"/>
    <w:rsid w:val="00C5650D"/>
    <w:rsid w:val="00C56F26"/>
    <w:rsid w:val="00C56FCE"/>
    <w:rsid w:val="00C62E84"/>
    <w:rsid w:val="00C63283"/>
    <w:rsid w:val="00C65FD6"/>
    <w:rsid w:val="00C66388"/>
    <w:rsid w:val="00C70E8E"/>
    <w:rsid w:val="00C71E56"/>
    <w:rsid w:val="00C730E6"/>
    <w:rsid w:val="00C738EB"/>
    <w:rsid w:val="00C77DE0"/>
    <w:rsid w:val="00C84C4F"/>
    <w:rsid w:val="00C87D18"/>
    <w:rsid w:val="00C91519"/>
    <w:rsid w:val="00C92158"/>
    <w:rsid w:val="00C94115"/>
    <w:rsid w:val="00CA0A8F"/>
    <w:rsid w:val="00CA39E1"/>
    <w:rsid w:val="00CA6035"/>
    <w:rsid w:val="00CA6945"/>
    <w:rsid w:val="00CA6AEB"/>
    <w:rsid w:val="00CA7818"/>
    <w:rsid w:val="00CB264C"/>
    <w:rsid w:val="00CB2AB1"/>
    <w:rsid w:val="00CB5DC0"/>
    <w:rsid w:val="00CB79DF"/>
    <w:rsid w:val="00CC0572"/>
    <w:rsid w:val="00CC0A53"/>
    <w:rsid w:val="00CC5C61"/>
    <w:rsid w:val="00CD054F"/>
    <w:rsid w:val="00CD650C"/>
    <w:rsid w:val="00CD6CB8"/>
    <w:rsid w:val="00CE2B8A"/>
    <w:rsid w:val="00CE513F"/>
    <w:rsid w:val="00CE6909"/>
    <w:rsid w:val="00CE71C9"/>
    <w:rsid w:val="00CF15D3"/>
    <w:rsid w:val="00CF19E1"/>
    <w:rsid w:val="00CF2FFF"/>
    <w:rsid w:val="00CF58EE"/>
    <w:rsid w:val="00CF66EB"/>
    <w:rsid w:val="00CF7A07"/>
    <w:rsid w:val="00D06641"/>
    <w:rsid w:val="00D068F0"/>
    <w:rsid w:val="00D10DAB"/>
    <w:rsid w:val="00D114EA"/>
    <w:rsid w:val="00D145AC"/>
    <w:rsid w:val="00D1535F"/>
    <w:rsid w:val="00D172C9"/>
    <w:rsid w:val="00D23108"/>
    <w:rsid w:val="00D25143"/>
    <w:rsid w:val="00D26BD3"/>
    <w:rsid w:val="00D316C9"/>
    <w:rsid w:val="00D3381B"/>
    <w:rsid w:val="00D42016"/>
    <w:rsid w:val="00D43940"/>
    <w:rsid w:val="00D4438C"/>
    <w:rsid w:val="00D456F4"/>
    <w:rsid w:val="00D50CB4"/>
    <w:rsid w:val="00D515BB"/>
    <w:rsid w:val="00D5433E"/>
    <w:rsid w:val="00D555A7"/>
    <w:rsid w:val="00D572BC"/>
    <w:rsid w:val="00D60ED2"/>
    <w:rsid w:val="00D643A6"/>
    <w:rsid w:val="00D6538F"/>
    <w:rsid w:val="00D65EBF"/>
    <w:rsid w:val="00D7235B"/>
    <w:rsid w:val="00D724AD"/>
    <w:rsid w:val="00D727C0"/>
    <w:rsid w:val="00D7316F"/>
    <w:rsid w:val="00D73A85"/>
    <w:rsid w:val="00D74B69"/>
    <w:rsid w:val="00D76610"/>
    <w:rsid w:val="00D7689A"/>
    <w:rsid w:val="00D768B2"/>
    <w:rsid w:val="00D76C33"/>
    <w:rsid w:val="00D76D8B"/>
    <w:rsid w:val="00D77365"/>
    <w:rsid w:val="00D82612"/>
    <w:rsid w:val="00D8610F"/>
    <w:rsid w:val="00D87340"/>
    <w:rsid w:val="00D902DB"/>
    <w:rsid w:val="00D92C95"/>
    <w:rsid w:val="00DA0EAC"/>
    <w:rsid w:val="00DA20FC"/>
    <w:rsid w:val="00DA36BA"/>
    <w:rsid w:val="00DA5810"/>
    <w:rsid w:val="00DB56A4"/>
    <w:rsid w:val="00DB5A03"/>
    <w:rsid w:val="00DC0F11"/>
    <w:rsid w:val="00DC279C"/>
    <w:rsid w:val="00DC3928"/>
    <w:rsid w:val="00DC74C4"/>
    <w:rsid w:val="00DD228A"/>
    <w:rsid w:val="00DD5516"/>
    <w:rsid w:val="00DD6C63"/>
    <w:rsid w:val="00DE1D41"/>
    <w:rsid w:val="00DE3CEA"/>
    <w:rsid w:val="00DE3FAF"/>
    <w:rsid w:val="00DF0822"/>
    <w:rsid w:val="00DF4646"/>
    <w:rsid w:val="00DF489F"/>
    <w:rsid w:val="00DF4E7A"/>
    <w:rsid w:val="00DF612C"/>
    <w:rsid w:val="00E048AA"/>
    <w:rsid w:val="00E06755"/>
    <w:rsid w:val="00E14AC2"/>
    <w:rsid w:val="00E1648C"/>
    <w:rsid w:val="00E169F3"/>
    <w:rsid w:val="00E2065F"/>
    <w:rsid w:val="00E22897"/>
    <w:rsid w:val="00E23F08"/>
    <w:rsid w:val="00E2643E"/>
    <w:rsid w:val="00E276F8"/>
    <w:rsid w:val="00E33F7A"/>
    <w:rsid w:val="00E37A81"/>
    <w:rsid w:val="00E400E1"/>
    <w:rsid w:val="00E4220F"/>
    <w:rsid w:val="00E434CB"/>
    <w:rsid w:val="00E435E0"/>
    <w:rsid w:val="00E45819"/>
    <w:rsid w:val="00E477B2"/>
    <w:rsid w:val="00E51F36"/>
    <w:rsid w:val="00E55BA9"/>
    <w:rsid w:val="00E56EBD"/>
    <w:rsid w:val="00E57189"/>
    <w:rsid w:val="00E571E9"/>
    <w:rsid w:val="00E57809"/>
    <w:rsid w:val="00E63B1A"/>
    <w:rsid w:val="00E63DAE"/>
    <w:rsid w:val="00E65F91"/>
    <w:rsid w:val="00E66802"/>
    <w:rsid w:val="00E67618"/>
    <w:rsid w:val="00E731E8"/>
    <w:rsid w:val="00E76D40"/>
    <w:rsid w:val="00E76ECE"/>
    <w:rsid w:val="00E82C7B"/>
    <w:rsid w:val="00E8525B"/>
    <w:rsid w:val="00E90083"/>
    <w:rsid w:val="00E909A8"/>
    <w:rsid w:val="00E90A95"/>
    <w:rsid w:val="00E91B62"/>
    <w:rsid w:val="00E91CC9"/>
    <w:rsid w:val="00E91CE4"/>
    <w:rsid w:val="00E91E1F"/>
    <w:rsid w:val="00E95C28"/>
    <w:rsid w:val="00E973CB"/>
    <w:rsid w:val="00E97AA5"/>
    <w:rsid w:val="00EA5D9E"/>
    <w:rsid w:val="00EA5FD1"/>
    <w:rsid w:val="00EB1666"/>
    <w:rsid w:val="00EB32F2"/>
    <w:rsid w:val="00EB4A7A"/>
    <w:rsid w:val="00EB4EFA"/>
    <w:rsid w:val="00EC0C39"/>
    <w:rsid w:val="00EC37E8"/>
    <w:rsid w:val="00EC7136"/>
    <w:rsid w:val="00EC7D5C"/>
    <w:rsid w:val="00ED2551"/>
    <w:rsid w:val="00ED3957"/>
    <w:rsid w:val="00EE0DDA"/>
    <w:rsid w:val="00EE1CFB"/>
    <w:rsid w:val="00EE22F7"/>
    <w:rsid w:val="00EE2FF9"/>
    <w:rsid w:val="00EE348C"/>
    <w:rsid w:val="00EE4058"/>
    <w:rsid w:val="00EE4781"/>
    <w:rsid w:val="00EE5408"/>
    <w:rsid w:val="00EE78E5"/>
    <w:rsid w:val="00EE7B15"/>
    <w:rsid w:val="00EF0D1F"/>
    <w:rsid w:val="00EF0F1A"/>
    <w:rsid w:val="00EF29B8"/>
    <w:rsid w:val="00EF33FF"/>
    <w:rsid w:val="00EF4525"/>
    <w:rsid w:val="00EF4AAE"/>
    <w:rsid w:val="00EF4EB1"/>
    <w:rsid w:val="00EF533C"/>
    <w:rsid w:val="00EF7DDD"/>
    <w:rsid w:val="00F01229"/>
    <w:rsid w:val="00F049EC"/>
    <w:rsid w:val="00F055DE"/>
    <w:rsid w:val="00F07730"/>
    <w:rsid w:val="00F07E11"/>
    <w:rsid w:val="00F10DA2"/>
    <w:rsid w:val="00F111E6"/>
    <w:rsid w:val="00F131A1"/>
    <w:rsid w:val="00F163C0"/>
    <w:rsid w:val="00F16B28"/>
    <w:rsid w:val="00F171DA"/>
    <w:rsid w:val="00F20E25"/>
    <w:rsid w:val="00F20FC9"/>
    <w:rsid w:val="00F21D2E"/>
    <w:rsid w:val="00F230BD"/>
    <w:rsid w:val="00F233BE"/>
    <w:rsid w:val="00F25C39"/>
    <w:rsid w:val="00F27973"/>
    <w:rsid w:val="00F30106"/>
    <w:rsid w:val="00F32548"/>
    <w:rsid w:val="00F4155E"/>
    <w:rsid w:val="00F41E76"/>
    <w:rsid w:val="00F441F1"/>
    <w:rsid w:val="00F45B1B"/>
    <w:rsid w:val="00F474D8"/>
    <w:rsid w:val="00F51EC4"/>
    <w:rsid w:val="00F52462"/>
    <w:rsid w:val="00F53EB2"/>
    <w:rsid w:val="00F616A5"/>
    <w:rsid w:val="00F63EB7"/>
    <w:rsid w:val="00F66207"/>
    <w:rsid w:val="00F66CEA"/>
    <w:rsid w:val="00F6748C"/>
    <w:rsid w:val="00F70EF4"/>
    <w:rsid w:val="00F710FB"/>
    <w:rsid w:val="00F71DE9"/>
    <w:rsid w:val="00F73A89"/>
    <w:rsid w:val="00F7449A"/>
    <w:rsid w:val="00F800E6"/>
    <w:rsid w:val="00F80633"/>
    <w:rsid w:val="00F80AB8"/>
    <w:rsid w:val="00F82F94"/>
    <w:rsid w:val="00F9146A"/>
    <w:rsid w:val="00F95B23"/>
    <w:rsid w:val="00FA0C24"/>
    <w:rsid w:val="00FA289F"/>
    <w:rsid w:val="00FA4146"/>
    <w:rsid w:val="00FA427E"/>
    <w:rsid w:val="00FB16EE"/>
    <w:rsid w:val="00FB1C37"/>
    <w:rsid w:val="00FB6EEA"/>
    <w:rsid w:val="00FB7D86"/>
    <w:rsid w:val="00FC08E5"/>
    <w:rsid w:val="00FC16A0"/>
    <w:rsid w:val="00FC4EDA"/>
    <w:rsid w:val="00FC615B"/>
    <w:rsid w:val="00FC68EA"/>
    <w:rsid w:val="00FC7666"/>
    <w:rsid w:val="00FD52FE"/>
    <w:rsid w:val="00FD6E00"/>
    <w:rsid w:val="00FE0758"/>
    <w:rsid w:val="00FE13BD"/>
    <w:rsid w:val="00FE1CBD"/>
    <w:rsid w:val="00FE65ED"/>
    <w:rsid w:val="00FE7C7B"/>
    <w:rsid w:val="00FF3229"/>
    <w:rsid w:val="00FF35C4"/>
    <w:rsid w:val="00FF62E2"/>
    <w:rsid w:val="00FF7FCF"/>
    <w:rsid w:val="03BD1252"/>
    <w:rsid w:val="07772FEA"/>
    <w:rsid w:val="1A854697"/>
    <w:rsid w:val="1C411EE7"/>
    <w:rsid w:val="1D8A2A83"/>
    <w:rsid w:val="2B1E0B4E"/>
    <w:rsid w:val="310F6AFE"/>
    <w:rsid w:val="32852458"/>
    <w:rsid w:val="394F3DC5"/>
    <w:rsid w:val="3C2D4D8C"/>
    <w:rsid w:val="440E5B6E"/>
    <w:rsid w:val="480126AE"/>
    <w:rsid w:val="499F11C2"/>
    <w:rsid w:val="4E8270E2"/>
    <w:rsid w:val="513D15DF"/>
    <w:rsid w:val="54717BEB"/>
    <w:rsid w:val="71415A90"/>
    <w:rsid w:val="78315F48"/>
    <w:rsid w:val="7BC84AD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9"/>
    <w:qFormat/>
    <w:uiPriority w:val="0"/>
    <w:pPr>
      <w:keepNext/>
      <w:keepLines/>
      <w:numPr>
        <w:ilvl w:val="0"/>
        <w:numId w:val="1"/>
      </w:numPr>
      <w:outlineLvl w:val="0"/>
    </w:pPr>
    <w:rPr>
      <w:b/>
      <w:kern w:val="44"/>
      <w:sz w:val="28"/>
      <w:szCs w:val="20"/>
    </w:rPr>
  </w:style>
  <w:style w:type="paragraph" w:styleId="3">
    <w:name w:val="heading 2"/>
    <w:basedOn w:val="1"/>
    <w:next w:val="1"/>
    <w:link w:val="50"/>
    <w:qFormat/>
    <w:uiPriority w:val="0"/>
    <w:pPr>
      <w:keepNext/>
      <w:keepLines/>
      <w:numPr>
        <w:ilvl w:val="1"/>
        <w:numId w:val="1"/>
      </w:numPr>
      <w:outlineLvl w:val="1"/>
    </w:pPr>
    <w:rPr>
      <w:rFonts w:eastAsia="黑体"/>
      <w:b/>
      <w:szCs w:val="20"/>
    </w:rPr>
  </w:style>
  <w:style w:type="paragraph" w:styleId="4">
    <w:name w:val="heading 3"/>
    <w:basedOn w:val="1"/>
    <w:next w:val="1"/>
    <w:link w:val="51"/>
    <w:qFormat/>
    <w:uiPriority w:val="0"/>
    <w:pPr>
      <w:keepNext/>
      <w:keepLines/>
      <w:spacing w:before="260" w:after="260" w:line="416" w:lineRule="auto"/>
      <w:outlineLvl w:val="2"/>
    </w:pPr>
    <w:rPr>
      <w:b/>
      <w:bCs/>
      <w:sz w:val="32"/>
      <w:szCs w:val="32"/>
    </w:rPr>
  </w:style>
  <w:style w:type="paragraph" w:styleId="5">
    <w:name w:val="heading 4"/>
    <w:basedOn w:val="1"/>
    <w:next w:val="1"/>
    <w:link w:val="52"/>
    <w:qFormat/>
    <w:uiPriority w:val="0"/>
    <w:pPr>
      <w:keepNext/>
      <w:spacing w:line="360" w:lineRule="auto"/>
      <w:outlineLvl w:val="3"/>
    </w:pPr>
    <w:rPr>
      <w:b/>
      <w:bCs/>
      <w:sz w:val="20"/>
    </w:rPr>
  </w:style>
  <w:style w:type="paragraph" w:styleId="6">
    <w:name w:val="heading 5"/>
    <w:basedOn w:val="1"/>
    <w:next w:val="1"/>
    <w:link w:val="53"/>
    <w:qFormat/>
    <w:uiPriority w:val="0"/>
    <w:pPr>
      <w:keepNext/>
      <w:outlineLvl w:val="4"/>
    </w:pPr>
    <w:rPr>
      <w:b/>
      <w:bCs/>
      <w:sz w:val="24"/>
    </w:rPr>
  </w:style>
  <w:style w:type="paragraph" w:styleId="7">
    <w:name w:val="heading 6"/>
    <w:basedOn w:val="1"/>
    <w:next w:val="1"/>
    <w:link w:val="54"/>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55"/>
    <w:qFormat/>
    <w:uiPriority w:val="0"/>
    <w:pPr>
      <w:keepNext/>
      <w:keepLines/>
      <w:spacing w:before="240" w:after="64" w:line="320" w:lineRule="auto"/>
      <w:outlineLvl w:val="6"/>
    </w:pPr>
    <w:rPr>
      <w:b/>
      <w:bCs/>
      <w:sz w:val="24"/>
    </w:rPr>
  </w:style>
  <w:style w:type="paragraph" w:styleId="9">
    <w:name w:val="heading 8"/>
    <w:basedOn w:val="1"/>
    <w:next w:val="1"/>
    <w:link w:val="56"/>
    <w:qFormat/>
    <w:uiPriority w:val="0"/>
    <w:pPr>
      <w:keepNext/>
      <w:keepLines/>
      <w:spacing w:before="240" w:after="64" w:line="320" w:lineRule="auto"/>
      <w:outlineLvl w:val="7"/>
    </w:pPr>
    <w:rPr>
      <w:rFonts w:ascii="Arial" w:hAnsi="Arial" w:eastAsia="黑体"/>
      <w:sz w:val="24"/>
    </w:rPr>
  </w:style>
  <w:style w:type="paragraph" w:styleId="10">
    <w:name w:val="heading 9"/>
    <w:basedOn w:val="1"/>
    <w:next w:val="1"/>
    <w:link w:val="57"/>
    <w:qFormat/>
    <w:uiPriority w:val="0"/>
    <w:pPr>
      <w:keepNext/>
      <w:keepLines/>
      <w:spacing w:before="240" w:after="64" w:line="320" w:lineRule="auto"/>
      <w:outlineLvl w:val="8"/>
    </w:pPr>
    <w:rPr>
      <w:rFonts w:ascii="Arial" w:hAnsi="Arial" w:eastAsia="黑体"/>
      <w:szCs w:val="21"/>
    </w:rPr>
  </w:style>
  <w:style w:type="character" w:default="1" w:styleId="42">
    <w:name w:val="Default Paragraph Font"/>
    <w:semiHidden/>
    <w:uiPriority w:val="0"/>
  </w:style>
  <w:style w:type="table" w:default="1" w:styleId="40">
    <w:name w:val="Normal Table"/>
    <w:semiHidden/>
    <w:qFormat/>
    <w:uiPriority w:val="0"/>
    <w:tblPr>
      <w:tblCellMar>
        <w:top w:w="0" w:type="dxa"/>
        <w:left w:w="108" w:type="dxa"/>
        <w:bottom w:w="0" w:type="dxa"/>
        <w:right w:w="108" w:type="dxa"/>
      </w:tblCellMar>
    </w:tblPr>
  </w:style>
  <w:style w:type="paragraph" w:styleId="11">
    <w:name w:val="List 3"/>
    <w:basedOn w:val="1"/>
    <w:qFormat/>
    <w:uiPriority w:val="0"/>
    <w:pPr>
      <w:ind w:left="100" w:leftChars="400" w:hanging="200" w:hangingChars="200"/>
    </w:pPr>
  </w:style>
  <w:style w:type="paragraph" w:styleId="12">
    <w:name w:val="caption"/>
    <w:basedOn w:val="1"/>
    <w:next w:val="1"/>
    <w:qFormat/>
    <w:uiPriority w:val="0"/>
    <w:rPr>
      <w:rFonts w:ascii="Arial" w:hAnsi="Arial" w:eastAsia="黑体" w:cs="Arial"/>
      <w:sz w:val="20"/>
      <w:szCs w:val="20"/>
    </w:rPr>
  </w:style>
  <w:style w:type="paragraph" w:styleId="13">
    <w:name w:val="List Bullet"/>
    <w:basedOn w:val="1"/>
    <w:qFormat/>
    <w:uiPriority w:val="0"/>
    <w:pPr>
      <w:tabs>
        <w:tab w:val="left" w:pos="360"/>
      </w:tabs>
      <w:ind w:left="360" w:hanging="200" w:hangingChars="200"/>
    </w:pPr>
  </w:style>
  <w:style w:type="paragraph" w:styleId="14">
    <w:name w:val="Document Map"/>
    <w:basedOn w:val="1"/>
    <w:link w:val="58"/>
    <w:unhideWhenUsed/>
    <w:qFormat/>
    <w:uiPriority w:val="0"/>
    <w:rPr>
      <w:rFonts w:ascii="宋体" w:hAnsi="Calibri"/>
      <w:sz w:val="18"/>
      <w:szCs w:val="18"/>
    </w:rPr>
  </w:style>
  <w:style w:type="paragraph" w:styleId="15">
    <w:name w:val="annotation text"/>
    <w:basedOn w:val="1"/>
    <w:semiHidden/>
    <w:qFormat/>
    <w:uiPriority w:val="0"/>
    <w:pPr>
      <w:jc w:val="left"/>
    </w:pPr>
  </w:style>
  <w:style w:type="paragraph" w:styleId="16">
    <w:name w:val="Body Text"/>
    <w:basedOn w:val="1"/>
    <w:link w:val="59"/>
    <w:qFormat/>
    <w:uiPriority w:val="0"/>
    <w:pPr>
      <w:spacing w:after="120"/>
    </w:pPr>
  </w:style>
  <w:style w:type="paragraph" w:styleId="17">
    <w:name w:val="Body Text Indent"/>
    <w:basedOn w:val="1"/>
    <w:link w:val="60"/>
    <w:qFormat/>
    <w:uiPriority w:val="0"/>
    <w:pPr>
      <w:ind w:firstLine="420"/>
    </w:pPr>
    <w:rPr>
      <w:sz w:val="20"/>
      <w:szCs w:val="20"/>
    </w:rPr>
  </w:style>
  <w:style w:type="paragraph" w:styleId="18">
    <w:name w:val="List 2"/>
    <w:basedOn w:val="1"/>
    <w:qFormat/>
    <w:uiPriority w:val="0"/>
    <w:pPr>
      <w:ind w:left="100" w:leftChars="200" w:hanging="200" w:hangingChars="200"/>
    </w:pPr>
  </w:style>
  <w:style w:type="paragraph" w:styleId="19">
    <w:name w:val="List Continue"/>
    <w:basedOn w:val="1"/>
    <w:qFormat/>
    <w:uiPriority w:val="0"/>
    <w:pPr>
      <w:spacing w:after="120"/>
      <w:ind w:left="420" w:leftChars="200"/>
    </w:pPr>
  </w:style>
  <w:style w:type="paragraph" w:styleId="20">
    <w:name w:val="Block Text"/>
    <w:basedOn w:val="1"/>
    <w:qFormat/>
    <w:uiPriority w:val="0"/>
    <w:pPr>
      <w:ind w:left="315" w:right="-506" w:rightChars="-241" w:firstLine="584" w:firstLineChars="278"/>
    </w:pPr>
  </w:style>
  <w:style w:type="paragraph" w:styleId="21">
    <w:name w:val="List Bullet 2"/>
    <w:basedOn w:val="1"/>
    <w:qFormat/>
    <w:uiPriority w:val="0"/>
    <w:pPr>
      <w:tabs>
        <w:tab w:val="left" w:pos="780"/>
      </w:tabs>
      <w:ind w:left="200" w:leftChars="200" w:hanging="200" w:hangingChars="200"/>
    </w:pPr>
  </w:style>
  <w:style w:type="paragraph" w:styleId="22">
    <w:name w:val="Date"/>
    <w:basedOn w:val="1"/>
    <w:next w:val="1"/>
    <w:link w:val="61"/>
    <w:qFormat/>
    <w:uiPriority w:val="0"/>
    <w:pPr>
      <w:ind w:left="100" w:leftChars="2500"/>
    </w:pPr>
    <w:rPr>
      <w:sz w:val="28"/>
    </w:rPr>
  </w:style>
  <w:style w:type="paragraph" w:styleId="23">
    <w:name w:val="Body Text Indent 2"/>
    <w:basedOn w:val="1"/>
    <w:link w:val="62"/>
    <w:qFormat/>
    <w:uiPriority w:val="0"/>
    <w:pPr>
      <w:spacing w:line="360" w:lineRule="auto"/>
      <w:ind w:firstLine="422" w:firstLineChars="200"/>
    </w:pPr>
    <w:rPr>
      <w:b/>
      <w:bCs/>
    </w:rPr>
  </w:style>
  <w:style w:type="paragraph" w:styleId="24">
    <w:name w:val="endnote text"/>
    <w:basedOn w:val="1"/>
    <w:link w:val="63"/>
    <w:unhideWhenUsed/>
    <w:qFormat/>
    <w:uiPriority w:val="0"/>
    <w:pPr>
      <w:snapToGrid w:val="0"/>
      <w:jc w:val="left"/>
    </w:pPr>
    <w:rPr>
      <w:rFonts w:ascii="Calibri" w:hAnsi="Calibri"/>
      <w:szCs w:val="22"/>
    </w:rPr>
  </w:style>
  <w:style w:type="paragraph" w:styleId="25">
    <w:name w:val="Balloon Text"/>
    <w:basedOn w:val="1"/>
    <w:link w:val="64"/>
    <w:unhideWhenUsed/>
    <w:qFormat/>
    <w:uiPriority w:val="0"/>
    <w:rPr>
      <w:rFonts w:ascii="Calibri" w:hAnsi="Calibri"/>
      <w:sz w:val="18"/>
      <w:szCs w:val="18"/>
    </w:rPr>
  </w:style>
  <w:style w:type="paragraph" w:styleId="26">
    <w:name w:val="footer"/>
    <w:basedOn w:val="1"/>
    <w:link w:val="65"/>
    <w:qFormat/>
    <w:uiPriority w:val="0"/>
    <w:pPr>
      <w:tabs>
        <w:tab w:val="center" w:pos="4153"/>
        <w:tab w:val="right" w:pos="8306"/>
      </w:tabs>
      <w:snapToGrid w:val="0"/>
      <w:jc w:val="left"/>
    </w:pPr>
    <w:rPr>
      <w:sz w:val="18"/>
      <w:szCs w:val="18"/>
    </w:rPr>
  </w:style>
  <w:style w:type="paragraph" w:styleId="27">
    <w:name w:val="header"/>
    <w:basedOn w:val="1"/>
    <w:link w:val="66"/>
    <w:qFormat/>
    <w:uiPriority w:val="0"/>
    <w:pPr>
      <w:pBdr>
        <w:bottom w:val="single" w:color="auto" w:sz="6" w:space="1"/>
      </w:pBdr>
      <w:tabs>
        <w:tab w:val="center" w:pos="4153"/>
        <w:tab w:val="right" w:pos="8306"/>
      </w:tabs>
      <w:snapToGrid w:val="0"/>
      <w:jc w:val="center"/>
    </w:pPr>
    <w:rPr>
      <w:sz w:val="18"/>
      <w:szCs w:val="18"/>
    </w:rPr>
  </w:style>
  <w:style w:type="paragraph" w:styleId="28">
    <w:name w:val="Subtitle"/>
    <w:basedOn w:val="1"/>
    <w:link w:val="67"/>
    <w:qFormat/>
    <w:uiPriority w:val="0"/>
    <w:pPr>
      <w:spacing w:before="240" w:after="60" w:line="312" w:lineRule="auto"/>
      <w:jc w:val="center"/>
      <w:outlineLvl w:val="1"/>
    </w:pPr>
    <w:rPr>
      <w:rFonts w:ascii="Arial" w:hAnsi="Arial" w:cs="Arial"/>
      <w:b/>
      <w:bCs/>
      <w:kern w:val="28"/>
      <w:sz w:val="32"/>
      <w:szCs w:val="32"/>
    </w:rPr>
  </w:style>
  <w:style w:type="paragraph" w:styleId="29">
    <w:name w:val="List"/>
    <w:basedOn w:val="1"/>
    <w:qFormat/>
    <w:uiPriority w:val="0"/>
    <w:pPr>
      <w:ind w:left="200" w:hanging="200" w:hangingChars="200"/>
    </w:pPr>
  </w:style>
  <w:style w:type="paragraph" w:styleId="30">
    <w:name w:val="footnote text"/>
    <w:basedOn w:val="1"/>
    <w:link w:val="68"/>
    <w:unhideWhenUsed/>
    <w:qFormat/>
    <w:uiPriority w:val="0"/>
    <w:pPr>
      <w:snapToGrid w:val="0"/>
      <w:jc w:val="left"/>
    </w:pPr>
    <w:rPr>
      <w:rFonts w:ascii="Calibri" w:hAnsi="Calibri"/>
      <w:sz w:val="18"/>
      <w:szCs w:val="18"/>
    </w:rPr>
  </w:style>
  <w:style w:type="paragraph" w:styleId="31">
    <w:name w:val="List 5"/>
    <w:basedOn w:val="1"/>
    <w:qFormat/>
    <w:uiPriority w:val="0"/>
    <w:pPr>
      <w:ind w:left="100" w:leftChars="800" w:hanging="200" w:hangingChars="200"/>
    </w:pPr>
  </w:style>
  <w:style w:type="paragraph" w:styleId="32">
    <w:name w:val="Body Text Indent 3"/>
    <w:basedOn w:val="1"/>
    <w:qFormat/>
    <w:uiPriority w:val="0"/>
    <w:pPr>
      <w:spacing w:after="120"/>
      <w:ind w:left="420" w:leftChars="200"/>
    </w:pPr>
    <w:rPr>
      <w:sz w:val="16"/>
      <w:szCs w:val="16"/>
    </w:rPr>
  </w:style>
  <w:style w:type="paragraph" w:styleId="33">
    <w:name w:val="Body Text 2"/>
    <w:basedOn w:val="1"/>
    <w:link w:val="69"/>
    <w:qFormat/>
    <w:uiPriority w:val="0"/>
    <w:pPr>
      <w:spacing w:line="360" w:lineRule="auto"/>
    </w:pPr>
    <w:rPr>
      <w:b/>
      <w:sz w:val="24"/>
      <w:szCs w:val="20"/>
    </w:rPr>
  </w:style>
  <w:style w:type="paragraph" w:styleId="34">
    <w:name w:val="List 4"/>
    <w:basedOn w:val="1"/>
    <w:qFormat/>
    <w:uiPriority w:val="0"/>
    <w:pPr>
      <w:ind w:left="100" w:leftChars="600" w:hanging="200" w:hangingChars="200"/>
    </w:pPr>
  </w:style>
  <w:style w:type="paragraph" w:styleId="35">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6">
    <w:name w:val="Title"/>
    <w:basedOn w:val="1"/>
    <w:link w:val="70"/>
    <w:qFormat/>
    <w:uiPriority w:val="0"/>
    <w:pPr>
      <w:jc w:val="center"/>
    </w:pPr>
    <w:rPr>
      <w:sz w:val="28"/>
    </w:rPr>
  </w:style>
  <w:style w:type="paragraph" w:styleId="37">
    <w:name w:val="annotation subject"/>
    <w:basedOn w:val="15"/>
    <w:next w:val="15"/>
    <w:semiHidden/>
    <w:qFormat/>
    <w:uiPriority w:val="0"/>
    <w:rPr>
      <w:b/>
      <w:bCs/>
    </w:rPr>
  </w:style>
  <w:style w:type="paragraph" w:styleId="38">
    <w:name w:val="Body Text First Indent"/>
    <w:basedOn w:val="16"/>
    <w:qFormat/>
    <w:uiPriority w:val="0"/>
    <w:pPr>
      <w:ind w:firstLine="420" w:firstLineChars="100"/>
    </w:pPr>
  </w:style>
  <w:style w:type="paragraph" w:styleId="39">
    <w:name w:val="Body Text First Indent 2"/>
    <w:basedOn w:val="17"/>
    <w:qFormat/>
    <w:uiPriority w:val="0"/>
    <w:pPr>
      <w:spacing w:after="120"/>
      <w:ind w:left="420" w:leftChars="200" w:firstLineChars="200"/>
    </w:pPr>
    <w:rPr>
      <w:sz w:val="21"/>
      <w:szCs w:val="24"/>
    </w:rPr>
  </w:style>
  <w:style w:type="table" w:styleId="41">
    <w:name w:val="Table Grid"/>
    <w:basedOn w:val="4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3">
    <w:name w:val="Strong"/>
    <w:qFormat/>
    <w:uiPriority w:val="0"/>
    <w:rPr>
      <w:rFonts w:cs="Times New Roman"/>
      <w:b/>
      <w:bCs/>
    </w:rPr>
  </w:style>
  <w:style w:type="character" w:styleId="44">
    <w:name w:val="endnote reference"/>
    <w:semiHidden/>
    <w:qFormat/>
    <w:uiPriority w:val="0"/>
    <w:rPr>
      <w:vertAlign w:val="superscript"/>
    </w:rPr>
  </w:style>
  <w:style w:type="character" w:styleId="45">
    <w:name w:val="page number"/>
    <w:qFormat/>
    <w:uiPriority w:val="0"/>
  </w:style>
  <w:style w:type="character" w:styleId="46">
    <w:name w:val="Emphasis"/>
    <w:qFormat/>
    <w:uiPriority w:val="0"/>
    <w:rPr>
      <w:rFonts w:cs="Times New Roman"/>
      <w:i/>
      <w:iCs/>
    </w:rPr>
  </w:style>
  <w:style w:type="character" w:styleId="47">
    <w:name w:val="Hyperlink"/>
    <w:qFormat/>
    <w:uiPriority w:val="0"/>
    <w:rPr>
      <w:color w:val="0000FF"/>
      <w:u w:val="single"/>
    </w:rPr>
  </w:style>
  <w:style w:type="character" w:styleId="48">
    <w:name w:val="footnote reference"/>
    <w:unhideWhenUsed/>
    <w:qFormat/>
    <w:uiPriority w:val="0"/>
    <w:rPr>
      <w:vertAlign w:val="superscript"/>
    </w:rPr>
  </w:style>
  <w:style w:type="character" w:customStyle="1" w:styleId="49">
    <w:name w:val="标题 1 字符"/>
    <w:link w:val="2"/>
    <w:qFormat/>
    <w:uiPriority w:val="0"/>
    <w:rPr>
      <w:b/>
      <w:kern w:val="44"/>
      <w:sz w:val="28"/>
    </w:rPr>
  </w:style>
  <w:style w:type="character" w:customStyle="1" w:styleId="50">
    <w:name w:val="标题 2 字符"/>
    <w:link w:val="3"/>
    <w:qFormat/>
    <w:uiPriority w:val="0"/>
    <w:rPr>
      <w:rFonts w:eastAsia="黑体"/>
      <w:b/>
      <w:kern w:val="2"/>
      <w:sz w:val="21"/>
    </w:rPr>
  </w:style>
  <w:style w:type="character" w:customStyle="1" w:styleId="51">
    <w:name w:val="标题 3 字符"/>
    <w:link w:val="4"/>
    <w:qFormat/>
    <w:uiPriority w:val="0"/>
    <w:rPr>
      <w:rFonts w:eastAsia="宋体"/>
      <w:b/>
      <w:bCs/>
      <w:kern w:val="2"/>
      <w:sz w:val="32"/>
      <w:szCs w:val="32"/>
      <w:lang w:val="en-US" w:eastAsia="zh-CN" w:bidi="ar-SA"/>
    </w:rPr>
  </w:style>
  <w:style w:type="character" w:customStyle="1" w:styleId="52">
    <w:name w:val="标题 4 字符"/>
    <w:link w:val="5"/>
    <w:qFormat/>
    <w:uiPriority w:val="0"/>
    <w:rPr>
      <w:rFonts w:eastAsia="宋体"/>
      <w:b/>
      <w:bCs/>
      <w:kern w:val="2"/>
      <w:szCs w:val="24"/>
      <w:lang w:val="en-US" w:eastAsia="zh-CN" w:bidi="ar-SA"/>
    </w:rPr>
  </w:style>
  <w:style w:type="character" w:customStyle="1" w:styleId="53">
    <w:name w:val="标题 5 字符"/>
    <w:link w:val="6"/>
    <w:qFormat/>
    <w:uiPriority w:val="0"/>
    <w:rPr>
      <w:rFonts w:eastAsia="宋体"/>
      <w:b/>
      <w:bCs/>
      <w:kern w:val="2"/>
      <w:sz w:val="24"/>
      <w:szCs w:val="24"/>
      <w:lang w:val="en-US" w:eastAsia="zh-CN" w:bidi="ar-SA"/>
    </w:rPr>
  </w:style>
  <w:style w:type="character" w:customStyle="1" w:styleId="54">
    <w:name w:val="标题 6 字符"/>
    <w:link w:val="7"/>
    <w:qFormat/>
    <w:uiPriority w:val="0"/>
    <w:rPr>
      <w:rFonts w:ascii="Arial" w:hAnsi="Arial" w:eastAsia="黑体"/>
      <w:b/>
      <w:bCs/>
      <w:kern w:val="2"/>
      <w:sz w:val="24"/>
      <w:szCs w:val="24"/>
      <w:lang w:val="en-US" w:eastAsia="zh-CN" w:bidi="ar-SA"/>
    </w:rPr>
  </w:style>
  <w:style w:type="character" w:customStyle="1" w:styleId="55">
    <w:name w:val="标题 7 字符"/>
    <w:link w:val="8"/>
    <w:qFormat/>
    <w:uiPriority w:val="0"/>
    <w:rPr>
      <w:rFonts w:eastAsia="宋体"/>
      <w:b/>
      <w:bCs/>
      <w:kern w:val="2"/>
      <w:sz w:val="24"/>
      <w:szCs w:val="24"/>
      <w:lang w:val="en-US" w:eastAsia="zh-CN" w:bidi="ar-SA"/>
    </w:rPr>
  </w:style>
  <w:style w:type="character" w:customStyle="1" w:styleId="56">
    <w:name w:val="标题 8 字符"/>
    <w:link w:val="9"/>
    <w:qFormat/>
    <w:uiPriority w:val="0"/>
    <w:rPr>
      <w:rFonts w:ascii="Arial" w:hAnsi="Arial" w:eastAsia="黑体"/>
      <w:kern w:val="2"/>
      <w:sz w:val="24"/>
      <w:szCs w:val="24"/>
      <w:lang w:val="en-US" w:eastAsia="zh-CN" w:bidi="ar-SA"/>
    </w:rPr>
  </w:style>
  <w:style w:type="character" w:customStyle="1" w:styleId="57">
    <w:name w:val="标题 9 字符"/>
    <w:link w:val="10"/>
    <w:qFormat/>
    <w:uiPriority w:val="0"/>
    <w:rPr>
      <w:rFonts w:ascii="Arial" w:hAnsi="Arial" w:eastAsia="黑体"/>
      <w:kern w:val="2"/>
      <w:sz w:val="21"/>
      <w:szCs w:val="21"/>
      <w:lang w:val="en-US" w:eastAsia="zh-CN" w:bidi="ar-SA"/>
    </w:rPr>
  </w:style>
  <w:style w:type="character" w:customStyle="1" w:styleId="58">
    <w:name w:val="文档结构图 字符"/>
    <w:link w:val="14"/>
    <w:semiHidden/>
    <w:qFormat/>
    <w:uiPriority w:val="0"/>
    <w:rPr>
      <w:rFonts w:ascii="宋体" w:hAnsi="Calibri" w:eastAsia="宋体"/>
      <w:kern w:val="2"/>
      <w:sz w:val="18"/>
      <w:szCs w:val="18"/>
      <w:lang w:val="en-US" w:eastAsia="zh-CN" w:bidi="ar-SA"/>
    </w:rPr>
  </w:style>
  <w:style w:type="character" w:customStyle="1" w:styleId="59">
    <w:name w:val="正文文本 字符"/>
    <w:link w:val="16"/>
    <w:qFormat/>
    <w:uiPriority w:val="0"/>
    <w:rPr>
      <w:rFonts w:eastAsia="宋体"/>
      <w:kern w:val="2"/>
      <w:sz w:val="21"/>
      <w:szCs w:val="24"/>
      <w:lang w:val="en-US" w:eastAsia="zh-CN" w:bidi="ar-SA"/>
    </w:rPr>
  </w:style>
  <w:style w:type="character" w:customStyle="1" w:styleId="60">
    <w:name w:val="正文文本缩进 字符"/>
    <w:link w:val="17"/>
    <w:qFormat/>
    <w:uiPriority w:val="0"/>
    <w:rPr>
      <w:rFonts w:eastAsia="宋体"/>
      <w:kern w:val="2"/>
      <w:lang w:val="en-US" w:eastAsia="zh-CN" w:bidi="ar-SA"/>
    </w:rPr>
  </w:style>
  <w:style w:type="character" w:customStyle="1" w:styleId="61">
    <w:name w:val="日期 字符"/>
    <w:link w:val="22"/>
    <w:qFormat/>
    <w:uiPriority w:val="0"/>
    <w:rPr>
      <w:rFonts w:eastAsia="宋体"/>
      <w:kern w:val="2"/>
      <w:sz w:val="28"/>
      <w:szCs w:val="24"/>
      <w:lang w:val="en-US" w:eastAsia="zh-CN" w:bidi="ar-SA"/>
    </w:rPr>
  </w:style>
  <w:style w:type="character" w:customStyle="1" w:styleId="62">
    <w:name w:val="正文文本缩进 2 字符"/>
    <w:link w:val="23"/>
    <w:qFormat/>
    <w:uiPriority w:val="0"/>
    <w:rPr>
      <w:rFonts w:eastAsia="宋体"/>
      <w:b/>
      <w:bCs/>
      <w:kern w:val="2"/>
      <w:sz w:val="21"/>
      <w:szCs w:val="24"/>
      <w:lang w:val="en-US" w:eastAsia="zh-CN" w:bidi="ar-SA"/>
    </w:rPr>
  </w:style>
  <w:style w:type="character" w:customStyle="1" w:styleId="63">
    <w:name w:val="尾注文本 字符"/>
    <w:link w:val="24"/>
    <w:semiHidden/>
    <w:qFormat/>
    <w:uiPriority w:val="0"/>
    <w:rPr>
      <w:rFonts w:ascii="Calibri" w:hAnsi="Calibri" w:eastAsia="宋体"/>
      <w:kern w:val="2"/>
      <w:sz w:val="21"/>
      <w:szCs w:val="22"/>
      <w:lang w:val="en-US" w:eastAsia="zh-CN" w:bidi="ar-SA"/>
    </w:rPr>
  </w:style>
  <w:style w:type="character" w:customStyle="1" w:styleId="64">
    <w:name w:val="批注框文本 字符"/>
    <w:link w:val="25"/>
    <w:semiHidden/>
    <w:qFormat/>
    <w:uiPriority w:val="0"/>
    <w:rPr>
      <w:rFonts w:ascii="Calibri" w:hAnsi="Calibri" w:eastAsia="宋体"/>
      <w:kern w:val="2"/>
      <w:sz w:val="18"/>
      <w:szCs w:val="18"/>
      <w:lang w:val="en-US" w:eastAsia="zh-CN" w:bidi="ar-SA"/>
    </w:rPr>
  </w:style>
  <w:style w:type="character" w:customStyle="1" w:styleId="65">
    <w:name w:val="页脚 字符"/>
    <w:link w:val="26"/>
    <w:semiHidden/>
    <w:qFormat/>
    <w:uiPriority w:val="0"/>
    <w:rPr>
      <w:rFonts w:eastAsia="宋体"/>
      <w:kern w:val="2"/>
      <w:sz w:val="18"/>
      <w:szCs w:val="18"/>
      <w:lang w:val="en-US" w:eastAsia="zh-CN" w:bidi="ar-SA"/>
    </w:rPr>
  </w:style>
  <w:style w:type="character" w:customStyle="1" w:styleId="66">
    <w:name w:val="页眉 字符"/>
    <w:link w:val="27"/>
    <w:qFormat/>
    <w:uiPriority w:val="0"/>
    <w:rPr>
      <w:rFonts w:eastAsia="宋体"/>
      <w:kern w:val="2"/>
      <w:sz w:val="18"/>
      <w:szCs w:val="18"/>
      <w:lang w:val="en-US" w:eastAsia="zh-CN" w:bidi="ar-SA"/>
    </w:rPr>
  </w:style>
  <w:style w:type="character" w:customStyle="1" w:styleId="67">
    <w:name w:val="副标题 字符"/>
    <w:link w:val="28"/>
    <w:qFormat/>
    <w:uiPriority w:val="0"/>
    <w:rPr>
      <w:rFonts w:ascii="Arial" w:hAnsi="Arial" w:eastAsia="宋体" w:cs="Arial"/>
      <w:b/>
      <w:bCs/>
      <w:kern w:val="28"/>
      <w:sz w:val="32"/>
      <w:szCs w:val="32"/>
      <w:lang w:val="en-US" w:eastAsia="zh-CN" w:bidi="ar-SA"/>
    </w:rPr>
  </w:style>
  <w:style w:type="character" w:customStyle="1" w:styleId="68">
    <w:name w:val="脚注文本 字符"/>
    <w:link w:val="30"/>
    <w:qFormat/>
    <w:uiPriority w:val="0"/>
    <w:rPr>
      <w:rFonts w:ascii="Calibri" w:hAnsi="Calibri" w:eastAsia="宋体"/>
      <w:kern w:val="2"/>
      <w:sz w:val="18"/>
      <w:szCs w:val="18"/>
      <w:lang w:val="en-US" w:eastAsia="zh-CN" w:bidi="ar-SA"/>
    </w:rPr>
  </w:style>
  <w:style w:type="character" w:customStyle="1" w:styleId="69">
    <w:name w:val="正文文本 2 字符"/>
    <w:link w:val="33"/>
    <w:qFormat/>
    <w:uiPriority w:val="0"/>
    <w:rPr>
      <w:rFonts w:eastAsia="宋体"/>
      <w:b/>
      <w:kern w:val="2"/>
      <w:sz w:val="24"/>
      <w:lang w:val="en-US" w:eastAsia="zh-CN" w:bidi="ar-SA"/>
    </w:rPr>
  </w:style>
  <w:style w:type="character" w:customStyle="1" w:styleId="70">
    <w:name w:val="标题 字符"/>
    <w:link w:val="36"/>
    <w:qFormat/>
    <w:uiPriority w:val="0"/>
    <w:rPr>
      <w:rFonts w:eastAsia="宋体"/>
      <w:kern w:val="2"/>
      <w:sz w:val="28"/>
      <w:szCs w:val="24"/>
      <w:lang w:val="en-US" w:eastAsia="zh-CN" w:bidi="ar-SA"/>
    </w:rPr>
  </w:style>
  <w:style w:type="character" w:customStyle="1" w:styleId="71">
    <w:name w:val="webdict1"/>
    <w:qFormat/>
    <w:uiPriority w:val="0"/>
    <w:rPr>
      <w:b/>
      <w:bCs/>
    </w:rPr>
  </w:style>
  <w:style w:type="character" w:customStyle="1" w:styleId="72">
    <w:name w:val="datatitle1"/>
    <w:qFormat/>
    <w:uiPriority w:val="0"/>
    <w:rPr>
      <w:b/>
      <w:color w:val="10619F"/>
      <w:sz w:val="16"/>
    </w:rPr>
  </w:style>
  <w:style w:type="character" w:customStyle="1" w:styleId="73">
    <w:name w:val="样式 样式 (西文) ˎ̥ + 首行缩进:  2 字符 Char"/>
    <w:link w:val="74"/>
    <w:qFormat/>
    <w:uiPriority w:val="0"/>
    <w:rPr>
      <w:rFonts w:ascii="ˎ̥" w:hAnsi="ˎ̥" w:eastAsia="宋体" w:cs="宋体"/>
      <w:kern w:val="2"/>
      <w:sz w:val="24"/>
      <w:lang w:val="en-US" w:eastAsia="zh-CN" w:bidi="ar-SA"/>
    </w:rPr>
  </w:style>
  <w:style w:type="paragraph" w:customStyle="1" w:styleId="74">
    <w:name w:val="样式 样式 (西文) ˎ̥ + 首行缩进:  2 字符"/>
    <w:basedOn w:val="1"/>
    <w:link w:val="73"/>
    <w:qFormat/>
    <w:uiPriority w:val="0"/>
    <w:pPr>
      <w:spacing w:line="360" w:lineRule="auto"/>
      <w:ind w:firstLine="420" w:firstLineChars="200"/>
    </w:pPr>
    <w:rPr>
      <w:rFonts w:ascii="ˎ̥" w:hAnsi="ˎ̥" w:cs="宋体"/>
      <w:sz w:val="24"/>
      <w:szCs w:val="20"/>
    </w:rPr>
  </w:style>
  <w:style w:type="character" w:customStyle="1" w:styleId="75">
    <w:name w:val="figlegend Char"/>
    <w:link w:val="76"/>
    <w:qFormat/>
    <w:uiPriority w:val="0"/>
    <w:rPr>
      <w:rFonts w:eastAsia="宋体"/>
      <w:sz w:val="21"/>
      <w:lang w:val="en-US" w:eastAsia="zh-CN" w:bidi="ar-SA"/>
    </w:rPr>
  </w:style>
  <w:style w:type="paragraph" w:customStyle="1" w:styleId="76">
    <w:name w:val="figlegend"/>
    <w:basedOn w:val="1"/>
    <w:next w:val="1"/>
    <w:link w:val="75"/>
    <w:qFormat/>
    <w:uiPriority w:val="0"/>
    <w:pPr>
      <w:overflowPunct w:val="0"/>
      <w:autoSpaceDE w:val="0"/>
      <w:autoSpaceDN w:val="0"/>
      <w:adjustRightInd w:val="0"/>
      <w:ind w:firstLine="420" w:firstLineChars="200"/>
      <w:textAlignment w:val="baseline"/>
    </w:pPr>
    <w:rPr>
      <w:kern w:val="0"/>
      <w:szCs w:val="20"/>
    </w:rPr>
  </w:style>
  <w:style w:type="character" w:customStyle="1" w:styleId="77">
    <w:name w:val="lijujieshi"/>
    <w:qFormat/>
    <w:uiPriority w:val="0"/>
  </w:style>
  <w:style w:type="character" w:customStyle="1" w:styleId="78">
    <w:name w:val="trans"/>
    <w:qFormat/>
    <w:uiPriority w:val="0"/>
  </w:style>
  <w:style w:type="character" w:customStyle="1" w:styleId="79">
    <w:name w:val="long_text1"/>
    <w:qFormat/>
    <w:uiPriority w:val="0"/>
    <w:rPr>
      <w:sz w:val="18"/>
      <w:szCs w:val="18"/>
    </w:rPr>
  </w:style>
  <w:style w:type="character" w:customStyle="1" w:styleId="80">
    <w:name w:val="页脚 Char"/>
    <w:qFormat/>
    <w:uiPriority w:val="0"/>
    <w:rPr>
      <w:sz w:val="18"/>
      <w:szCs w:val="18"/>
    </w:rPr>
  </w:style>
  <w:style w:type="character" w:customStyle="1" w:styleId="81">
    <w:name w:val="标题 1 Char"/>
    <w:qFormat/>
    <w:uiPriority w:val="0"/>
    <w:rPr>
      <w:rFonts w:ascii="Times New Roman" w:hAnsi="Times New Roman" w:eastAsia="宋体" w:cs="Times New Roman"/>
      <w:b/>
      <w:kern w:val="44"/>
      <w:sz w:val="28"/>
      <w:szCs w:val="20"/>
    </w:rPr>
  </w:style>
  <w:style w:type="character" w:customStyle="1" w:styleId="82">
    <w:name w:val="short_text1"/>
    <w:qFormat/>
    <w:uiPriority w:val="0"/>
    <w:rPr>
      <w:rFonts w:cs="Times New Roman"/>
      <w:sz w:val="29"/>
      <w:szCs w:val="29"/>
    </w:rPr>
  </w:style>
  <w:style w:type="character" w:customStyle="1" w:styleId="83">
    <w:name w:val="contact"/>
    <w:qFormat/>
    <w:uiPriority w:val="0"/>
    <w:rPr>
      <w:rFonts w:cs="Times New Roman"/>
    </w:rPr>
  </w:style>
  <w:style w:type="character" w:customStyle="1" w:styleId="84">
    <w:name w:val="javascript"/>
    <w:qFormat/>
    <w:uiPriority w:val="0"/>
    <w:rPr>
      <w:rFonts w:cs="Times New Roman"/>
    </w:rPr>
  </w:style>
  <w:style w:type="character" w:customStyle="1" w:styleId="85">
    <w:name w:val="author1"/>
    <w:qFormat/>
    <w:uiPriority w:val="0"/>
    <w:rPr>
      <w:rFonts w:ascii="Georgia" w:hAnsi="Georgia" w:cs="Times New Roman"/>
      <w:b/>
      <w:bCs/>
      <w:sz w:val="21"/>
      <w:szCs w:val="21"/>
    </w:rPr>
  </w:style>
  <w:style w:type="character" w:customStyle="1" w:styleId="86">
    <w:name w:val="Style Justified Line spacing:  1.5 lines Char"/>
    <w:qFormat/>
    <w:uiPriority w:val="0"/>
    <w:rPr>
      <w:rFonts w:eastAsia="宋体" w:cs="Times New Roman"/>
      <w:b/>
      <w:sz w:val="28"/>
      <w:szCs w:val="28"/>
      <w:lang w:val="en-GB" w:eastAsia="en-GB" w:bidi="ar-SA"/>
    </w:rPr>
  </w:style>
  <w:style w:type="character" w:customStyle="1" w:styleId="87">
    <w:name w:val="ti2"/>
    <w:qFormat/>
    <w:uiPriority w:val="0"/>
    <w:rPr>
      <w:rFonts w:cs="Times New Roman"/>
      <w:sz w:val="22"/>
      <w:szCs w:val="22"/>
    </w:rPr>
  </w:style>
  <w:style w:type="character" w:customStyle="1" w:styleId="88">
    <w:name w:val="long_text"/>
    <w:qFormat/>
    <w:uiPriority w:val="0"/>
  </w:style>
  <w:style w:type="character" w:customStyle="1" w:styleId="89">
    <w:name w:val="neirong"/>
    <w:qFormat/>
    <w:uiPriority w:val="0"/>
  </w:style>
  <w:style w:type="paragraph" w:customStyle="1" w:styleId="90">
    <w:name w:val="样式 首行缩进:  2 字符"/>
    <w:basedOn w:val="1"/>
    <w:qFormat/>
    <w:uiPriority w:val="0"/>
    <w:pPr>
      <w:spacing w:line="390" w:lineRule="exact"/>
      <w:ind w:firstLine="200" w:firstLineChars="200"/>
    </w:pPr>
    <w:rPr>
      <w:rFonts w:cs="宋体"/>
      <w:szCs w:val="20"/>
    </w:rPr>
  </w:style>
  <w:style w:type="paragraph" w:styleId="91">
    <w:name w:val="List Paragraph"/>
    <w:basedOn w:val="1"/>
    <w:qFormat/>
    <w:uiPriority w:val="0"/>
    <w:pPr>
      <w:ind w:firstLine="420" w:firstLineChars="200"/>
    </w:pPr>
    <w:rPr>
      <w:rFonts w:ascii="Calibri" w:hAnsi="Calibri"/>
      <w:szCs w:val="22"/>
    </w:rPr>
  </w:style>
  <w:style w:type="paragraph" w:customStyle="1" w:styleId="92">
    <w:name w:val="key words"/>
    <w:basedOn w:val="1"/>
    <w:next w:val="1"/>
    <w:qFormat/>
    <w:uiPriority w:val="0"/>
    <w:pPr>
      <w:numPr>
        <w:ilvl w:val="0"/>
        <w:numId w:val="2"/>
      </w:numPr>
      <w:spacing w:before="156" w:beforeLines="50" w:after="312" w:afterLines="100"/>
    </w:pPr>
    <w:rPr>
      <w:sz w:val="18"/>
    </w:rPr>
  </w:style>
  <w:style w:type="paragraph" w:customStyle="1" w:styleId="93">
    <w:name w:val="CAffiliation"/>
    <w:basedOn w:val="1"/>
    <w:next w:val="1"/>
    <w:qFormat/>
    <w:uiPriority w:val="0"/>
    <w:pPr>
      <w:spacing w:before="156" w:beforeLines="50" w:after="156" w:afterLines="50"/>
      <w:jc w:val="center"/>
    </w:pPr>
    <w:rPr>
      <w:rFonts w:ascii="宋体" w:hAnsi="宋体"/>
      <w:sz w:val="15"/>
    </w:rPr>
  </w:style>
  <w:style w:type="paragraph" w:customStyle="1" w:styleId="94">
    <w:name w:val="Author"/>
    <w:basedOn w:val="1"/>
    <w:next w:val="1"/>
    <w:qFormat/>
    <w:uiPriority w:val="0"/>
    <w:pPr>
      <w:jc w:val="center"/>
    </w:pPr>
    <w:rPr>
      <w:sz w:val="28"/>
    </w:rPr>
  </w:style>
  <w:style w:type="paragraph" w:customStyle="1" w:styleId="95">
    <w:name w:val="Abstract"/>
    <w:basedOn w:val="1"/>
    <w:next w:val="92"/>
    <w:qFormat/>
    <w:uiPriority w:val="0"/>
    <w:pPr>
      <w:numPr>
        <w:ilvl w:val="0"/>
        <w:numId w:val="3"/>
      </w:numPr>
      <w:spacing w:before="156" w:beforeLines="50" w:after="156" w:afterLines="50"/>
      <w:ind w:left="0" w:firstLine="0"/>
    </w:pPr>
    <w:rPr>
      <w:rFonts w:cs="Arial"/>
      <w:sz w:val="18"/>
    </w:rPr>
  </w:style>
  <w:style w:type="paragraph" w:customStyle="1" w:styleId="96">
    <w:name w:val="图片"/>
    <w:basedOn w:val="1"/>
    <w:qFormat/>
    <w:uiPriority w:val="0"/>
  </w:style>
  <w:style w:type="paragraph" w:customStyle="1" w:styleId="97">
    <w:name w:val="Reference"/>
    <w:basedOn w:val="1"/>
    <w:qFormat/>
    <w:uiPriority w:val="0"/>
    <w:pPr>
      <w:numPr>
        <w:ilvl w:val="0"/>
        <w:numId w:val="4"/>
      </w:numPr>
    </w:pPr>
    <w:rPr>
      <w:sz w:val="15"/>
    </w:rPr>
  </w:style>
  <w:style w:type="paragraph" w:customStyle="1" w:styleId="98">
    <w:name w:val="References"/>
    <w:basedOn w:val="1"/>
    <w:qFormat/>
    <w:uiPriority w:val="0"/>
    <w:pPr>
      <w:widowControl/>
      <w:numPr>
        <w:ilvl w:val="0"/>
        <w:numId w:val="5"/>
      </w:numPr>
    </w:pPr>
    <w:rPr>
      <w:rFonts w:eastAsia="Batang"/>
      <w:kern w:val="0"/>
      <w:sz w:val="16"/>
      <w:szCs w:val="16"/>
      <w:lang w:eastAsia="en-US"/>
    </w:rPr>
  </w:style>
  <w:style w:type="paragraph" w:customStyle="1" w:styleId="99">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0">
    <w:name w:val="Default"/>
    <w:qFormat/>
    <w:uiPriority w:val="0"/>
    <w:pPr>
      <w:widowControl w:val="0"/>
      <w:autoSpaceDE w:val="0"/>
      <w:autoSpaceDN w:val="0"/>
      <w:adjustRightInd w:val="0"/>
    </w:pPr>
    <w:rPr>
      <w:rFonts w:ascii="Arial" w:hAnsi="Arial" w:eastAsia="宋体" w:cs="Arial"/>
      <w:color w:val="000000"/>
      <w:sz w:val="24"/>
      <w:szCs w:val="24"/>
      <w:lang w:val="en-US" w:eastAsia="zh-CN" w:bidi="ar-SA"/>
    </w:rPr>
  </w:style>
  <w:style w:type="paragraph" w:customStyle="1" w:styleId="101">
    <w:name w:val="title"/>
    <w:basedOn w:val="1"/>
    <w:next w:val="1"/>
    <w:qFormat/>
    <w:uiPriority w:val="0"/>
    <w:pPr>
      <w:overflowPunct w:val="0"/>
      <w:autoSpaceDE w:val="0"/>
      <w:autoSpaceDN w:val="0"/>
      <w:adjustRightInd w:val="0"/>
      <w:spacing w:before="200" w:after="100"/>
      <w:jc w:val="left"/>
      <w:textAlignment w:val="baseline"/>
      <w:outlineLvl w:val="0"/>
    </w:pPr>
    <w:rPr>
      <w:b/>
      <w:kern w:val="0"/>
      <w:sz w:val="28"/>
      <w:szCs w:val="20"/>
    </w:rPr>
  </w:style>
  <w:style w:type="paragraph" w:customStyle="1" w:styleId="102">
    <w:name w:val="作者行"/>
    <w:basedOn w:val="16"/>
    <w:qFormat/>
    <w:uiPriority w:val="0"/>
    <w:pPr>
      <w:spacing w:after="0" w:line="360" w:lineRule="auto"/>
    </w:pPr>
    <w:rPr>
      <w:b/>
      <w:bCs/>
    </w:rPr>
  </w:style>
  <w:style w:type="table" w:customStyle="1" w:styleId="103">
    <w:name w:val="样式1"/>
    <w:qFormat/>
    <w:uiPriority w:val="0"/>
    <w:rPr>
      <w:rFonts w:ascii="Calibri" w:hAnsi="Calibri"/>
      <w:lang w:val="en-US" w:eastAsia="zh-CN" w:bidi="ar-SA"/>
    </w:rPr>
    <w:tblPr>
      <w:tblCellMar>
        <w:top w:w="0" w:type="dxa"/>
        <w:left w:w="108" w:type="dxa"/>
        <w:bottom w:w="0" w:type="dxa"/>
        <w:right w:w="108" w:type="dxa"/>
      </w:tblCellMar>
    </w:tblPr>
  </w:style>
  <w:style w:type="paragraph" w:customStyle="1" w:styleId="104">
    <w:name w:val="正文内容"/>
    <w:basedOn w:val="1"/>
    <w:link w:val="105"/>
    <w:qFormat/>
    <w:uiPriority w:val="0"/>
    <w:pPr>
      <w:widowControl/>
      <w:spacing w:line="300" w:lineRule="auto"/>
      <w:ind w:firstLine="480" w:firstLineChars="200"/>
    </w:pPr>
    <w:rPr>
      <w:sz w:val="24"/>
    </w:rPr>
  </w:style>
  <w:style w:type="character" w:customStyle="1" w:styleId="105">
    <w:name w:val="正文内容 字符"/>
    <w:link w:val="104"/>
    <w:qFormat/>
    <w:uiPriority w:val="0"/>
    <w:rPr>
      <w:kern w:val="2"/>
      <w:sz w:val="24"/>
      <w:szCs w:val="24"/>
    </w:rPr>
  </w:style>
  <w:style w:type="paragraph" w:customStyle="1" w:styleId="106">
    <w:name w:val="MyH2"/>
    <w:basedOn w:val="1"/>
    <w:qFormat/>
    <w:uiPriority w:val="0"/>
    <w:pPr>
      <w:spacing w:before="240" w:after="120" w:line="360" w:lineRule="auto"/>
    </w:pPr>
    <w:rPr>
      <w:rFonts w:ascii="黑体" w:hAnsi="黑体" w:eastAsia="黑体"/>
      <w:b/>
      <w:color w:val="000000"/>
      <w:sz w:val="28"/>
    </w:rPr>
  </w:style>
  <w:style w:type="paragraph" w:customStyle="1" w:styleId="107">
    <w:name w:val="MyH3"/>
    <w:basedOn w:val="1"/>
    <w:qFormat/>
    <w:uiPriority w:val="0"/>
    <w:pPr>
      <w:spacing w:before="240" w:after="120" w:line="360" w:lineRule="auto"/>
    </w:pPr>
    <w:rPr>
      <w:rFonts w:ascii="黑体" w:hAnsi="黑体" w:eastAsia="黑体"/>
      <w:b/>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10</Pages>
  <Words>10733</Words>
  <Characters>16764</Characters>
  <Lines>390</Lines>
  <Paragraphs>284</Paragraphs>
  <TotalTime>6</TotalTime>
  <ScaleCrop>false</ScaleCrop>
  <LinksUpToDate>false</LinksUpToDate>
  <CharactersWithSpaces>17791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2026-03-02T13:39:00Z</dcterms:created>
  <dc:creator>USER</dc:creator>
  <cp:lastModifiedBy>玲珑</cp:lastModifiedBy>
  <cp:lastPrinted>2010-11-17T13:04:00Z</cp:lastPrinted>
  <dcterms:modified xsi:type="dcterms:W3CDTF">2026-04-06T13:30:42Z</dcterms:modified>
  <dc:title>A modified offset min-sum decoding algorithm</dc:title>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79B37779168549BF9DC65096FEFCAA4A_13</vt:lpwstr>
  </property>
  <property fmtid="{D5CDD505-2E9C-101B-9397-08002B2CF9AE}" pid="4" name="KSOTemplateDocerSaveRecord">
    <vt:lpwstr>eyJoZGlkIjoiNjJhNGI4NDY4ZWI0N2FlZTY3ZWZjYjRmNjM0M2M3YTAiLCJ1c2VySWQiOiI1MzgyNjE3NTIifQ==</vt:lpwstr>
  </property>
</Properties>
</file>