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C70C3">
      <w:pPr>
        <w:pStyle w:val="164"/>
      </w:pPr>
      <w:r>
        <w:t>4.2  基于集成学习的设备身份识别</w:t>
      </w:r>
    </w:p>
    <w:p w14:paraId="5F81E8E0">
      <w:pPr>
        <w:spacing w:line="360" w:lineRule="auto"/>
        <w:ind w:firstLine="420"/>
        <w:rPr>
          <w:rFonts w:ascii="宋体" w:hAnsi="宋体" w:eastAsia="宋体"/>
          <w:sz w:val="21"/>
        </w:rPr>
      </w:pPr>
      <w:r>
        <w:rPr>
          <w:rFonts w:ascii="宋体" w:hAnsi="宋体" w:eastAsia="宋体"/>
          <w:sz w:val="21"/>
        </w:rPr>
        <w:t>在完成连续双帧协同特征提取后，系统对融合指纹特征向量F进一步采用集成学习框架实施设备身份识别。该框架以四种异构基础分类器的协同输出为基础，通过静态权重与动态置信度联合加权的概率融合机制提高识别可靠性，并结合双阈值拒识策略实现开集条件下对未知设备的有效判别。</w:t>
      </w:r>
    </w:p>
    <w:p w14:paraId="7DF2548F">
      <w:pPr>
        <w:spacing w:line="360" w:lineRule="auto"/>
        <w:ind w:firstLine="420"/>
        <w:rPr>
          <w:rFonts w:hint="eastAsia" w:ascii="宋体" w:hAnsi="宋体" w:eastAsia="宋体"/>
          <w:sz w:val="21"/>
          <w:lang w:eastAsia="zh-CN"/>
        </w:rPr>
      </w:pPr>
      <w:r>
        <w:rPr>
          <w:rFonts w:hint="eastAsia" w:ascii="宋体" w:hAnsi="宋体" w:eastAsia="宋体"/>
          <w:sz w:val="21"/>
          <w:lang w:eastAsia="zh-CN"/>
        </w:rPr>
        <w:drawing>
          <wp:inline distT="0" distB="0" distL="114300" distR="114300">
            <wp:extent cx="5486400" cy="3657600"/>
            <wp:effectExtent l="0" t="0" r="0" b="0"/>
            <wp:docPr id="3" name="图片 3" descr="ChatGPT Image 2026年3月29日 23_05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3月29日 23_05_13"/>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66B001CB">
      <w:pPr>
        <w:pStyle w:val="165"/>
      </w:pPr>
      <w:r>
        <w:t>4.2.1  基础分类器训练</w:t>
      </w:r>
    </w:p>
    <w:p w14:paraId="676DDFF5">
      <w:pPr>
        <w:spacing w:line="360" w:lineRule="auto"/>
        <w:ind w:firstLine="420"/>
      </w:pPr>
      <w:r>
        <w:rPr>
          <w:rFonts w:ascii="宋体" w:hAnsi="宋体" w:eastAsia="宋体"/>
          <w:sz w:val="21"/>
        </w:rPr>
        <w:t>本方案选取四种具有代表性的异构基础分类器，以前述12维融合指纹特征向量F为统一输入，在训练集上独立训练。训练完成后，各分类器均以后验概率向量的形式输出分类结果：</w:t>
      </w:r>
    </w:p>
    <w:p w14:paraId="75D831CB">
      <w:pPr>
        <w:spacing w:before="120" w:after="120"/>
        <w:jc w:val="center"/>
      </w:pPr>
      <m:oMath>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m:t>
        </m:r>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(1|F),</m:t>
        </m:r>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(2|F),...,</m:t>
        </m:r>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(M|F)</m:t>
        </m:r>
        <m:sSup>
          <m:sSupPr>
            <m:ctrlPr>
              <w:rPr>
                <w:rFonts w:hint="default" w:ascii="Cambria Math" w:hAnsi="Cambria Math"/>
                <w:sz w:val="28"/>
                <w:szCs w:val="32"/>
              </w:rPr>
            </m:ctrlPr>
          </m:sSupPr>
          <m:e>
            <m:r>
              <m:rPr/>
              <w:rPr>
                <w:rFonts w:hint="default" w:ascii="Cambria Math" w:hAnsi="Cambria Math"/>
                <w:sz w:val="28"/>
                <w:szCs w:val="32"/>
              </w:rPr>
              <m:t>]</m:t>
            </m:r>
            <m:ctrlPr>
              <w:rPr>
                <w:rFonts w:ascii="Cambria Math" w:hAnsi="Cambria Math"/>
                <w:sz w:val="28"/>
                <w:szCs w:val="32"/>
              </w:rPr>
            </m:ctrlPr>
          </m:e>
          <m:sup>
            <m:r>
              <m:rPr/>
              <w:rPr>
                <w:rFonts w:hint="default" w:ascii="Cambria Math" w:hAnsi="Cambria Math"/>
                <w:sz w:val="28"/>
                <w:szCs w:val="32"/>
              </w:rPr>
              <m:t>T</m:t>
            </m:r>
            <m:ctrlPr>
              <w:rPr>
                <w:rFonts w:ascii="Cambria Math" w:hAnsi="Cambria Math"/>
                <w:sz w:val="28"/>
                <w:szCs w:val="32"/>
              </w:rPr>
            </m:ctrlPr>
          </m:sup>
        </m:sSup>
        <m:r>
          <m:rPr/>
          <w:rPr>
            <w:rFonts w:hint="default" w:ascii="Cambria Math" w:hAnsi="Cambria Math"/>
            <w:sz w:val="28"/>
            <w:szCs w:val="32"/>
          </w:rPr>
          <m:t>,k=1,2,3,4</m:t>
        </m:r>
      </m:oMath>
      <w:r>
        <w:rPr>
          <w:rFonts w:ascii="Times New Roman" w:hAnsi="Times New Roman"/>
          <w:sz w:val="28"/>
          <w:szCs w:val="32"/>
        </w:rPr>
        <w:t xml:space="preserve">  </w:t>
      </w:r>
      <w:r>
        <w:rPr>
          <w:rFonts w:ascii="Times New Roman" w:hAnsi="Times New Roman"/>
          <w:sz w:val="21"/>
        </w:rPr>
        <w:t xml:space="preserve">  (1)</w:t>
      </w:r>
    </w:p>
    <w:p w14:paraId="0260D92F">
      <w:pPr>
        <w:spacing w:line="360" w:lineRule="auto"/>
        <w:ind w:firstLine="420"/>
      </w:pPr>
      <w:r>
        <w:rPr>
          <w:rFonts w:ascii="宋体" w:hAnsi="宋体" w:eastAsia="宋体"/>
          <w:sz w:val="21"/>
        </w:rPr>
        <w:t>其中M为已注册设备类别总数，k为分类器索引。四种分类器的选择依据如下：</w:t>
      </w:r>
    </w:p>
    <w:p w14:paraId="75A2E406">
      <w:pPr>
        <w:spacing w:line="360" w:lineRule="auto"/>
        <w:ind w:firstLine="420"/>
      </w:pPr>
      <w:r>
        <w:rPr>
          <w:rFonts w:ascii="宋体" w:hAnsi="宋体" w:eastAsia="宋体"/>
          <w:b/>
          <w:sz w:val="21"/>
        </w:rPr>
        <w:t>（1）支持向量机（SVM）：</w:t>
      </w:r>
      <w:r>
        <w:rPr>
          <w:rFonts w:ascii="宋体" w:hAnsi="宋体" w:eastAsia="宋体"/>
          <w:sz w:val="21"/>
        </w:rPr>
        <w:t>采用径向基核函数建立非线性决策边界，通过Platt缩放将决策函数值转换为类别后验概率。SVM对高维特征空间中的小样本分类问题具有良好泛化能力，适合射频指纹这类特征维度较高但训练样本有限的场景。</w:t>
      </w:r>
    </w:p>
    <w:p w14:paraId="5F66DB3C">
      <w:pPr>
        <w:spacing w:line="360" w:lineRule="auto"/>
        <w:ind w:firstLine="420"/>
      </w:pPr>
      <w:r>
        <w:rPr>
          <w:rFonts w:ascii="宋体" w:hAnsi="宋体" w:eastAsia="宋体"/>
          <w:b/>
          <w:sz w:val="21"/>
        </w:rPr>
        <w:t>（2）随机森林（RF）：</w:t>
      </w:r>
      <w:r>
        <w:rPr>
          <w:rFonts w:ascii="宋体" w:hAnsi="宋体" w:eastAsia="宋体"/>
          <w:sz w:val="21"/>
        </w:rPr>
        <w:t>由多棵决策树通过Bagging集成构成，以各叶节点中各类别样本数量之比估计后验概率。随机森林对噪声和特征波动具有较强抵抗力，能够捕捉特征间的非线性交互关系。</w:t>
      </w:r>
    </w:p>
    <w:p w14:paraId="71A9579C">
      <w:pPr>
        <w:spacing w:line="360" w:lineRule="auto"/>
        <w:ind w:firstLine="420"/>
      </w:pPr>
      <w:r>
        <w:rPr>
          <w:rFonts w:ascii="宋体" w:hAnsi="宋体" w:eastAsia="宋体"/>
          <w:b/>
          <w:sz w:val="21"/>
        </w:rPr>
        <w:t>（3）线性判别分析（LDA）：</w:t>
      </w:r>
      <w:r>
        <w:rPr>
          <w:rFonts w:ascii="宋体" w:hAnsi="宋体" w:eastAsia="宋体"/>
          <w:sz w:val="21"/>
        </w:rPr>
        <w:t>通过最大化类间散度与类内散度之比构建线性投影，基于高斯分布假设计算各类别的后验概率。LDA计算开销低、可解释性强，在特征具有较好线性可分性时表现突出。</w:t>
      </w:r>
    </w:p>
    <w:p w14:paraId="25D10304">
      <w:pPr>
        <w:spacing w:line="360" w:lineRule="auto"/>
        <w:ind w:firstLine="420"/>
      </w:pPr>
      <w:r>
        <w:rPr>
          <w:rFonts w:ascii="宋体" w:hAnsi="宋体" w:eastAsia="宋体"/>
          <w:b/>
          <w:sz w:val="21"/>
        </w:rPr>
        <w:t>（4）K近邻分类器（KNN）：</w:t>
      </w:r>
      <w:r>
        <w:rPr>
          <w:rFonts w:ascii="宋体" w:hAnsi="宋体" w:eastAsia="宋体"/>
          <w:sz w:val="21"/>
        </w:rPr>
        <w:t>采用马氏距离度量样本间距，以最近邻样本的类别分布估计后验概率。KNN对局部特征分布信息保留完整，能有效捕获同一设备样本在特征空间中的聚类结构。</w:t>
      </w:r>
    </w:p>
    <w:p w14:paraId="135CFBC2">
      <w:pPr>
        <w:spacing w:line="360" w:lineRule="auto"/>
        <w:ind w:firstLine="420"/>
      </w:pPr>
      <w:r>
        <w:rPr>
          <w:rFonts w:ascii="宋体" w:hAnsi="宋体" w:eastAsia="宋体"/>
          <w:sz w:val="21"/>
        </w:rPr>
        <w:t>上述四种分类器学习范式各异——分别属于边界优化型、集成树型、线性判别型和实例型，保证了集成框架的多样性，有利于降低各分类器同时出错的概率。</w:t>
      </w:r>
    </w:p>
    <w:p w14:paraId="5AA35667">
      <w:pPr>
        <w:pStyle w:val="165"/>
      </w:pPr>
      <w:r>
        <w:t>4.2.2  静态权重与动态置信度联合估计</w:t>
      </w:r>
    </w:p>
    <w:p w14:paraId="7068D0C3">
      <w:pPr>
        <w:spacing w:line="360" w:lineRule="auto"/>
        <w:ind w:firstLine="420"/>
      </w:pPr>
      <w:r>
        <w:rPr>
          <w:rFonts w:ascii="宋体" w:hAnsi="宋体" w:eastAsia="宋体"/>
          <w:sz w:val="21"/>
        </w:rPr>
        <w:t>传统集成方法通常采用简单等权投票或固定权重融合，无法根据当前样本的分类难度自适应地调整各分类器的贡献。为此，本方案设计了静态权重与动态置信度联合估计机制。</w:t>
      </w:r>
    </w:p>
    <w:p w14:paraId="7683D50B">
      <w:pPr>
        <w:spacing w:line="360" w:lineRule="auto"/>
        <w:ind w:firstLine="420"/>
      </w:pPr>
      <w:r>
        <w:rPr>
          <w:rFonts w:ascii="宋体" w:hAnsi="宋体" w:eastAsia="宋体"/>
          <w:b/>
          <w:sz w:val="21"/>
        </w:rPr>
        <w:t>静态基权重计算：</w:t>
      </w:r>
      <w:r>
        <w:rPr>
          <w:rFonts w:ascii="宋体" w:hAnsi="宋体" w:eastAsia="宋体"/>
          <w:sz w:val="21"/>
        </w:rPr>
        <w:t>设第k个基础分类器在留出验证集上的识别准确率为</w:t>
      </w:r>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oMath>
      <w:r>
        <w:rPr>
          <w:rFonts w:ascii="宋体" w:hAnsi="宋体" w:eastAsia="宋体"/>
          <w:sz w:val="21"/>
        </w:rPr>
        <w:t>，其静态基权重定义为：</w:t>
      </w:r>
    </w:p>
    <w:p w14:paraId="2BA15106">
      <w:pPr>
        <w:spacing w:before="120" w:after="120"/>
        <w:jc w:val="center"/>
      </w:pPr>
      <m:oMath>
        <m:sSubSup>
          <m:sSubSupPr>
            <m:ctrlPr>
              <w:rPr>
                <w:rFonts w:ascii="Cambria Math" w:hAnsi="Cambria Math"/>
                <w:i/>
                <w:sz w:val="36"/>
                <w:szCs w:val="36"/>
              </w:rPr>
            </m:ctrlPr>
          </m:sSubSupPr>
          <m:e>
            <m:r>
              <m:rPr/>
              <w:rPr>
                <w:rFonts w:ascii="Cambria Math" w:hAnsi="Cambria Math"/>
                <w:sz w:val="36"/>
                <w:szCs w:val="36"/>
              </w:rPr>
              <m:t>α</m:t>
            </m:r>
            <m:ctrlPr>
              <w:rPr>
                <w:rFonts w:ascii="Cambria Math" w:hAnsi="Cambria Math"/>
                <w:i/>
                <w:sz w:val="36"/>
                <w:szCs w:val="36"/>
              </w:rPr>
            </m:ctrlPr>
          </m:e>
          <m:sub>
            <m:r>
              <m:rPr/>
              <w:rPr>
                <w:rFonts w:ascii="Cambria Math" w:hAnsi="Cambria Math"/>
                <w:sz w:val="36"/>
                <w:szCs w:val="36"/>
              </w:rPr>
              <m:t>k</m:t>
            </m:r>
            <m:ctrlPr>
              <w:rPr>
                <w:rFonts w:ascii="Cambria Math" w:hAnsi="Cambria Math"/>
                <w:i/>
                <w:sz w:val="36"/>
                <w:szCs w:val="36"/>
              </w:rPr>
            </m:ctrlPr>
          </m:sub>
          <m:sup>
            <m:r>
              <m:rPr>
                <m:sty m:val="p"/>
              </m:rPr>
              <w:rPr>
                <w:rFonts w:ascii="Cambria Math" w:hAnsi="Cambria Math"/>
                <w:sz w:val="36"/>
                <w:szCs w:val="36"/>
              </w:rPr>
              <m:t>(0)</m:t>
            </m:r>
            <m:ctrlPr>
              <w:rPr>
                <w:rFonts w:ascii="Cambria Math" w:hAnsi="Cambria Math"/>
                <w:i/>
                <w:sz w:val="36"/>
                <w:szCs w:val="36"/>
              </w:rPr>
            </m:ctrlPr>
          </m:sup>
        </m:sSubSup>
        <m:r>
          <m:rPr>
            <m:sty m:val="p"/>
          </m:rPr>
          <w:rPr>
            <w:rFonts w:ascii="Cambria Math" w:hAnsi="Cambria Math"/>
            <w:sz w:val="36"/>
            <w:szCs w:val="36"/>
          </w:rPr>
          <m:t xml:space="preserve"> = </m:t>
        </m:r>
        <m:f>
          <m:fPr>
            <m:ctrlPr>
              <w:rPr>
                <w:rFonts w:ascii="Cambria Math" w:hAnsi="Cambria Math"/>
                <w:i/>
                <w:sz w:val="36"/>
                <w:szCs w:val="36"/>
              </w:rPr>
            </m:ctrlPr>
          </m:fPr>
          <m:num>
            <m:sSub>
              <m:sSubPr>
                <m:ctrlPr>
                  <w:rPr>
                    <w:rFonts w:ascii="Cambria Math" w:hAnsi="Cambria Math"/>
                    <w:i/>
                    <w:sz w:val="36"/>
                    <w:szCs w:val="36"/>
                  </w:rPr>
                </m:ctrlPr>
              </m:sSubPr>
              <m:e>
                <m:r>
                  <m:rPr/>
                  <w:rPr>
                    <w:rFonts w:ascii="Cambria Math" w:hAnsi="Cambria Math"/>
                    <w:sz w:val="36"/>
                    <w:szCs w:val="36"/>
                  </w:rPr>
                  <m:t>A</m:t>
                </m:r>
                <m:ctrlPr>
                  <w:rPr>
                    <w:rFonts w:ascii="Cambria Math" w:hAnsi="Cambria Math"/>
                    <w:i/>
                    <w:sz w:val="36"/>
                    <w:szCs w:val="36"/>
                  </w:rPr>
                </m:ctrlPr>
              </m:e>
              <m:sub>
                <m:r>
                  <m:rPr/>
                  <w:rPr>
                    <w:rFonts w:ascii="Cambria Math" w:hAnsi="Cambria Math"/>
                    <w:sz w:val="36"/>
                    <w:szCs w:val="36"/>
                  </w:rPr>
                  <m:t>k</m:t>
                </m:r>
                <m:ctrlPr>
                  <w:rPr>
                    <w:rFonts w:ascii="Cambria Math" w:hAnsi="Cambria Math"/>
                    <w:i/>
                    <w:sz w:val="36"/>
                    <w:szCs w:val="36"/>
                  </w:rPr>
                </m:ctrlPr>
              </m:sub>
            </m:sSub>
            <m:ctrlPr>
              <w:rPr>
                <w:rFonts w:ascii="Cambria Math" w:hAnsi="Cambria Math"/>
                <w:i/>
                <w:sz w:val="36"/>
                <w:szCs w:val="36"/>
              </w:rPr>
            </m:ctrlPr>
          </m:num>
          <m:den>
            <m:nary>
              <m:naryPr>
                <m:chr m:val="∑"/>
                <m:limLoc m:val="subSup"/>
                <m:ctrlPr>
                  <w:rPr>
                    <w:rFonts w:ascii="Cambria Math" w:hAnsi="Cambria Math"/>
                    <w:i/>
                    <w:sz w:val="36"/>
                    <w:szCs w:val="36"/>
                  </w:rPr>
                </m:ctrlPr>
              </m:naryPr>
              <m:sub>
                <m:r>
                  <m:rPr>
                    <m:sty m:val="p"/>
                  </m:rPr>
                  <w:rPr>
                    <w:rFonts w:ascii="Cambria Math" w:hAnsi="Cambria Math"/>
                    <w:sz w:val="36"/>
                    <w:szCs w:val="36"/>
                  </w:rPr>
                  <m:t>j=1</m:t>
                </m:r>
                <m:ctrlPr>
                  <w:rPr>
                    <w:rFonts w:ascii="Cambria Math" w:hAnsi="Cambria Math"/>
                    <w:i/>
                    <w:sz w:val="36"/>
                    <w:szCs w:val="36"/>
                  </w:rPr>
                </m:ctrlPr>
              </m:sub>
              <m:sup>
                <m:r>
                  <m:rPr/>
                  <w:rPr>
                    <w:rFonts w:hint="default" w:ascii="Cambria Math" w:hAnsi="Cambria Math"/>
                    <w:sz w:val="36"/>
                    <w:szCs w:val="36"/>
                    <w:lang w:val="en-US" w:eastAsia="zh-CN"/>
                  </w:rPr>
                  <m:t>4</m:t>
                </m:r>
                <m:ctrlPr>
                  <w:rPr>
                    <w:rFonts w:ascii="Cambria Math" w:hAnsi="Cambria Math"/>
                    <w:i/>
                    <w:sz w:val="36"/>
                    <w:szCs w:val="36"/>
                  </w:rPr>
                </m:ctrlPr>
              </m:sup>
              <m:e>
                <m:sSub>
                  <m:sSubPr>
                    <m:ctrlPr>
                      <w:rPr>
                        <w:rFonts w:ascii="Cambria Math" w:hAnsi="Cambria Math"/>
                        <w:i/>
                        <w:sz w:val="36"/>
                        <w:szCs w:val="36"/>
                      </w:rPr>
                    </m:ctrlPr>
                  </m:sSubPr>
                  <m:e>
                    <m:r>
                      <m:rPr/>
                      <w:rPr>
                        <w:rFonts w:ascii="Cambria Math" w:hAnsi="Cambria Math"/>
                        <w:sz w:val="36"/>
                        <w:szCs w:val="36"/>
                      </w:rPr>
                      <m:t>A</m:t>
                    </m:r>
                    <m:ctrlPr>
                      <w:rPr>
                        <w:rFonts w:ascii="Cambria Math" w:hAnsi="Cambria Math"/>
                        <w:i/>
                        <w:sz w:val="36"/>
                        <w:szCs w:val="36"/>
                      </w:rPr>
                    </m:ctrlPr>
                  </m:e>
                  <m:sub>
                    <m:r>
                      <m:rPr/>
                      <w:rPr>
                        <w:rFonts w:ascii="Cambria Math" w:hAnsi="Cambria Math"/>
                        <w:sz w:val="36"/>
                        <w:szCs w:val="36"/>
                      </w:rPr>
                      <m:t>j</m:t>
                    </m:r>
                    <m:ctrlPr>
                      <w:rPr>
                        <w:rFonts w:ascii="Cambria Math" w:hAnsi="Cambria Math"/>
                        <w:i/>
                        <w:sz w:val="36"/>
                        <w:szCs w:val="36"/>
                      </w:rPr>
                    </m:ctrlPr>
                  </m:sub>
                </m:sSub>
                <m:ctrlPr>
                  <w:rPr>
                    <w:rFonts w:ascii="Cambria Math" w:hAnsi="Cambria Math"/>
                    <w:i/>
                    <w:sz w:val="36"/>
                    <w:szCs w:val="36"/>
                  </w:rPr>
                </m:ctrlPr>
              </m:e>
            </m:nary>
            <m:ctrlPr>
              <w:rPr>
                <w:rFonts w:ascii="Cambria Math" w:hAnsi="Cambria Math"/>
                <w:i/>
                <w:sz w:val="36"/>
                <w:szCs w:val="36"/>
              </w:rPr>
            </m:ctrlPr>
          </m:den>
        </m:f>
      </m:oMath>
      <w:r>
        <w:rPr>
          <w:rFonts w:ascii="Times New Roman" w:hAnsi="Times New Roman"/>
          <w:sz w:val="24"/>
          <w:szCs w:val="28"/>
        </w:rPr>
        <w:t xml:space="preserve"> </w:t>
      </w:r>
      <w:r>
        <w:rPr>
          <w:rFonts w:ascii="Times New Roman" w:hAnsi="Times New Roman"/>
          <w:sz w:val="22"/>
          <w:szCs w:val="24"/>
        </w:rPr>
        <w:t xml:space="preserve"> </w:t>
      </w:r>
      <w:r>
        <w:rPr>
          <w:rFonts w:ascii="Times New Roman" w:hAnsi="Times New Roman"/>
          <w:sz w:val="21"/>
        </w:rPr>
        <w:t xml:space="preserve">  (2)</w:t>
      </w:r>
    </w:p>
    <w:p w14:paraId="2EDCEC76">
      <w:pPr>
        <w:spacing w:line="360" w:lineRule="auto"/>
        <w:ind w:firstLine="420"/>
      </w:pPr>
      <w:r>
        <w:rPr>
          <w:rFonts w:ascii="宋体" w:hAnsi="宋体" w:eastAsia="宋体"/>
          <w:sz w:val="21"/>
        </w:rPr>
        <w:t>静态基权重反映了各分类器在训练阶段的综合判别能力，准确率越高的分类器在融合中贡献越大。</w:t>
      </w:r>
    </w:p>
    <w:p w14:paraId="6A579242">
      <w:pPr>
        <w:spacing w:line="360" w:lineRule="auto"/>
        <w:ind w:firstLine="420"/>
      </w:pPr>
      <w:r>
        <w:rPr>
          <w:rFonts w:ascii="宋体" w:hAnsi="宋体" w:eastAsia="宋体"/>
          <w:b/>
          <w:sz w:val="21"/>
        </w:rPr>
        <w:t>预测熵计算：</w:t>
      </w:r>
      <w:r>
        <w:rPr>
          <w:rFonts w:ascii="宋体" w:hAnsi="宋体" w:eastAsia="宋体"/>
          <w:sz w:val="21"/>
        </w:rPr>
        <w:t>对于当前输入样本F，第k个分类器输出后验概率向量，计算其预测熵：</w:t>
      </w:r>
    </w:p>
    <w:p w14:paraId="0E1B58E1">
      <w:pPr>
        <w:spacing w:before="120" w:after="120"/>
        <w:jc w:val="center"/>
      </w:pPr>
      <m:oMath>
        <m:sSub>
          <m:sSubPr>
            <m:ctrlPr>
              <w:rPr>
                <w:rFonts w:hint="default" w:ascii="Cambria Math" w:hAnsi="Cambria Math"/>
                <w:sz w:val="28"/>
                <w:szCs w:val="32"/>
              </w:rPr>
            </m:ctrlPr>
          </m:sSubPr>
          <m:e>
            <m:r>
              <m:rPr/>
              <w:rPr>
                <w:rFonts w:hint="default" w:ascii="Cambria Math" w:hAnsi="Cambria Math"/>
                <w:sz w:val="28"/>
                <w:szCs w:val="32"/>
              </w:rPr>
              <m:t>H</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m:t>
        </m:r>
        <m:sSubSup>
          <m:sSubSupPr>
            <m:ctrlPr>
              <w:rPr>
                <w:rFonts w:hint="default" w:ascii="Cambria Math" w:hAnsi="Cambria Math"/>
                <w:sz w:val="28"/>
                <w:szCs w:val="32"/>
              </w:rPr>
            </m:ctrlPr>
          </m:sSubSupPr>
          <m:e>
            <m:r>
              <m:rPr>
                <m:sty m:val="p"/>
              </m:rPr>
              <w:rPr>
                <w:rFonts w:hint="default" w:ascii="Cambria Math" w:hAnsi="Cambria Math"/>
                <w:sz w:val="28"/>
                <w:szCs w:val="32"/>
              </w:rPr>
              <m:t>Σ</m:t>
            </m:r>
            <m:ctrlPr>
              <w:rPr>
                <w:rFonts w:ascii="Cambria Math" w:hAnsi="Cambria Math"/>
                <w:sz w:val="28"/>
                <w:szCs w:val="32"/>
              </w:rPr>
            </m:ctrlPr>
          </m:e>
          <m:sub>
            <m:r>
              <m:rPr/>
              <w:rPr>
                <w:rFonts w:hint="default" w:ascii="Cambria Math" w:hAnsi="Cambria Math"/>
                <w:sz w:val="28"/>
                <w:szCs w:val="32"/>
              </w:rPr>
              <m:t>c=1</m:t>
            </m:r>
            <m:ctrlPr>
              <w:rPr>
                <w:rFonts w:ascii="Cambria Math" w:hAnsi="Cambria Math"/>
                <w:sz w:val="28"/>
                <w:szCs w:val="32"/>
              </w:rPr>
            </m:ctrlPr>
          </m:sub>
          <m:sup>
            <m:r>
              <m:rPr/>
              <w:rPr>
                <w:rFonts w:hint="default" w:ascii="Cambria Math" w:hAnsi="Cambria Math"/>
                <w:sz w:val="28"/>
                <w:szCs w:val="32"/>
              </w:rPr>
              <m:t>M</m:t>
            </m:r>
            <m:ctrlPr>
              <w:rPr>
                <w:rFonts w:ascii="Cambria Math" w:hAnsi="Cambria Math"/>
                <w:sz w:val="28"/>
                <w:szCs w:val="32"/>
              </w:rPr>
            </m:ctrlPr>
          </m:sup>
        </m:sSubSup>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(c|F)log</m:t>
        </m:r>
        <m:r>
          <m:rPr>
            <m:sty m:val="p"/>
          </m:rPr>
          <w:rPr>
            <w:rFonts w:hint="default" w:ascii="Cambria Math" w:hAnsi="Cambria Math"/>
            <w:sz w:val="28"/>
            <w:szCs w:val="32"/>
          </w:rPr>
          <m:t>₂</m:t>
        </m:r>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(c|F)</m:t>
        </m:r>
      </m:oMath>
      <w:r>
        <w:rPr>
          <w:rFonts w:ascii="Times New Roman" w:hAnsi="Times New Roman"/>
          <w:sz w:val="28"/>
          <w:szCs w:val="32"/>
        </w:rPr>
        <w:t xml:space="preserve"> </w:t>
      </w:r>
      <w:r>
        <w:rPr>
          <w:rFonts w:ascii="Times New Roman" w:hAnsi="Times New Roman"/>
          <w:sz w:val="21"/>
        </w:rPr>
        <w:t xml:space="preserve">   (3)</w:t>
      </w:r>
    </w:p>
    <w:p w14:paraId="2DFC0D6C">
      <w:pPr>
        <w:spacing w:line="360" w:lineRule="auto"/>
        <w:ind w:firstLine="420"/>
      </w:pPr>
      <w:r>
        <w:rPr>
          <w:rFonts w:ascii="宋体" w:hAnsi="宋体" w:eastAsia="宋体"/>
          <w:sz w:val="21"/>
        </w:rPr>
        <w:t>预测熵H_k度量分类器对当前样本预测的不确定性。H_k越小，表明分类器对某一类别的置信越集中；越大，说明分类器对当前样本判断较为模糊，应赋予较低权重。</w:t>
      </w:r>
    </w:p>
    <w:p w14:paraId="18F98A58">
      <w:pPr>
        <w:spacing w:line="360" w:lineRule="auto"/>
        <w:ind w:firstLine="420"/>
      </w:pPr>
      <w:r>
        <w:rPr>
          <w:rFonts w:ascii="宋体" w:hAnsi="宋体" w:eastAsia="宋体"/>
          <w:b/>
          <w:sz w:val="21"/>
        </w:rPr>
        <w:t>动态置信因子：</w:t>
      </w:r>
      <w:r>
        <w:rPr>
          <w:rFonts w:ascii="宋体" w:hAnsi="宋体" w:eastAsia="宋体"/>
          <w:sz w:val="21"/>
        </w:rPr>
        <w:t>基于预测熵定义动态置信因子：</w:t>
      </w:r>
    </w:p>
    <w:p w14:paraId="11EF6A6F">
      <w:pPr>
        <w:spacing w:before="120" w:after="120"/>
        <w:jc w:val="center"/>
      </w:pPr>
      <m:oMath>
        <m:sSub>
          <m:sSubPr>
            <m:ctrlPr>
              <w:rPr>
                <w:rFonts w:hint="default" w:ascii="Cambria Math" w:hAnsi="Cambria Math"/>
                <w:sz w:val="28"/>
                <w:szCs w:val="32"/>
              </w:rPr>
            </m:ctrlPr>
          </m:sSubPr>
          <m:e>
            <m:r>
              <m:rPr/>
              <w:rPr>
                <w:rFonts w:hint="default" w:ascii="Cambria Math" w:hAnsi="Cambria Math"/>
                <w:sz w:val="28"/>
                <w:szCs w:val="32"/>
              </w:rPr>
              <m:t>β</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m:t>
        </m:r>
        <m:r>
          <m:rPr>
            <m:sty m:val="p"/>
          </m:rPr>
          <w:rPr>
            <w:rFonts w:hint="default" w:ascii="Cambria Math" w:hAnsi="Cambria Math"/>
            <w:sz w:val="28"/>
            <w:szCs w:val="32"/>
          </w:rPr>
          <m:t>exp</m:t>
        </m:r>
        <m:r>
          <m:rPr/>
          <w:rPr>
            <w:rFonts w:hint="default" w:ascii="Cambria Math" w:hAnsi="Cambria Math"/>
            <w:sz w:val="28"/>
            <w:szCs w:val="32"/>
          </w:rPr>
          <m:t>(−γ</m:t>
        </m:r>
        <m:r>
          <m:rPr>
            <m:sty m:val="p"/>
          </m:rPr>
          <w:rPr>
            <w:rFonts w:hint="default" w:ascii="Cambria Math" w:hAnsi="Cambria Math"/>
            <w:sz w:val="28"/>
            <w:szCs w:val="32"/>
          </w:rPr>
          <m:t>·</m:t>
        </m:r>
        <m:sSub>
          <m:sSubPr>
            <m:ctrlPr>
              <w:rPr>
                <w:rFonts w:hint="default" w:ascii="Cambria Math" w:hAnsi="Cambria Math"/>
                <w:sz w:val="28"/>
                <w:szCs w:val="32"/>
              </w:rPr>
            </m:ctrlPr>
          </m:sSubPr>
          <m:e>
            <m:r>
              <m:rPr/>
              <w:rPr>
                <w:rFonts w:hint="default" w:ascii="Cambria Math" w:hAnsi="Cambria Math"/>
                <w:sz w:val="28"/>
                <w:szCs w:val="32"/>
              </w:rPr>
              <m:t>H</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m:t>
        </m:r>
      </m:oMath>
      <w:r>
        <w:rPr>
          <w:rFonts w:ascii="Times New Roman" w:hAnsi="Times New Roman"/>
          <w:sz w:val="28"/>
          <w:szCs w:val="32"/>
        </w:rPr>
        <w:t xml:space="preserve"> </w:t>
      </w:r>
      <w:r>
        <w:rPr>
          <w:rFonts w:ascii="Times New Roman" w:hAnsi="Times New Roman"/>
          <w:sz w:val="21"/>
        </w:rPr>
        <w:t xml:space="preserve">   (4)</w:t>
      </w:r>
    </w:p>
    <w:p w14:paraId="66D28969">
      <w:pPr>
        <w:spacing w:line="360" w:lineRule="auto"/>
        <w:ind w:firstLine="420"/>
      </w:pPr>
      <w:r>
        <w:rPr>
          <w:rFonts w:ascii="宋体" w:hAnsi="宋体" w:eastAsia="宋体"/>
          <w:sz w:val="21"/>
        </w:rPr>
        <w:t>其中γ&gt;0为超参数，控制置信因子对熵值的敏感程度。将静态基权重与动态置信因子结合，计算最终联合权重：</w:t>
      </w:r>
    </w:p>
    <w:p w14:paraId="44D22410">
      <w:pPr>
        <w:spacing w:before="120" w:after="120"/>
        <w:jc w:val="center"/>
      </w:pPr>
      <m:oMath>
        <m:sSub>
          <m:sSubPr>
            <m:ctrlPr>
              <w:rPr>
                <w:rFonts w:ascii="Cambria Math" w:hAnsi="Cambria Math"/>
                <w:i/>
                <w:sz w:val="32"/>
                <w:szCs w:val="32"/>
              </w:rPr>
            </m:ctrlPr>
          </m:sSubPr>
          <m:e>
            <m:r>
              <m:rPr/>
              <w:rPr>
                <w:rFonts w:ascii="Cambria Math" w:hAnsi="Cambria Math"/>
                <w:sz w:val="32"/>
                <w:szCs w:val="32"/>
              </w:rPr>
              <m:t>α</m:t>
            </m:r>
            <m:ctrlPr>
              <w:rPr>
                <w:rFonts w:ascii="Cambria Math" w:hAnsi="Cambria Math"/>
                <w:i/>
                <w:sz w:val="32"/>
                <w:szCs w:val="32"/>
              </w:rPr>
            </m:ctrlPr>
          </m:e>
          <m:sub>
            <m:r>
              <m:rPr/>
              <w:rPr>
                <w:rFonts w:ascii="Cambria Math" w:hAnsi="Cambria Math"/>
                <w:sz w:val="32"/>
                <w:szCs w:val="32"/>
              </w:rPr>
              <m:t>k</m:t>
            </m:r>
            <m:ctrlPr>
              <w:rPr>
                <w:rFonts w:ascii="Cambria Math" w:hAnsi="Cambria Math"/>
                <w:i/>
                <w:sz w:val="32"/>
                <w:szCs w:val="32"/>
              </w:rPr>
            </m:ctrlPr>
          </m:sub>
        </m:sSub>
        <m:r>
          <m:rPr>
            <m:sty m:val="p"/>
          </m:rPr>
          <w:rPr>
            <w:rFonts w:ascii="Cambria Math" w:hAnsi="Cambria Math"/>
            <w:sz w:val="32"/>
            <w:szCs w:val="32"/>
          </w:rPr>
          <m:t xml:space="preserve"> = </m:t>
        </m:r>
        <m:f>
          <m:fPr>
            <m:ctrlPr>
              <w:rPr>
                <w:rFonts w:ascii="Cambria Math" w:hAnsi="Cambria Math"/>
                <w:i/>
                <w:sz w:val="32"/>
                <w:szCs w:val="32"/>
              </w:rPr>
            </m:ctrlPr>
          </m:fPr>
          <m:num>
            <m:sSubSup>
              <m:sSubSupPr>
                <m:ctrlPr>
                  <w:rPr>
                    <w:rFonts w:ascii="Cambria Math" w:hAnsi="Cambria Math"/>
                    <w:i/>
                    <w:sz w:val="32"/>
                    <w:szCs w:val="32"/>
                  </w:rPr>
                </m:ctrlPr>
              </m:sSubSupPr>
              <m:e>
                <m:r>
                  <m:rPr/>
                  <w:rPr>
                    <w:rFonts w:ascii="Cambria Math" w:hAnsi="Cambria Math"/>
                    <w:sz w:val="32"/>
                    <w:szCs w:val="32"/>
                  </w:rPr>
                  <m:t>α</m:t>
                </m:r>
                <m:ctrlPr>
                  <w:rPr>
                    <w:rFonts w:ascii="Cambria Math" w:hAnsi="Cambria Math"/>
                    <w:i/>
                    <w:sz w:val="32"/>
                    <w:szCs w:val="32"/>
                  </w:rPr>
                </m:ctrlPr>
              </m:e>
              <m:sub>
                <m:r>
                  <m:rPr/>
                  <w:rPr>
                    <w:rFonts w:ascii="Cambria Math" w:hAnsi="Cambria Math"/>
                    <w:sz w:val="32"/>
                    <w:szCs w:val="32"/>
                  </w:rPr>
                  <m:t>k</m:t>
                </m:r>
                <m:ctrlPr>
                  <w:rPr>
                    <w:rFonts w:ascii="Cambria Math" w:hAnsi="Cambria Math"/>
                    <w:i/>
                    <w:sz w:val="32"/>
                    <w:szCs w:val="32"/>
                  </w:rPr>
                </m:ctrlPr>
              </m:sub>
              <m:sup>
                <m:r>
                  <m:rPr>
                    <m:sty m:val="p"/>
                  </m:rPr>
                  <w:rPr>
                    <w:rFonts w:ascii="Cambria Math" w:hAnsi="Cambria Math"/>
                    <w:sz w:val="32"/>
                    <w:szCs w:val="32"/>
                  </w:rPr>
                  <m:t>(0)</m:t>
                </m:r>
                <m:ctrlPr>
                  <w:rPr>
                    <w:rFonts w:ascii="Cambria Math" w:hAnsi="Cambria Math"/>
                    <w:i/>
                    <w:sz w:val="32"/>
                    <w:szCs w:val="32"/>
                  </w:rPr>
                </m:ctrlPr>
              </m:sup>
            </m:sSubSup>
            <m:r>
              <m:rPr>
                <m:sty m:val="p"/>
              </m:rPr>
              <w:rPr>
                <w:rFonts w:ascii="Cambria Math" w:hAnsi="Cambria Math"/>
                <w:sz w:val="32"/>
                <w:szCs w:val="32"/>
              </w:rPr>
              <m:t>⋅</m:t>
            </m:r>
            <m:sSub>
              <m:sSubPr>
                <m:ctrlPr>
                  <w:rPr>
                    <w:rFonts w:ascii="Cambria Math" w:hAnsi="Cambria Math"/>
                    <w:i/>
                    <w:sz w:val="32"/>
                    <w:szCs w:val="32"/>
                  </w:rPr>
                </m:ctrlPr>
              </m:sSubPr>
              <m:e>
                <m:r>
                  <m:rPr/>
                  <w:rPr>
                    <w:rFonts w:ascii="Cambria Math" w:hAnsi="Cambria Math"/>
                    <w:sz w:val="32"/>
                    <w:szCs w:val="32"/>
                  </w:rPr>
                  <m:t>β</m:t>
                </m:r>
                <m:ctrlPr>
                  <w:rPr>
                    <w:rFonts w:ascii="Cambria Math" w:hAnsi="Cambria Math"/>
                    <w:i/>
                    <w:sz w:val="32"/>
                    <w:szCs w:val="32"/>
                  </w:rPr>
                </m:ctrlPr>
              </m:e>
              <m:sub>
                <m:r>
                  <m:rPr/>
                  <w:rPr>
                    <w:rFonts w:ascii="Cambria Math" w:hAnsi="Cambria Math"/>
                    <w:sz w:val="32"/>
                    <w:szCs w:val="32"/>
                  </w:rPr>
                  <m:t>k</m:t>
                </m:r>
                <m:ctrlPr>
                  <w:rPr>
                    <w:rFonts w:ascii="Cambria Math" w:hAnsi="Cambria Math"/>
                    <w:i/>
                    <w:sz w:val="32"/>
                    <w:szCs w:val="32"/>
                  </w:rPr>
                </m:ctrlPr>
              </m:sub>
            </m:sSub>
            <m:ctrlPr>
              <w:rPr>
                <w:rFonts w:ascii="Cambria Math" w:hAnsi="Cambria Math"/>
                <w:i/>
                <w:sz w:val="32"/>
                <w:szCs w:val="32"/>
              </w:rPr>
            </m:ctrlPr>
          </m:num>
          <m:den>
            <m:nary>
              <m:naryPr>
                <m:chr m:val="∑"/>
                <m:limLoc m:val="subSup"/>
                <m:ctrlPr>
                  <w:rPr>
                    <w:rFonts w:ascii="Cambria Math" w:hAnsi="Cambria Math"/>
                    <w:i/>
                    <w:sz w:val="32"/>
                    <w:szCs w:val="32"/>
                  </w:rPr>
                </m:ctrlPr>
              </m:naryPr>
              <m:sub>
                <m:r>
                  <m:rPr>
                    <m:sty m:val="p"/>
                  </m:rPr>
                  <w:rPr>
                    <w:rFonts w:ascii="Cambria Math" w:hAnsi="Cambria Math"/>
                    <w:sz w:val="32"/>
                    <w:szCs w:val="32"/>
                  </w:rPr>
                  <m:t>j=1</m:t>
                </m:r>
                <m:ctrlPr>
                  <w:rPr>
                    <w:rFonts w:ascii="Cambria Math" w:hAnsi="Cambria Math"/>
                    <w:i/>
                    <w:sz w:val="32"/>
                    <w:szCs w:val="32"/>
                  </w:rPr>
                </m:ctrlPr>
              </m:sub>
              <m:sup>
                <m:r>
                  <m:rPr/>
                  <w:rPr>
                    <w:rFonts w:ascii="Cambria Math" w:hAnsi="Cambria Math"/>
                    <w:sz w:val="32"/>
                    <w:szCs w:val="32"/>
                  </w:rPr>
                  <m:t>K</m:t>
                </m:r>
                <m:ctrlPr>
                  <w:rPr>
                    <w:rFonts w:ascii="Cambria Math" w:hAnsi="Cambria Math"/>
                    <w:i/>
                    <w:sz w:val="32"/>
                    <w:szCs w:val="32"/>
                  </w:rPr>
                </m:ctrlPr>
              </m:sup>
              <m:e>
                <m:sSubSup>
                  <m:sSubSupPr>
                    <m:ctrlPr>
                      <w:rPr>
                        <w:rFonts w:ascii="Cambria Math" w:hAnsi="Cambria Math"/>
                        <w:i/>
                        <w:sz w:val="32"/>
                        <w:szCs w:val="32"/>
                      </w:rPr>
                    </m:ctrlPr>
                  </m:sSubSupPr>
                  <m:e>
                    <m:r>
                      <m:rPr/>
                      <w:rPr>
                        <w:rFonts w:ascii="Cambria Math" w:hAnsi="Cambria Math"/>
                        <w:sz w:val="32"/>
                        <w:szCs w:val="32"/>
                      </w:rPr>
                      <m:t>α</m:t>
                    </m:r>
                    <m:ctrlPr>
                      <w:rPr>
                        <w:rFonts w:ascii="Cambria Math" w:hAnsi="Cambria Math"/>
                        <w:i/>
                        <w:sz w:val="32"/>
                        <w:szCs w:val="32"/>
                      </w:rPr>
                    </m:ctrlPr>
                  </m:e>
                  <m:sub>
                    <m:r>
                      <m:rPr/>
                      <w:rPr>
                        <w:rFonts w:ascii="Cambria Math" w:hAnsi="Cambria Math"/>
                        <w:sz w:val="32"/>
                        <w:szCs w:val="32"/>
                      </w:rPr>
                      <m:t>j</m:t>
                    </m:r>
                    <m:ctrlPr>
                      <w:rPr>
                        <w:rFonts w:ascii="Cambria Math" w:hAnsi="Cambria Math"/>
                        <w:i/>
                        <w:sz w:val="32"/>
                        <w:szCs w:val="32"/>
                      </w:rPr>
                    </m:ctrlPr>
                  </m:sub>
                  <m:sup>
                    <m:r>
                      <m:rPr>
                        <m:sty m:val="p"/>
                      </m:rPr>
                      <w:rPr>
                        <w:rFonts w:ascii="Cambria Math" w:hAnsi="Cambria Math"/>
                        <w:sz w:val="32"/>
                        <w:szCs w:val="32"/>
                      </w:rPr>
                      <m:t>(0)</m:t>
                    </m:r>
                    <m:ctrlPr>
                      <w:rPr>
                        <w:rFonts w:ascii="Cambria Math" w:hAnsi="Cambria Math"/>
                        <w:i/>
                        <w:sz w:val="32"/>
                        <w:szCs w:val="32"/>
                      </w:rPr>
                    </m:ctrlPr>
                  </m:sup>
                </m:sSubSup>
                <m:r>
                  <m:rPr>
                    <m:sty m:val="p"/>
                  </m:rPr>
                  <w:rPr>
                    <w:rFonts w:ascii="Cambria Math" w:hAnsi="Cambria Math"/>
                    <w:sz w:val="32"/>
                    <w:szCs w:val="32"/>
                  </w:rPr>
                  <m:t>⋅</m:t>
                </m:r>
                <m:sSub>
                  <m:sSubPr>
                    <m:ctrlPr>
                      <w:rPr>
                        <w:rFonts w:ascii="Cambria Math" w:hAnsi="Cambria Math"/>
                        <w:i/>
                        <w:sz w:val="32"/>
                        <w:szCs w:val="32"/>
                      </w:rPr>
                    </m:ctrlPr>
                  </m:sSubPr>
                  <m:e>
                    <m:r>
                      <m:rPr/>
                      <w:rPr>
                        <w:rFonts w:ascii="Cambria Math" w:hAnsi="Cambria Math"/>
                        <w:sz w:val="32"/>
                        <w:szCs w:val="32"/>
                      </w:rPr>
                      <m:t>β</m:t>
                    </m:r>
                    <m:ctrlPr>
                      <w:rPr>
                        <w:rFonts w:ascii="Cambria Math" w:hAnsi="Cambria Math"/>
                        <w:i/>
                        <w:sz w:val="32"/>
                        <w:szCs w:val="32"/>
                      </w:rPr>
                    </m:ctrlPr>
                  </m:e>
                  <m:sub>
                    <m:r>
                      <m:rPr/>
                      <w:rPr>
                        <w:rFonts w:ascii="Cambria Math" w:hAnsi="Cambria Math"/>
                        <w:sz w:val="32"/>
                        <w:szCs w:val="32"/>
                      </w:rPr>
                      <m:t>j</m:t>
                    </m:r>
                    <m:ctrlPr>
                      <w:rPr>
                        <w:rFonts w:ascii="Cambria Math" w:hAnsi="Cambria Math"/>
                        <w:i/>
                        <w:sz w:val="32"/>
                        <w:szCs w:val="32"/>
                      </w:rPr>
                    </m:ctrlPr>
                  </m:sub>
                </m:sSub>
                <m:ctrlPr>
                  <w:rPr>
                    <w:rFonts w:ascii="Cambria Math" w:hAnsi="Cambria Math"/>
                    <w:i/>
                    <w:sz w:val="32"/>
                    <w:szCs w:val="32"/>
                  </w:rPr>
                </m:ctrlPr>
              </m:e>
            </m:nary>
            <m:ctrlPr>
              <w:rPr>
                <w:rFonts w:ascii="Cambria Math" w:hAnsi="Cambria Math"/>
                <w:i/>
                <w:sz w:val="32"/>
                <w:szCs w:val="32"/>
              </w:rPr>
            </m:ctrlPr>
          </m:den>
        </m:f>
      </m:oMath>
      <w:r>
        <w:rPr>
          <w:rFonts w:ascii="Times New Roman" w:hAnsi="Times New Roman"/>
          <w:sz w:val="22"/>
          <w:szCs w:val="24"/>
        </w:rPr>
        <w:t xml:space="preserve"> </w:t>
      </w:r>
      <w:r>
        <w:rPr>
          <w:rFonts w:ascii="Times New Roman" w:hAnsi="Times New Roman"/>
          <w:sz w:val="21"/>
        </w:rPr>
        <w:t xml:space="preserve">   (5)</w:t>
      </w:r>
    </w:p>
    <w:p w14:paraId="17D8121B">
      <w:pPr>
        <w:spacing w:line="360" w:lineRule="auto"/>
        <w:ind w:firstLine="420"/>
      </w:pPr>
      <w:r>
        <w:rPr>
          <w:rFonts w:ascii="宋体" w:hAnsi="宋体" w:eastAsia="宋体"/>
          <w:sz w:val="21"/>
        </w:rPr>
        <w:t>联合权重α_k同时考虑了分类器的历史准确率（静态稳健性）与当前样本的预测确定性（动态置信度），使权重分配兼顾全局训练性能与局部样本信息。</w:t>
      </w:r>
    </w:p>
    <w:p w14:paraId="3A901122">
      <w:pPr>
        <w:pStyle w:val="165"/>
      </w:pPr>
      <w:r>
        <w:t>4.2.3  加权概率融合与设备身份输出</w:t>
      </w:r>
    </w:p>
    <w:p w14:paraId="781AE6AB">
      <w:pPr>
        <w:spacing w:line="360" w:lineRule="auto"/>
        <w:ind w:firstLine="420"/>
      </w:pPr>
      <w:r>
        <w:rPr>
          <w:rFonts w:ascii="宋体" w:hAnsi="宋体" w:eastAsia="宋体"/>
          <w:sz w:val="21"/>
        </w:rPr>
        <w:t>对4个基础分类器输出的后验概率向量按联合权重进行加权求和，得到集成后验概率：</w:t>
      </w:r>
    </w:p>
    <w:p w14:paraId="170E75E2">
      <w:pPr>
        <w:spacing w:before="120" w:after="120"/>
        <w:jc w:val="center"/>
      </w:pPr>
      <m:oMath>
        <m:r>
          <m:rPr/>
          <w:rPr>
            <w:rFonts w:hint="default" w:ascii="Cambria Math" w:hAnsi="Cambria Math"/>
            <w:sz w:val="28"/>
            <w:szCs w:val="32"/>
          </w:rPr>
          <m:t>p</m:t>
        </m:r>
        <m:r>
          <m:rPr>
            <m:sty m:val="p"/>
          </m:rPr>
          <w:rPr>
            <w:rFonts w:hint="default" w:ascii="Cambria Math" w:hAnsi="Cambria Math"/>
            <w:sz w:val="28"/>
            <w:szCs w:val="32"/>
          </w:rPr>
          <m:t>̄</m:t>
        </m:r>
        <m:r>
          <m:rPr/>
          <w:rPr>
            <w:rFonts w:hint="default" w:ascii="Cambria Math" w:hAnsi="Cambria Math"/>
            <w:sz w:val="28"/>
            <w:szCs w:val="32"/>
          </w:rPr>
          <m:t>(c|F)=</m:t>
        </m:r>
        <m:sSubSup>
          <m:sSubSupPr>
            <m:ctrlPr>
              <w:rPr>
                <w:rFonts w:hint="default" w:ascii="Cambria Math" w:hAnsi="Cambria Math"/>
                <w:sz w:val="28"/>
                <w:szCs w:val="32"/>
              </w:rPr>
            </m:ctrlPr>
          </m:sSubSupPr>
          <m:e>
            <m:r>
              <m:rPr>
                <m:sty m:val="p"/>
              </m:rPr>
              <w:rPr>
                <w:rFonts w:hint="default" w:ascii="Cambria Math" w:hAnsi="Cambria Math"/>
                <w:sz w:val="28"/>
                <w:szCs w:val="32"/>
              </w:rPr>
              <m:t>Σ</m:t>
            </m:r>
            <m:ctrlPr>
              <w:rPr>
                <w:rFonts w:ascii="Cambria Math" w:hAnsi="Cambria Math"/>
                <w:sz w:val="28"/>
                <w:szCs w:val="32"/>
              </w:rPr>
            </m:ctrlPr>
          </m:e>
          <m:sub>
            <m:r>
              <m:rPr/>
              <w:rPr>
                <w:rFonts w:hint="default" w:ascii="Cambria Math" w:hAnsi="Cambria Math"/>
                <w:sz w:val="28"/>
                <w:szCs w:val="32"/>
              </w:rPr>
              <m:t>k=1</m:t>
            </m:r>
            <m:ctrlPr>
              <w:rPr>
                <w:rFonts w:ascii="Cambria Math" w:hAnsi="Cambria Math"/>
                <w:sz w:val="28"/>
                <w:szCs w:val="32"/>
              </w:rPr>
            </m:ctrlPr>
          </m:sub>
          <m:sup>
            <m:r>
              <m:rPr/>
              <w:rPr>
                <w:rFonts w:hint="default" w:ascii="Cambria Math" w:hAnsi="Cambria Math"/>
                <w:sz w:val="28"/>
                <w:szCs w:val="32"/>
              </w:rPr>
              <m:t>4</m:t>
            </m:r>
            <m:ctrlPr>
              <w:rPr>
                <w:rFonts w:ascii="Cambria Math" w:hAnsi="Cambria Math"/>
                <w:sz w:val="28"/>
                <w:szCs w:val="32"/>
              </w:rPr>
            </m:ctrlPr>
          </m:sup>
        </m:sSubSup>
        <m:sSub>
          <m:sSubPr>
            <m:ctrlPr>
              <w:rPr>
                <w:rFonts w:hint="default" w:ascii="Cambria Math" w:hAnsi="Cambria Math"/>
                <w:sz w:val="28"/>
                <w:szCs w:val="32"/>
              </w:rPr>
            </m:ctrlPr>
          </m:sSubPr>
          <m:e>
            <m:r>
              <m:rPr/>
              <w:rPr>
                <w:rFonts w:hint="default" w:ascii="Cambria Math" w:hAnsi="Cambria Math"/>
                <w:sz w:val="28"/>
                <w:szCs w:val="32"/>
              </w:rPr>
              <m:t>α</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m:sty m:val="p"/>
          </m:rPr>
          <w:rPr>
            <w:rFonts w:hint="default" w:ascii="Cambria Math" w:hAnsi="Cambria Math"/>
            <w:sz w:val="28"/>
            <w:szCs w:val="32"/>
          </w:rPr>
          <m:t>·</m:t>
        </m:r>
        <m:sSub>
          <m:sSubPr>
            <m:ctrlPr>
              <w:rPr>
                <w:rFonts w:hint="default" w:ascii="Cambria Math" w:hAnsi="Cambria Math"/>
                <w:sz w:val="28"/>
                <w:szCs w:val="32"/>
              </w:rPr>
            </m:ctrlPr>
          </m:sSubPr>
          <m:e>
            <m:r>
              <m:rPr/>
              <w:rPr>
                <w:rFonts w:hint="default" w:ascii="Cambria Math" w:hAnsi="Cambria Math"/>
                <w:sz w:val="28"/>
                <w:szCs w:val="32"/>
              </w:rPr>
              <m:t>p</m:t>
            </m:r>
            <m:ctrlPr>
              <w:rPr>
                <w:rFonts w:ascii="Cambria Math" w:hAnsi="Cambria Math"/>
                <w:sz w:val="28"/>
                <w:szCs w:val="32"/>
              </w:rPr>
            </m:ctrlPr>
          </m:e>
          <m:sub>
            <m:r>
              <m:rPr/>
              <w:rPr>
                <w:rFonts w:hint="default" w:ascii="Cambria Math" w:hAnsi="Cambria Math"/>
                <w:sz w:val="28"/>
                <w:szCs w:val="32"/>
              </w:rPr>
              <m:t>k</m:t>
            </m:r>
            <m:ctrlPr>
              <w:rPr>
                <w:rFonts w:ascii="Cambria Math" w:hAnsi="Cambria Math"/>
                <w:sz w:val="28"/>
                <w:szCs w:val="32"/>
              </w:rPr>
            </m:ctrlPr>
          </m:sub>
        </m:sSub>
        <m:r>
          <m:rPr/>
          <w:rPr>
            <w:rFonts w:hint="default" w:ascii="Cambria Math" w:hAnsi="Cambria Math"/>
            <w:sz w:val="28"/>
            <w:szCs w:val="32"/>
          </w:rPr>
          <m:t>(c|F)</m:t>
        </m:r>
      </m:oMath>
      <w:r>
        <w:rPr>
          <w:rFonts w:ascii="Times New Roman" w:hAnsi="Times New Roman"/>
          <w:sz w:val="28"/>
          <w:szCs w:val="32"/>
        </w:rPr>
        <w:t xml:space="preserve">    </w:t>
      </w:r>
      <w:r>
        <w:rPr>
          <w:rFonts w:ascii="Times New Roman" w:hAnsi="Times New Roman"/>
          <w:sz w:val="21"/>
        </w:rPr>
        <w:t>(6)</w:t>
      </w:r>
    </w:p>
    <w:p w14:paraId="4EABA541">
      <w:pPr>
        <w:spacing w:line="360" w:lineRule="auto"/>
        <w:ind w:firstLine="420"/>
      </w:pPr>
      <w:r>
        <w:rPr>
          <w:rFonts w:ascii="宋体" w:hAnsi="宋体" w:eastAsia="宋体"/>
          <w:sz w:val="21"/>
        </w:rPr>
        <w:t>集成后验概率综合了所有基础分类器对各类别的判断，并按照可靠性对各分类器进行了差异化加权，有效降低了单一分类器失误对最终结果的影响。取集成后验概率最大的设备类别作为识别输出：</w:t>
      </w:r>
    </w:p>
    <w:p w14:paraId="3405D69C">
      <w:pPr>
        <w:spacing w:before="120" w:after="120"/>
        <w:jc w:val="center"/>
      </w:pPr>
      <m:oMath>
        <m:r>
          <m:rPr/>
          <w:rPr>
            <w:rFonts w:hint="default" w:ascii="Cambria Math" w:hAnsi="Cambria Math"/>
            <w:sz w:val="28"/>
            <w:szCs w:val="32"/>
          </w:rPr>
          <m:t>c</m:t>
        </m:r>
        <m:r>
          <m:rPr>
            <m:sty m:val="p"/>
          </m:rPr>
          <w:rPr>
            <w:rFonts w:hint="default" w:ascii="Cambria Math" w:hAnsi="Cambria Math"/>
            <w:sz w:val="28"/>
            <w:szCs w:val="32"/>
          </w:rPr>
          <m:t>̂</m:t>
        </m:r>
        <m:r>
          <m:rPr/>
          <w:rPr>
            <w:rFonts w:hint="default" w:ascii="Cambria Math" w:hAnsi="Cambria Math"/>
            <w:sz w:val="28"/>
            <w:szCs w:val="32"/>
          </w:rPr>
          <m:t>=argma</m:t>
        </m:r>
        <m:sSub>
          <m:sSubPr>
            <m:ctrlPr>
              <w:rPr>
                <w:rFonts w:hint="default" w:ascii="Cambria Math" w:hAnsi="Cambria Math"/>
                <w:sz w:val="28"/>
                <w:szCs w:val="32"/>
              </w:rPr>
            </m:ctrlPr>
          </m:sSubPr>
          <m:e>
            <m:r>
              <m:rPr/>
              <w:rPr>
                <w:rFonts w:hint="default" w:ascii="Cambria Math" w:hAnsi="Cambria Math"/>
                <w:sz w:val="28"/>
                <w:szCs w:val="32"/>
              </w:rPr>
              <m:t>x</m:t>
            </m:r>
            <m:ctrlPr>
              <w:rPr>
                <w:rFonts w:ascii="Cambria Math" w:hAnsi="Cambria Math"/>
                <w:sz w:val="28"/>
                <w:szCs w:val="32"/>
              </w:rPr>
            </m:ctrlPr>
          </m:e>
          <m:sub>
            <m:r>
              <m:rPr/>
              <w:rPr>
                <w:rFonts w:hint="default" w:ascii="Cambria Math" w:hAnsi="Cambria Math"/>
                <w:sz w:val="28"/>
                <w:szCs w:val="32"/>
              </w:rPr>
              <m:t>c∈1,...,M</m:t>
            </m:r>
            <m:ctrlPr>
              <w:rPr>
                <w:rFonts w:ascii="Cambria Math" w:hAnsi="Cambria Math"/>
                <w:sz w:val="28"/>
                <w:szCs w:val="32"/>
              </w:rPr>
            </m:ctrlPr>
          </m:sub>
        </m:sSub>
        <m:r>
          <m:rPr/>
          <w:rPr>
            <w:rFonts w:hint="default" w:ascii="Cambria Math" w:hAnsi="Cambria Math"/>
            <w:sz w:val="28"/>
            <w:szCs w:val="32"/>
          </w:rPr>
          <m:t>p</m:t>
        </m:r>
        <m:r>
          <m:rPr>
            <m:sty m:val="p"/>
          </m:rPr>
          <w:rPr>
            <w:rFonts w:hint="default" w:ascii="Cambria Math" w:hAnsi="Cambria Math"/>
            <w:sz w:val="28"/>
            <w:szCs w:val="32"/>
          </w:rPr>
          <m:t>̄</m:t>
        </m:r>
        <m:r>
          <m:rPr/>
          <w:rPr>
            <w:rFonts w:hint="default" w:ascii="Cambria Math" w:hAnsi="Cambria Math"/>
            <w:sz w:val="28"/>
            <w:szCs w:val="32"/>
          </w:rPr>
          <m:t>(c|F)</m:t>
        </m:r>
      </m:oMath>
      <w:r>
        <w:rPr>
          <w:rFonts w:ascii="Times New Roman" w:hAnsi="Times New Roman"/>
          <w:sz w:val="28"/>
          <w:szCs w:val="32"/>
        </w:rPr>
        <w:t xml:space="preserve">  </w:t>
      </w:r>
      <w:r>
        <w:rPr>
          <w:rFonts w:ascii="Times New Roman" w:hAnsi="Times New Roman"/>
          <w:sz w:val="21"/>
        </w:rPr>
        <w:t xml:space="preserve">  (7)</w:t>
      </w:r>
    </w:p>
    <w:p w14:paraId="58C27522">
      <w:pPr>
        <w:pStyle w:val="165"/>
      </w:pPr>
      <w:r>
        <w:t>4.2.4  基于置信度的未知设备拒识机制</w:t>
      </w:r>
    </w:p>
    <w:p w14:paraId="2A16E8BA">
      <w:pPr>
        <w:spacing w:line="360" w:lineRule="auto"/>
        <w:ind w:firstLine="420"/>
      </w:pPr>
      <w:r>
        <w:rPr>
          <w:rFonts w:ascii="宋体" w:hAnsi="宋体" w:eastAsia="宋体"/>
          <w:sz w:val="21"/>
        </w:rPr>
        <w:t>在实际部署中，接收端可能收到未注册设备的信号，系统需要具备对未知设备的拒识能力。为此，在输出设备身份之前，对集成后验概率进行双阈值拒识检验。定义类间置信差：</w:t>
      </w:r>
    </w:p>
    <w:p w14:paraId="4007982F">
      <w:pPr>
        <w:spacing w:before="120" w:after="120"/>
        <w:jc w:val="center"/>
      </w:pPr>
      <m:oMath>
        <m:r>
          <m:rPr>
            <m:sty m:val="p"/>
          </m:rPr>
          <w:rPr>
            <w:rFonts w:hint="default" w:ascii="Cambria Math" w:hAnsi="Cambria Math"/>
            <w:sz w:val="28"/>
            <w:szCs w:val="32"/>
          </w:rPr>
          <m:t>Δ</m:t>
        </m:r>
        <m:r>
          <m:rPr/>
          <w:rPr>
            <w:rFonts w:hint="default" w:ascii="Cambria Math" w:hAnsi="Cambria Math"/>
            <w:sz w:val="28"/>
            <w:szCs w:val="32"/>
          </w:rPr>
          <m:t>p=p</m:t>
        </m:r>
        <m:r>
          <m:rPr>
            <m:sty m:val="p"/>
          </m:rPr>
          <w:rPr>
            <w:rFonts w:hint="default" w:ascii="Cambria Math" w:hAnsi="Cambria Math"/>
            <w:sz w:val="28"/>
            <w:szCs w:val="32"/>
          </w:rPr>
          <m:t>̄</m:t>
        </m:r>
        <m:r>
          <m:rPr/>
          <w:rPr>
            <w:rFonts w:hint="default" w:ascii="Cambria Math" w:hAnsi="Cambria Math"/>
            <w:sz w:val="28"/>
            <w:szCs w:val="32"/>
          </w:rPr>
          <m:t>(c</m:t>
        </m:r>
        <m:r>
          <m:rPr>
            <m:sty m:val="p"/>
          </m:rPr>
          <w:rPr>
            <w:rFonts w:hint="default" w:ascii="Cambria Math" w:hAnsi="Cambria Math"/>
            <w:sz w:val="28"/>
            <w:szCs w:val="32"/>
          </w:rPr>
          <m:t>̂</m:t>
        </m:r>
        <m:r>
          <m:rPr/>
          <w:rPr>
            <w:rFonts w:hint="default" w:ascii="Cambria Math" w:hAnsi="Cambria Math"/>
            <w:sz w:val="28"/>
            <w:szCs w:val="32"/>
          </w:rPr>
          <m:t>|F)−ma</m:t>
        </m:r>
        <m:sSub>
          <m:sSubPr>
            <m:ctrlPr>
              <w:rPr>
                <w:rFonts w:hint="default" w:ascii="Cambria Math" w:hAnsi="Cambria Math"/>
                <w:sz w:val="28"/>
                <w:szCs w:val="32"/>
              </w:rPr>
            </m:ctrlPr>
          </m:sSubPr>
          <m:e>
            <m:r>
              <m:rPr/>
              <w:rPr>
                <w:rFonts w:hint="default" w:ascii="Cambria Math" w:hAnsi="Cambria Math"/>
                <w:sz w:val="28"/>
                <w:szCs w:val="32"/>
              </w:rPr>
              <m:t>x</m:t>
            </m:r>
            <m:ctrlPr>
              <w:rPr>
                <w:rFonts w:ascii="Cambria Math" w:hAnsi="Cambria Math"/>
                <w:sz w:val="28"/>
                <w:szCs w:val="32"/>
              </w:rPr>
            </m:ctrlPr>
          </m:e>
          <m:sub>
            <m:r>
              <m:rPr/>
              <w:rPr>
                <w:rFonts w:hint="default" w:ascii="Cambria Math" w:hAnsi="Cambria Math"/>
                <w:sz w:val="28"/>
                <w:szCs w:val="32"/>
              </w:rPr>
              <m:t>c≠c</m:t>
            </m:r>
            <m:r>
              <m:rPr>
                <m:sty m:val="p"/>
              </m:rPr>
              <w:rPr>
                <w:rFonts w:hint="default" w:ascii="Cambria Math" w:hAnsi="Cambria Math"/>
                <w:sz w:val="28"/>
                <w:szCs w:val="32"/>
              </w:rPr>
              <m:t>̂</m:t>
            </m:r>
            <m:ctrlPr>
              <w:rPr>
                <w:rFonts w:ascii="Cambria Math" w:hAnsi="Cambria Math"/>
                <w:sz w:val="28"/>
                <w:szCs w:val="32"/>
              </w:rPr>
            </m:ctrlPr>
          </m:sub>
        </m:sSub>
        <m:r>
          <m:rPr/>
          <w:rPr>
            <w:rFonts w:hint="default" w:ascii="Cambria Math" w:hAnsi="Cambria Math"/>
            <w:sz w:val="28"/>
            <w:szCs w:val="32"/>
          </w:rPr>
          <m:t>p</m:t>
        </m:r>
        <m:r>
          <m:rPr>
            <m:sty m:val="p"/>
          </m:rPr>
          <w:rPr>
            <w:rFonts w:hint="default" w:ascii="Cambria Math" w:hAnsi="Cambria Math"/>
            <w:sz w:val="28"/>
            <w:szCs w:val="32"/>
          </w:rPr>
          <m:t>̄</m:t>
        </m:r>
        <m:r>
          <m:rPr/>
          <w:rPr>
            <w:rFonts w:hint="default" w:ascii="Cambria Math" w:hAnsi="Cambria Math"/>
            <w:sz w:val="28"/>
            <w:szCs w:val="32"/>
          </w:rPr>
          <m:t>(c|F)</m:t>
        </m:r>
      </m:oMath>
      <w:r>
        <w:rPr>
          <w:rFonts w:ascii="Times New Roman" w:hAnsi="Times New Roman"/>
          <w:sz w:val="28"/>
          <w:szCs w:val="32"/>
        </w:rPr>
        <w:t xml:space="preserve">   </w:t>
      </w:r>
      <w:r>
        <w:rPr>
          <w:rFonts w:ascii="Times New Roman" w:hAnsi="Times New Roman"/>
          <w:sz w:val="21"/>
        </w:rPr>
        <w:t xml:space="preserve"> (8)</w:t>
      </w:r>
    </w:p>
    <w:p w14:paraId="3F87ED15">
      <w:pPr>
        <w:spacing w:line="360" w:lineRule="auto"/>
        <w:ind w:firstLine="420"/>
        <w:rPr>
          <w:rFonts w:ascii="宋体" w:hAnsi="宋体" w:eastAsia="宋体"/>
          <w:sz w:val="21"/>
        </w:rPr>
      </w:pPr>
      <w:r>
        <w:rPr>
          <w:rFonts w:ascii="宋体" w:hAnsi="宋体" w:eastAsia="宋体"/>
          <w:sz w:val="21"/>
        </w:rPr>
        <w:t>类间置信差Δp度量最优类别相对于次优类别的置信优势，反映识别结果的区分度。拒识判决规则如下：若满足以下任一条件，则将当前样本判定为未知设备，拒绝输出身份标识：（i）绝对置信条件不满足：最大集成后验概率小于预设绝对门限τ₁；（ii）相对置信条件不满足：类间置信差Δp小于预设相对门限τ₂。仅当上述两个条件均满足时，系统输出设备身份标识。双阈值机制从绝对置信度与类间区分度两个维度进行联合判断，相比单一阈值方案，对未知设备的拒识能力更强。</w:t>
      </w:r>
    </w:p>
    <w:p w14:paraId="22971172">
      <w:pPr>
        <w:spacing w:line="360" w:lineRule="auto"/>
        <w:rPr>
          <w:rFonts w:hint="eastAsia" w:ascii="宋体" w:hAnsi="宋体" w:eastAsia="宋体"/>
          <w:sz w:val="21"/>
          <w:lang w:eastAsia="zh-CN"/>
        </w:rPr>
      </w:pPr>
      <w:bookmarkStart w:id="0" w:name="_GoBack"/>
      <w:bookmarkEnd w:id="0"/>
      <w:r>
        <w:rPr>
          <w:rFonts w:hint="eastAsia" w:ascii="宋体" w:hAnsi="宋体" w:eastAsia="宋体"/>
          <w:sz w:val="21"/>
          <w:lang w:eastAsia="zh-CN"/>
        </w:rPr>
        <w:drawing>
          <wp:inline distT="0" distB="0" distL="114300" distR="114300">
            <wp:extent cx="5485130" cy="2992120"/>
            <wp:effectExtent l="0" t="0" r="1270" b="5080"/>
            <wp:docPr id="4" name="图片 4" descr="Gemini_Generated_Image_13auu413auu413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13auu413auu413au"/>
                    <pic:cNvPicPr>
                      <a:picLocks noChangeAspect="1"/>
                    </pic:cNvPicPr>
                  </pic:nvPicPr>
                  <pic:blipFill>
                    <a:blip r:embed="rId7"/>
                    <a:stretch>
                      <a:fillRect/>
                    </a:stretch>
                  </pic:blipFill>
                  <pic:spPr>
                    <a:xfrm>
                      <a:off x="0" y="0"/>
                      <a:ext cx="5485130" cy="2992120"/>
                    </a:xfrm>
                    <a:prstGeom prst="rect">
                      <a:avLst/>
                    </a:prstGeom>
                  </pic:spPr>
                </pic:pic>
              </a:graphicData>
            </a:graphic>
          </wp:inline>
        </w:drawing>
      </w:r>
    </w:p>
    <w:p w14:paraId="7ACCD3B3">
      <w:pPr>
        <w:pStyle w:val="165"/>
      </w:pPr>
      <w:r>
        <w:t>4.2.5  实验结果与分析</w:t>
      </w:r>
    </w:p>
    <w:p w14:paraId="2C0E98DA">
      <w:pPr>
        <w:spacing w:line="360" w:lineRule="auto"/>
        <w:ind w:firstLine="420"/>
      </w:pPr>
      <w:r>
        <w:rPr>
          <w:rFonts w:ascii="宋体" w:hAnsi="宋体" w:eastAsia="宋体"/>
          <w:sz w:val="21"/>
        </w:rPr>
        <w:t>为验证所提方案的有效性，本文在包含30台LoRa终端设备的实测数据集上进行了实验验证。数据采集采用USRP N210软件无线电平台，中心频率433 MHz，采样率5 MHz，带宽125 kHz。训练集包含6434个连续双帧样本对，每个样本为12维融合指纹特征向量（8维归一化相位差 + 4维双帧CFO特征）。分别在同天测试、跨天测试两种条件下评估识别性能。</w:t>
      </w:r>
    </w:p>
    <w:p w14:paraId="34F023D0">
      <w:pPr>
        <w:spacing w:line="360" w:lineRule="auto"/>
        <w:ind w:firstLine="420"/>
      </w:pPr>
      <w:r>
        <w:rPr>
          <w:rFonts w:ascii="宋体" w:hAnsi="宋体" w:eastAsia="宋体"/>
          <w:sz w:val="21"/>
        </w:rPr>
        <w:t>各分类器及集成方案在不同测试条件下的识别准确率如表</w:t>
      </w:r>
      <w:r>
        <w:rPr>
          <w:rFonts w:hint="eastAsia"/>
          <w:sz w:val="21"/>
          <w:lang w:val="en-US" w:eastAsia="zh-CN"/>
        </w:rPr>
        <w:t>1</w:t>
      </w:r>
      <w:r>
        <w:rPr>
          <w:rFonts w:ascii="宋体" w:hAnsi="宋体" w:eastAsia="宋体"/>
          <w:sz w:val="21"/>
        </w:rPr>
        <w:t>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796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47A818">
            <w:pPr>
              <w:jc w:val="center"/>
            </w:pPr>
            <w:r>
              <w:rPr>
                <w:rFonts w:ascii="宋体" w:hAnsi="宋体" w:eastAsia="宋体"/>
                <w:b/>
                <w:sz w:val="18"/>
              </w:rPr>
              <w:t>测试条件</w:t>
            </w:r>
          </w:p>
        </w:tc>
        <w:tc>
          <w:tcPr>
            <w:tcW w:w="1440" w:type="dxa"/>
          </w:tcPr>
          <w:p w14:paraId="2D20108E">
            <w:pPr>
              <w:jc w:val="center"/>
            </w:pPr>
            <w:r>
              <w:rPr>
                <w:rFonts w:ascii="宋体" w:hAnsi="宋体" w:eastAsia="宋体"/>
                <w:b/>
                <w:sz w:val="18"/>
              </w:rPr>
              <w:t>SVM</w:t>
            </w:r>
          </w:p>
        </w:tc>
        <w:tc>
          <w:tcPr>
            <w:tcW w:w="1440" w:type="dxa"/>
          </w:tcPr>
          <w:p w14:paraId="234EB2F1">
            <w:pPr>
              <w:jc w:val="center"/>
            </w:pPr>
            <w:r>
              <w:rPr>
                <w:rFonts w:ascii="宋体" w:hAnsi="宋体" w:eastAsia="宋体"/>
                <w:b/>
                <w:sz w:val="18"/>
              </w:rPr>
              <w:t>RF</w:t>
            </w:r>
          </w:p>
        </w:tc>
        <w:tc>
          <w:tcPr>
            <w:tcW w:w="1440" w:type="dxa"/>
          </w:tcPr>
          <w:p w14:paraId="38042136">
            <w:pPr>
              <w:jc w:val="center"/>
            </w:pPr>
            <w:r>
              <w:rPr>
                <w:rFonts w:ascii="宋体" w:hAnsi="宋体" w:eastAsia="宋体"/>
                <w:b/>
                <w:sz w:val="18"/>
              </w:rPr>
              <w:t>LDA</w:t>
            </w:r>
          </w:p>
        </w:tc>
        <w:tc>
          <w:tcPr>
            <w:tcW w:w="1440" w:type="dxa"/>
          </w:tcPr>
          <w:p w14:paraId="7EB3A9B5">
            <w:pPr>
              <w:jc w:val="center"/>
            </w:pPr>
            <w:r>
              <w:rPr>
                <w:rFonts w:ascii="宋体" w:hAnsi="宋体" w:eastAsia="宋体"/>
                <w:b/>
                <w:sz w:val="18"/>
              </w:rPr>
              <w:t>KNN</w:t>
            </w:r>
          </w:p>
        </w:tc>
        <w:tc>
          <w:tcPr>
            <w:tcW w:w="1440" w:type="dxa"/>
          </w:tcPr>
          <w:p w14:paraId="0251BDB3">
            <w:pPr>
              <w:jc w:val="center"/>
            </w:pPr>
            <w:r>
              <w:rPr>
                <w:rFonts w:ascii="宋体" w:hAnsi="宋体" w:eastAsia="宋体"/>
                <w:b/>
                <w:sz w:val="18"/>
              </w:rPr>
              <w:t>集成方案</w:t>
            </w:r>
          </w:p>
        </w:tc>
      </w:tr>
      <w:tr w14:paraId="6B61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71AB3A2">
            <w:pPr>
              <w:jc w:val="center"/>
            </w:pPr>
            <w:r>
              <w:rPr>
                <w:rFonts w:ascii="宋体" w:hAnsi="宋体" w:eastAsia="宋体"/>
                <w:sz w:val="18"/>
              </w:rPr>
              <w:t>同天测试</w:t>
            </w:r>
          </w:p>
        </w:tc>
        <w:tc>
          <w:tcPr>
            <w:tcW w:w="1440" w:type="dxa"/>
          </w:tcPr>
          <w:p w14:paraId="175539CC">
            <w:pPr>
              <w:jc w:val="center"/>
            </w:pPr>
            <w:r>
              <w:rPr>
                <w:rFonts w:ascii="Times New Roman" w:hAnsi="Times New Roman" w:eastAsia="Times New Roman"/>
                <w:sz w:val="18"/>
              </w:rPr>
              <w:t>85.17%</w:t>
            </w:r>
          </w:p>
        </w:tc>
        <w:tc>
          <w:tcPr>
            <w:tcW w:w="1440" w:type="dxa"/>
          </w:tcPr>
          <w:p w14:paraId="50143EC2">
            <w:pPr>
              <w:jc w:val="center"/>
            </w:pPr>
            <w:r>
              <w:rPr>
                <w:rFonts w:ascii="Times New Roman" w:hAnsi="Times New Roman" w:eastAsia="Times New Roman"/>
                <w:sz w:val="18"/>
              </w:rPr>
              <w:t>99.00%</w:t>
            </w:r>
          </w:p>
        </w:tc>
        <w:tc>
          <w:tcPr>
            <w:tcW w:w="1440" w:type="dxa"/>
          </w:tcPr>
          <w:p w14:paraId="2D0F637C">
            <w:pPr>
              <w:jc w:val="center"/>
            </w:pPr>
            <w:r>
              <w:rPr>
                <w:rFonts w:ascii="Times New Roman" w:hAnsi="Times New Roman" w:eastAsia="Times New Roman"/>
                <w:sz w:val="18"/>
              </w:rPr>
              <w:t>99.13%</w:t>
            </w:r>
          </w:p>
        </w:tc>
        <w:tc>
          <w:tcPr>
            <w:tcW w:w="1440" w:type="dxa"/>
          </w:tcPr>
          <w:p w14:paraId="430B3B23">
            <w:pPr>
              <w:jc w:val="center"/>
            </w:pPr>
            <w:r>
              <w:rPr>
                <w:rFonts w:ascii="Times New Roman" w:hAnsi="Times New Roman" w:eastAsia="Times New Roman"/>
                <w:sz w:val="18"/>
              </w:rPr>
              <w:t>82.45%</w:t>
            </w:r>
          </w:p>
        </w:tc>
        <w:tc>
          <w:tcPr>
            <w:tcW w:w="1440" w:type="dxa"/>
          </w:tcPr>
          <w:p w14:paraId="7807C80F">
            <w:pPr>
              <w:jc w:val="center"/>
            </w:pPr>
            <w:r>
              <w:rPr>
                <w:rFonts w:ascii="Times New Roman" w:hAnsi="Times New Roman" w:eastAsia="Times New Roman"/>
                <w:sz w:val="18"/>
              </w:rPr>
              <w:t>99.07%</w:t>
            </w:r>
          </w:p>
        </w:tc>
      </w:tr>
      <w:tr w14:paraId="6D5F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F394E74">
            <w:pPr>
              <w:jc w:val="center"/>
            </w:pPr>
            <w:r>
              <w:rPr>
                <w:rFonts w:ascii="宋体" w:hAnsi="宋体" w:eastAsia="宋体"/>
                <w:sz w:val="18"/>
              </w:rPr>
              <w:t>跨天测试</w:t>
            </w:r>
          </w:p>
        </w:tc>
        <w:tc>
          <w:tcPr>
            <w:tcW w:w="1440" w:type="dxa"/>
          </w:tcPr>
          <w:p w14:paraId="241A6D80">
            <w:pPr>
              <w:jc w:val="center"/>
            </w:pPr>
            <w:r>
              <w:rPr>
                <w:rFonts w:ascii="Times New Roman" w:hAnsi="Times New Roman" w:eastAsia="Times New Roman"/>
                <w:sz w:val="18"/>
              </w:rPr>
              <w:t>79.44%</w:t>
            </w:r>
          </w:p>
        </w:tc>
        <w:tc>
          <w:tcPr>
            <w:tcW w:w="1440" w:type="dxa"/>
          </w:tcPr>
          <w:p w14:paraId="2D675839">
            <w:pPr>
              <w:jc w:val="center"/>
            </w:pPr>
            <w:r>
              <w:rPr>
                <w:rFonts w:ascii="Times New Roman" w:hAnsi="Times New Roman" w:eastAsia="Times New Roman"/>
                <w:sz w:val="18"/>
              </w:rPr>
              <w:t>97.63%</w:t>
            </w:r>
          </w:p>
        </w:tc>
        <w:tc>
          <w:tcPr>
            <w:tcW w:w="1440" w:type="dxa"/>
          </w:tcPr>
          <w:p w14:paraId="7848E06F">
            <w:pPr>
              <w:jc w:val="center"/>
            </w:pPr>
            <w:r>
              <w:rPr>
                <w:rFonts w:ascii="Times New Roman" w:hAnsi="Times New Roman" w:eastAsia="Times New Roman"/>
                <w:sz w:val="18"/>
              </w:rPr>
              <w:t>97.41%</w:t>
            </w:r>
          </w:p>
        </w:tc>
        <w:tc>
          <w:tcPr>
            <w:tcW w:w="1440" w:type="dxa"/>
          </w:tcPr>
          <w:p w14:paraId="1D117D47">
            <w:pPr>
              <w:jc w:val="center"/>
            </w:pPr>
            <w:r>
              <w:rPr>
                <w:rFonts w:ascii="Times New Roman" w:hAnsi="Times New Roman" w:eastAsia="Times New Roman"/>
                <w:sz w:val="18"/>
              </w:rPr>
              <w:t>76.23%</w:t>
            </w:r>
          </w:p>
        </w:tc>
        <w:tc>
          <w:tcPr>
            <w:tcW w:w="1440" w:type="dxa"/>
          </w:tcPr>
          <w:p w14:paraId="7E81AF0C">
            <w:pPr>
              <w:jc w:val="center"/>
            </w:pPr>
            <w:r>
              <w:rPr>
                <w:rFonts w:ascii="Times New Roman" w:hAnsi="Times New Roman" w:eastAsia="Times New Roman"/>
                <w:sz w:val="18"/>
              </w:rPr>
              <w:t>97.68%</w:t>
            </w:r>
          </w:p>
        </w:tc>
      </w:tr>
      <w:tr w14:paraId="67EF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6E9A096">
            <w:pPr>
              <w:jc w:val="center"/>
            </w:pPr>
            <w:r>
              <w:rPr>
                <w:rFonts w:ascii="宋体" w:hAnsi="宋体" w:eastAsia="宋体"/>
                <w:sz w:val="18"/>
              </w:rPr>
              <w:t>拒识率</w:t>
            </w:r>
          </w:p>
        </w:tc>
        <w:tc>
          <w:tcPr>
            <w:tcW w:w="1440" w:type="dxa"/>
          </w:tcPr>
          <w:p w14:paraId="587A7000">
            <w:pPr>
              <w:jc w:val="center"/>
            </w:pPr>
            <w:r>
              <w:rPr>
                <w:rFonts w:ascii="Times New Roman" w:hAnsi="Times New Roman"/>
                <w:sz w:val="18"/>
              </w:rPr>
              <w:t>—</w:t>
            </w:r>
          </w:p>
        </w:tc>
        <w:tc>
          <w:tcPr>
            <w:tcW w:w="1440" w:type="dxa"/>
          </w:tcPr>
          <w:p w14:paraId="638A3CB6">
            <w:pPr>
              <w:jc w:val="center"/>
            </w:pPr>
            <w:r>
              <w:rPr>
                <w:rFonts w:ascii="Times New Roman" w:hAnsi="Times New Roman"/>
                <w:sz w:val="18"/>
              </w:rPr>
              <w:t>—</w:t>
            </w:r>
          </w:p>
        </w:tc>
        <w:tc>
          <w:tcPr>
            <w:tcW w:w="1440" w:type="dxa"/>
          </w:tcPr>
          <w:p w14:paraId="7574E7FF">
            <w:pPr>
              <w:jc w:val="center"/>
            </w:pPr>
            <w:r>
              <w:rPr>
                <w:rFonts w:ascii="Times New Roman" w:hAnsi="Times New Roman"/>
                <w:sz w:val="18"/>
              </w:rPr>
              <w:t>—</w:t>
            </w:r>
          </w:p>
        </w:tc>
        <w:tc>
          <w:tcPr>
            <w:tcW w:w="1440" w:type="dxa"/>
          </w:tcPr>
          <w:p w14:paraId="46B3A7DF">
            <w:pPr>
              <w:jc w:val="center"/>
            </w:pPr>
            <w:r>
              <w:rPr>
                <w:rFonts w:ascii="Times New Roman" w:hAnsi="Times New Roman"/>
                <w:sz w:val="18"/>
              </w:rPr>
              <w:t>—</w:t>
            </w:r>
          </w:p>
        </w:tc>
        <w:tc>
          <w:tcPr>
            <w:tcW w:w="1440" w:type="dxa"/>
          </w:tcPr>
          <w:p w14:paraId="7B19A8FE">
            <w:pPr>
              <w:jc w:val="center"/>
            </w:pPr>
            <w:r>
              <w:rPr>
                <w:rFonts w:ascii="Times New Roman" w:hAnsi="Times New Roman"/>
                <w:sz w:val="18"/>
              </w:rPr>
              <w:t>0.34% / 0.68%</w:t>
            </w:r>
          </w:p>
        </w:tc>
      </w:tr>
    </w:tbl>
    <w:p w14:paraId="1C9A28F8">
      <w:pPr>
        <w:spacing w:after="120"/>
        <w:jc w:val="center"/>
      </w:pPr>
      <w:r>
        <w:rPr>
          <w:rFonts w:ascii="宋体" w:hAnsi="宋体" w:eastAsia="宋体"/>
          <w:sz w:val="18"/>
        </w:rPr>
        <w:t>表</w:t>
      </w:r>
      <w:r>
        <w:rPr>
          <w:rFonts w:hint="eastAsia"/>
          <w:sz w:val="18"/>
          <w:lang w:val="en-US" w:eastAsia="zh-CN"/>
        </w:rPr>
        <w:t>1</w:t>
      </w:r>
      <w:r>
        <w:rPr>
          <w:rFonts w:ascii="宋体" w:hAnsi="宋体" w:eastAsia="宋体"/>
          <w:sz w:val="18"/>
        </w:rPr>
        <w:t xml:space="preserve">  不同测试条件下各分类器识别准确率</w:t>
      </w:r>
    </w:p>
    <w:p w14:paraId="6BE3C11E">
      <w:pPr>
        <w:spacing w:line="360" w:lineRule="auto"/>
        <w:ind w:firstLine="420"/>
      </w:pPr>
      <w:r>
        <w:rPr>
          <w:rFonts w:ascii="宋体" w:hAnsi="宋体" w:eastAsia="宋体"/>
          <w:sz w:val="21"/>
        </w:rPr>
        <w:t>从表X可以看出，在同天测试条件下，集成方案的识别准确率达到99.07%，优于所有单一分类器。其中RF和LDA表现最为突出（分别为99.00%和99.13%），验证了双帧CFO特征在同一信道环境下的高区分度。SVM和KNN准确率相对较低，但通过集成融合后整体性能得到显著提升。</w:t>
      </w:r>
    </w:p>
    <w:p w14:paraId="01F0301A">
      <w:pPr>
        <w:spacing w:line="360" w:lineRule="auto"/>
        <w:ind w:firstLine="420"/>
      </w:pPr>
      <w:r>
        <w:rPr>
          <w:rFonts w:ascii="宋体" w:hAnsi="宋体" w:eastAsia="宋体"/>
          <w:sz w:val="21"/>
        </w:rPr>
        <w:t>在跨天测试条件下，由于采集环境的时变特性导致信道条件变化，各分类器准确率均有所下降，但集成方案仍保持97.68%的识别准确率，说明双帧CFO均值特征有效抑制了随机噪声干扰，差分特征所刻画的设备频率漂移特性具有良好的跨时间稳定性。同时，双阈值拒识机制在两种条件下的拒识率分别为0.34%和0.68%，在保证极低误拒率的同时实现了对低置信样本的有效筛除。</w:t>
      </w:r>
    </w:p>
    <w:p w14:paraId="03E6A55A">
      <w:pPr>
        <w:spacing w:line="360" w:lineRule="auto"/>
        <w:ind w:firstLine="420"/>
      </w:pPr>
      <w:r>
        <w:rPr>
          <w:rFonts w:ascii="宋体" w:hAnsi="宋体" w:eastAsia="宋体"/>
          <w:sz w:val="21"/>
        </w:rPr>
        <w:t>图</w:t>
      </w:r>
      <w:r>
        <w:rPr>
          <w:rFonts w:hint="eastAsia"/>
          <w:sz w:val="21"/>
          <w:lang w:val="en-US" w:eastAsia="zh-CN"/>
        </w:rPr>
        <w:t>1</w:t>
      </w:r>
      <w:r>
        <w:rPr>
          <w:rFonts w:ascii="宋体" w:hAnsi="宋体" w:eastAsia="宋体"/>
          <w:sz w:val="21"/>
        </w:rPr>
        <w:t>展示了30台设备在同天测试与跨天测试条件下的归一化混淆矩阵。可以观察到，对角线元素占主导地位，表明绝大多数设备均能被正确识别。在同天条件下，前10台设备（各含500个训练样本）的识别率接近100%；部分小样本设备（如device11、device26等训练样本不足50个）在跨天条件下出现少量误判，说明训练样本量对跨环境泛化能力有一定影响。</w:t>
      </w:r>
    </w:p>
    <w:p w14:paraId="4E794274">
      <w:pPr>
        <w:jc w:val="center"/>
      </w:pPr>
      <w:r>
        <w:drawing>
          <wp:inline distT="0" distB="0" distL="114300" distR="114300">
            <wp:extent cx="5399405" cy="2588895"/>
            <wp:effectExtent l="0" t="0" r="1079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2588914"/>
                    </a:xfrm>
                    <a:prstGeom prst="rect">
                      <a:avLst/>
                    </a:prstGeom>
                  </pic:spPr>
                </pic:pic>
              </a:graphicData>
            </a:graphic>
          </wp:inline>
        </w:drawing>
      </w:r>
    </w:p>
    <w:p w14:paraId="3698636B">
      <w:pPr>
        <w:spacing w:after="120"/>
        <w:jc w:val="center"/>
      </w:pPr>
      <w:r>
        <w:rPr>
          <w:rFonts w:ascii="宋体" w:hAnsi="宋体" w:eastAsia="宋体"/>
          <w:sz w:val="18"/>
        </w:rPr>
        <w:t>图</w:t>
      </w:r>
      <w:r>
        <w:rPr>
          <w:rFonts w:hint="eastAsia"/>
          <w:sz w:val="18"/>
          <w:lang w:val="en-US" w:eastAsia="zh-CN"/>
        </w:rPr>
        <w:t>1</w:t>
      </w:r>
      <w:r>
        <w:rPr>
          <w:rFonts w:ascii="宋体" w:hAnsi="宋体" w:eastAsia="宋体"/>
          <w:sz w:val="18"/>
        </w:rPr>
        <w:t xml:space="preserve">  30台设备集成学习混淆矩阵（左：同天测试；右：跨天测试）</w:t>
      </w:r>
    </w:p>
    <w:p w14:paraId="00E92D0B">
      <w:pPr>
        <w:spacing w:line="360" w:lineRule="auto"/>
        <w:ind w:firstLine="420"/>
      </w:pPr>
      <w:r>
        <w:rPr>
          <w:rFonts w:ascii="宋体" w:hAnsi="宋体" w:eastAsia="宋体"/>
          <w:sz w:val="21"/>
        </w:rPr>
        <w:t>综上所述，本方案通过四种异构分类器的集成融合，结合静态权重与动态置信度联合加权机制，在30台LoRa终端设备的识别任务中取得了同天99.07%、跨天97.68%的识别准确率。实验结果表明，融合双帧载波频偏特征的集成学习方法能够有效提取LoRa设备的射频指纹特征，在保证高识别精度的同时兼具良好的跨时间鲁棒性。</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823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yH2"/>
    <w:basedOn w:val="1"/>
    <w:uiPriority w:val="0"/>
    <w:pPr>
      <w:spacing w:before="240" w:after="120" w:line="360" w:lineRule="auto"/>
    </w:pPr>
    <w:rPr>
      <w:rFonts w:ascii="黑体" w:hAnsi="黑体" w:eastAsia="黑体"/>
      <w:b/>
      <w:color w:val="000000"/>
      <w:sz w:val="28"/>
    </w:rPr>
  </w:style>
  <w:style w:type="paragraph" w:customStyle="1" w:styleId="165">
    <w:name w:val="MyH3"/>
    <w:basedOn w:val="1"/>
    <w:uiPriority w:val="0"/>
    <w:pPr>
      <w:spacing w:before="240" w:after="120" w:line="360" w:lineRule="auto"/>
    </w:pPr>
    <w:rPr>
      <w:rFonts w:ascii="黑体" w:hAnsi="黑体" w:eastAsia="黑体"/>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2341</Words>
  <Characters>2764</Characters>
  <Lines>0</Lines>
  <Paragraphs>0</Paragraphs>
  <TotalTime>21</TotalTime>
  <ScaleCrop>false</ScaleCrop>
  <LinksUpToDate>false</LinksUpToDate>
  <CharactersWithSpaces>2870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赵子辰</cp:lastModifiedBy>
  <dcterms:modified xsi:type="dcterms:W3CDTF">2026-03-29T15:08:59Z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eyJoZGlkIjoiOGU3OTBmZjk0ZDc0MWNmZTViMTQ1YTlmOGVmMjlkNWMiLCJ1c2VySWQiOiIxNTM2NDY5NzI0In0=</vt:lpwstr>
  </property>
  <property fmtid="{D5CDD505-2E9C-101B-9397-08002B2CF9AE}" pid="3" name="KSOProductBuildVer">
    <vt:lpwstr>2052-12.1.0.23542</vt:lpwstr>
  </property>
  <property fmtid="{D5CDD505-2E9C-101B-9397-08002B2CF9AE}" pid="4" name="ICV">
    <vt:lpwstr>E38867CFB3E4492CBA21317079507BB0_12</vt:lpwstr>
  </property>
</Properties>
</file>