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DB0AF">
      <w:pPr>
        <w:spacing w:after="320"/>
        <w:jc w:val="center"/>
      </w:pPr>
      <w:r>
        <w:rPr>
          <w:rFonts w:ascii="黑体" w:hAnsi="黑体" w:eastAsia="黑体"/>
          <w:b/>
          <w:sz w:val="36"/>
        </w:rPr>
        <w:t>拒识率对比实验结果</w:t>
      </w:r>
    </w:p>
    <w:p w14:paraId="6ED81CD5">
      <w:pPr>
        <w:pStyle w:val="3"/>
      </w:pPr>
      <w:r>
        <w:rPr>
          <w:rFonts w:ascii="黑体" w:hAnsi="黑体" w:eastAsia="黑体"/>
        </w:rPr>
        <w:t>一、实验设计</w:t>
      </w:r>
    </w:p>
    <w:p w14:paraId="7EC1C8A4">
      <w:pPr>
        <w:spacing w:after="120" w:line="440" w:lineRule="exact"/>
        <w:jc w:val="left"/>
      </w:pPr>
      <w:r>
        <w:rPr>
          <w:rFonts w:ascii="宋体" w:hAnsi="宋体" w:eastAsia="宋体"/>
          <w:b w:val="0"/>
          <w:sz w:val="24"/>
        </w:rPr>
        <w:t>本实验旨在评估集成学习框架的双阈值拒识机制对已知设备和未知设备的区分能力。实验设计三个对比场景：</w:t>
      </w:r>
    </w:p>
    <w:p w14:paraId="3A484016">
      <w:pPr>
        <w:spacing w:after="120" w:line="440" w:lineRule="exact"/>
        <w:jc w:val="left"/>
      </w:pPr>
      <w:r>
        <w:rPr>
          <w:rFonts w:ascii="宋体" w:hAnsi="宋体" w:eastAsia="宋体"/>
          <w:b w:val="0"/>
          <w:sz w:val="24"/>
        </w:rPr>
        <w:t>场景A（已知设备）：以30台设备（数据集C，Heltec CubeCell, SX1262芯片）训练集成模型，用同源30台设备的同天/跨天测试集进行测试。已知设备的拒识率应尽可能低。</w:t>
      </w:r>
    </w:p>
    <w:p w14:paraId="710C7833">
      <w:pPr>
        <w:spacing w:after="120" w:line="440" w:lineRule="exact"/>
        <w:jc w:val="left"/>
      </w:pPr>
      <w:r>
        <w:rPr>
          <w:rFonts w:ascii="宋体" w:hAnsi="宋体" w:eastAsia="宋体"/>
          <w:b w:val="0"/>
          <w:sz w:val="24"/>
        </w:rPr>
        <w:t>场景B（未知设备-8台）：相同30台设备模型，用8台不同设备（数据集A，Heltec LoRa32, SX1262芯片）测试。这8台设备从未出现在训练集中，与训练设备芯片相同（SX1262）但型号不同。</w:t>
      </w:r>
    </w:p>
    <w:p w14:paraId="7A64F333">
      <w:pPr>
        <w:spacing w:after="120" w:line="440" w:lineRule="exact"/>
        <w:jc w:val="left"/>
      </w:pPr>
      <w:r>
        <w:rPr>
          <w:rFonts w:ascii="宋体" w:hAnsi="宋体" w:eastAsia="宋体"/>
          <w:b w:val="0"/>
          <w:sz w:val="24"/>
        </w:rPr>
        <w:t>场景C（未知设备-18台）：相同30台设备模型，用18台不同设备（数据集B，RA01-SC, LLCC68芯片）测试。这18台设备芯片型号（LLCC68）与训练设备（SX1262）完全不同。</w:t>
      </w:r>
    </w:p>
    <w:p w14:paraId="30545A30">
      <w:pPr>
        <w:spacing w:after="120" w:line="440" w:lineRule="exact"/>
        <w:jc w:val="left"/>
      </w:pPr>
      <w:r>
        <w:rPr>
          <w:rFonts w:ascii="宋体" w:hAnsi="宋体" w:eastAsia="宋体"/>
          <w:b w:val="0"/>
          <w:sz w:val="24"/>
        </w:rPr>
        <w:t>拒识判决规则（双阈值机制）：对集成后验概率进行两项检验——(i) 绝对置信条件：最大后验概率 P_(1) &gt;= tau_1；(ii) 相对置信条件：类间置信差 Delta_p = P_(1) - P_(2) &gt;= tau_2。两条件均满足时输出设备身份，否则判定为未知设备予以拒识。默认参数：tau_1 = 0.3，tau_2 = 0.1。</w:t>
      </w:r>
    </w:p>
    <w:p w14:paraId="67B9AC0D">
      <w:pPr>
        <w:pStyle w:val="3"/>
      </w:pPr>
      <w:r>
        <w:rPr>
          <w:rFonts w:ascii="黑体" w:hAnsi="黑体" w:eastAsia="黑体"/>
        </w:rPr>
        <w:t>二、核心对比结果（默认阈值）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01281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2E5A3E"/>
          </w:tcPr>
          <w:p w14:paraId="55A66211">
            <w:pPr>
              <w:spacing w:before="40" w:after="40" w:line="240" w:lineRule="auto"/>
              <w:jc w:val="center"/>
            </w:pPr>
            <w:r>
              <w:rPr>
                <w:rFonts w:ascii="宋体" w:hAnsi="宋体" w:eastAsia="宋体"/>
                <w:b/>
                <w:color w:val="FFFFFF"/>
                <w:sz w:val="18"/>
              </w:rPr>
              <w:t>测试场景</w:t>
            </w:r>
          </w:p>
        </w:tc>
        <w:tc>
          <w:tcPr>
            <w:tcW w:w="1296" w:type="dxa"/>
            <w:shd w:val="clear" w:color="auto" w:fill="2E5A3E"/>
          </w:tcPr>
          <w:p w14:paraId="5C38CD88">
            <w:pPr>
              <w:spacing w:before="40" w:after="40" w:line="240" w:lineRule="auto"/>
              <w:jc w:val="center"/>
            </w:pPr>
            <w:r>
              <w:rPr>
                <w:rFonts w:ascii="宋体" w:hAnsi="宋体" w:eastAsia="宋体"/>
                <w:b/>
                <w:color w:val="FFFFFF"/>
                <w:sz w:val="18"/>
              </w:rPr>
              <w:t>设备类型</w:t>
            </w:r>
          </w:p>
        </w:tc>
        <w:tc>
          <w:tcPr>
            <w:tcW w:w="1296" w:type="dxa"/>
            <w:shd w:val="clear" w:color="auto" w:fill="2E5A3E"/>
          </w:tcPr>
          <w:p w14:paraId="581C0193">
            <w:pPr>
              <w:spacing w:before="40" w:after="40" w:line="240" w:lineRule="auto"/>
              <w:jc w:val="center"/>
            </w:pPr>
            <w:r>
              <w:rPr>
                <w:rFonts w:ascii="宋体" w:hAnsi="宋体" w:eastAsia="宋体"/>
                <w:b/>
                <w:color w:val="FFFFFF"/>
                <w:sz w:val="18"/>
              </w:rPr>
              <w:t>样本数</w:t>
            </w:r>
          </w:p>
        </w:tc>
        <w:tc>
          <w:tcPr>
            <w:tcW w:w="1296" w:type="dxa"/>
            <w:shd w:val="clear" w:color="auto" w:fill="2E5A3E"/>
          </w:tcPr>
          <w:p w14:paraId="7D6B138A">
            <w:pPr>
              <w:spacing w:before="40" w:after="40" w:line="240" w:lineRule="auto"/>
              <w:jc w:val="center"/>
            </w:pPr>
            <w:r>
              <w:rPr>
                <w:rFonts w:ascii="宋体" w:hAnsi="宋体" w:eastAsia="宋体"/>
                <w:b/>
                <w:color w:val="FFFFFF"/>
                <w:sz w:val="18"/>
              </w:rPr>
              <w:t>拒识数</w:t>
            </w:r>
          </w:p>
        </w:tc>
        <w:tc>
          <w:tcPr>
            <w:tcW w:w="1296" w:type="dxa"/>
            <w:shd w:val="clear" w:color="auto" w:fill="2E5A3E"/>
          </w:tcPr>
          <w:p w14:paraId="4FA02545">
            <w:pPr>
              <w:spacing w:before="40" w:after="40" w:line="240" w:lineRule="auto"/>
              <w:jc w:val="center"/>
            </w:pPr>
            <w:r>
              <w:rPr>
                <w:rFonts w:ascii="宋体" w:hAnsi="宋体" w:eastAsia="宋体"/>
                <w:b/>
                <w:color w:val="FFFFFF"/>
                <w:sz w:val="18"/>
              </w:rPr>
              <w:t>拒识率</w:t>
            </w:r>
          </w:p>
        </w:tc>
        <w:tc>
          <w:tcPr>
            <w:tcW w:w="1296" w:type="dxa"/>
            <w:shd w:val="clear" w:color="auto" w:fill="2E5A3E"/>
          </w:tcPr>
          <w:p w14:paraId="1C9C9545">
            <w:pPr>
              <w:spacing w:before="40" w:after="40" w:line="240" w:lineRule="auto"/>
              <w:jc w:val="center"/>
            </w:pPr>
            <w:r>
              <w:rPr>
                <w:rFonts w:ascii="宋体" w:hAnsi="宋体" w:eastAsia="宋体"/>
                <w:b/>
                <w:color w:val="FFFFFF"/>
                <w:sz w:val="18"/>
              </w:rPr>
              <w:t>平均置信度</w:t>
            </w:r>
          </w:p>
        </w:tc>
        <w:tc>
          <w:tcPr>
            <w:tcW w:w="1296" w:type="dxa"/>
            <w:shd w:val="clear" w:color="auto" w:fill="2E5A3E"/>
          </w:tcPr>
          <w:p w14:paraId="7AF78F7B">
            <w:pPr>
              <w:spacing w:before="40" w:after="40" w:line="240" w:lineRule="auto"/>
              <w:jc w:val="center"/>
            </w:pPr>
            <w:r>
              <w:rPr>
                <w:rFonts w:ascii="宋体" w:hAnsi="宋体" w:eastAsia="宋体"/>
                <w:b/>
                <w:color w:val="FFFFFF"/>
                <w:sz w:val="18"/>
              </w:rPr>
              <w:t>关键指标</w:t>
            </w:r>
          </w:p>
        </w:tc>
      </w:tr>
      <w:tr w14:paraId="7C3B3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E8F5E9"/>
          </w:tcPr>
          <w:p w14:paraId="2CB9D8BD">
            <w:pPr>
              <w:spacing w:before="40" w:after="40" w:line="240" w:lineRule="auto"/>
              <w:jc w:val="center"/>
            </w:pPr>
            <w:r>
              <w:rPr>
                <w:rFonts w:ascii="宋体" w:hAnsi="宋体" w:eastAsia="宋体"/>
                <w:b w:val="0"/>
                <w:sz w:val="18"/>
              </w:rPr>
              <w:t>同天</w:t>
            </w:r>
          </w:p>
        </w:tc>
        <w:tc>
          <w:tcPr>
            <w:tcW w:w="1296" w:type="dxa"/>
            <w:shd w:val="clear" w:color="auto" w:fill="E8F5E9"/>
          </w:tcPr>
          <w:p w14:paraId="5A95BBEB">
            <w:pPr>
              <w:spacing w:before="40" w:after="40" w:line="240" w:lineRule="auto"/>
              <w:jc w:val="center"/>
            </w:pPr>
            <w:r>
              <w:rPr>
                <w:rFonts w:ascii="宋体" w:hAnsi="宋体" w:eastAsia="宋体"/>
                <w:b/>
                <w:sz w:val="18"/>
              </w:rPr>
              <w:t>已知(30台)</w:t>
            </w:r>
          </w:p>
        </w:tc>
        <w:tc>
          <w:tcPr>
            <w:tcW w:w="1296" w:type="dxa"/>
            <w:shd w:val="clear" w:color="auto" w:fill="E8F5E9"/>
          </w:tcPr>
          <w:p w14:paraId="305CD688">
            <w:pPr>
              <w:spacing w:before="40" w:after="40" w:line="240" w:lineRule="auto"/>
              <w:jc w:val="center"/>
            </w:pPr>
            <w:r>
              <w:rPr>
                <w:rFonts w:ascii="宋体" w:hAnsi="宋体" w:eastAsia="宋体"/>
                <w:b w:val="0"/>
                <w:sz w:val="18"/>
              </w:rPr>
              <w:t>6222</w:t>
            </w:r>
          </w:p>
        </w:tc>
        <w:tc>
          <w:tcPr>
            <w:tcW w:w="1296" w:type="dxa"/>
            <w:shd w:val="clear" w:color="auto" w:fill="E8F5E9"/>
          </w:tcPr>
          <w:p w14:paraId="2A09A93F">
            <w:pPr>
              <w:spacing w:before="40" w:after="40" w:line="240" w:lineRule="auto"/>
              <w:jc w:val="center"/>
            </w:pPr>
            <w:r>
              <w:rPr>
                <w:rFonts w:ascii="宋体" w:hAnsi="宋体" w:eastAsia="宋体"/>
                <w:b w:val="0"/>
                <w:sz w:val="18"/>
              </w:rPr>
              <w:t>21</w:t>
            </w:r>
          </w:p>
        </w:tc>
        <w:tc>
          <w:tcPr>
            <w:tcW w:w="1296" w:type="dxa"/>
            <w:shd w:val="clear" w:color="auto" w:fill="E8F5E9"/>
          </w:tcPr>
          <w:p w14:paraId="2FA45199">
            <w:pPr>
              <w:spacing w:before="40" w:after="40" w:line="240" w:lineRule="auto"/>
              <w:jc w:val="center"/>
            </w:pPr>
            <w:r>
              <w:rPr>
                <w:rFonts w:ascii="宋体" w:hAnsi="宋体" w:eastAsia="宋体"/>
                <w:b/>
                <w:sz w:val="18"/>
              </w:rPr>
              <w:t>0.34%</w:t>
            </w:r>
          </w:p>
        </w:tc>
        <w:tc>
          <w:tcPr>
            <w:tcW w:w="1296" w:type="dxa"/>
            <w:shd w:val="clear" w:color="auto" w:fill="E8F5E9"/>
          </w:tcPr>
          <w:p w14:paraId="2FAD1A8E">
            <w:pPr>
              <w:spacing w:before="40" w:after="40" w:line="240" w:lineRule="auto"/>
              <w:jc w:val="center"/>
            </w:pPr>
            <w:r>
              <w:rPr>
                <w:rFonts w:ascii="宋体" w:hAnsi="宋体" w:eastAsia="宋体"/>
                <w:b w:val="0"/>
                <w:sz w:val="18"/>
              </w:rPr>
              <w:t>0.9399</w:t>
            </w:r>
          </w:p>
        </w:tc>
        <w:tc>
          <w:tcPr>
            <w:tcW w:w="1296" w:type="dxa"/>
            <w:shd w:val="clear" w:color="auto" w:fill="E8F5E9"/>
          </w:tcPr>
          <w:p w14:paraId="2ABB172F">
            <w:pPr>
              <w:spacing w:before="40" w:after="40" w:line="240" w:lineRule="auto"/>
              <w:jc w:val="center"/>
            </w:pPr>
            <w:r>
              <w:rPr>
                <w:rFonts w:ascii="宋体" w:hAnsi="宋体" w:eastAsia="宋体"/>
                <w:b w:val="0"/>
                <w:color w:val="2E7D32"/>
                <w:sz w:val="18"/>
              </w:rPr>
              <w:t>接受准确率=0.9918</w:t>
            </w:r>
          </w:p>
        </w:tc>
      </w:tr>
      <w:tr w14:paraId="5B38B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E8F5E9"/>
          </w:tcPr>
          <w:p w14:paraId="5BD96510">
            <w:pPr>
              <w:spacing w:before="40" w:after="40" w:line="240" w:lineRule="auto"/>
              <w:jc w:val="center"/>
            </w:pPr>
            <w:r>
              <w:rPr>
                <w:rFonts w:ascii="宋体" w:hAnsi="宋体" w:eastAsia="宋体"/>
                <w:b w:val="0"/>
                <w:sz w:val="18"/>
              </w:rPr>
              <w:t>跨天</w:t>
            </w:r>
          </w:p>
        </w:tc>
        <w:tc>
          <w:tcPr>
            <w:tcW w:w="1296" w:type="dxa"/>
            <w:shd w:val="clear" w:color="auto" w:fill="E8F5E9"/>
          </w:tcPr>
          <w:p w14:paraId="00435708">
            <w:pPr>
              <w:spacing w:before="40" w:after="40" w:line="240" w:lineRule="auto"/>
              <w:jc w:val="center"/>
            </w:pPr>
            <w:r>
              <w:rPr>
                <w:rFonts w:ascii="宋体" w:hAnsi="宋体" w:eastAsia="宋体"/>
                <w:b/>
                <w:sz w:val="18"/>
              </w:rPr>
              <w:t>已知(30台)</w:t>
            </w:r>
          </w:p>
        </w:tc>
        <w:tc>
          <w:tcPr>
            <w:tcW w:w="1296" w:type="dxa"/>
            <w:shd w:val="clear" w:color="auto" w:fill="E8F5E9"/>
          </w:tcPr>
          <w:p w14:paraId="58CEF307">
            <w:pPr>
              <w:spacing w:before="40" w:after="40" w:line="240" w:lineRule="auto"/>
              <w:jc w:val="center"/>
            </w:pPr>
            <w:r>
              <w:rPr>
                <w:rFonts w:ascii="宋体" w:hAnsi="宋体" w:eastAsia="宋体"/>
                <w:b w:val="0"/>
                <w:sz w:val="18"/>
              </w:rPr>
              <w:t>7300</w:t>
            </w:r>
          </w:p>
        </w:tc>
        <w:tc>
          <w:tcPr>
            <w:tcW w:w="1296" w:type="dxa"/>
            <w:shd w:val="clear" w:color="auto" w:fill="E8F5E9"/>
          </w:tcPr>
          <w:p w14:paraId="34A208AD">
            <w:pPr>
              <w:spacing w:before="40" w:after="40" w:line="240" w:lineRule="auto"/>
              <w:jc w:val="center"/>
            </w:pPr>
            <w:r>
              <w:rPr>
                <w:rFonts w:ascii="宋体" w:hAnsi="宋体" w:eastAsia="宋体"/>
                <w:b w:val="0"/>
                <w:sz w:val="18"/>
              </w:rPr>
              <w:t>50</w:t>
            </w:r>
          </w:p>
        </w:tc>
        <w:tc>
          <w:tcPr>
            <w:tcW w:w="1296" w:type="dxa"/>
            <w:shd w:val="clear" w:color="auto" w:fill="E8F5E9"/>
          </w:tcPr>
          <w:p w14:paraId="4B550B19">
            <w:pPr>
              <w:spacing w:before="40" w:after="40" w:line="240" w:lineRule="auto"/>
              <w:jc w:val="center"/>
            </w:pPr>
            <w:r>
              <w:rPr>
                <w:rFonts w:ascii="宋体" w:hAnsi="宋体" w:eastAsia="宋体"/>
                <w:b/>
                <w:sz w:val="18"/>
              </w:rPr>
              <w:t>0.68%</w:t>
            </w:r>
          </w:p>
        </w:tc>
        <w:tc>
          <w:tcPr>
            <w:tcW w:w="1296" w:type="dxa"/>
            <w:shd w:val="clear" w:color="auto" w:fill="E8F5E9"/>
          </w:tcPr>
          <w:p w14:paraId="21BDEA31">
            <w:pPr>
              <w:spacing w:before="40" w:after="40" w:line="240" w:lineRule="auto"/>
              <w:jc w:val="center"/>
            </w:pPr>
            <w:r>
              <w:rPr>
                <w:rFonts w:ascii="宋体" w:hAnsi="宋体" w:eastAsia="宋体"/>
                <w:b w:val="0"/>
                <w:sz w:val="18"/>
              </w:rPr>
              <w:t>0.9187</w:t>
            </w:r>
          </w:p>
        </w:tc>
        <w:tc>
          <w:tcPr>
            <w:tcW w:w="1296" w:type="dxa"/>
            <w:shd w:val="clear" w:color="auto" w:fill="E8F5E9"/>
          </w:tcPr>
          <w:p w14:paraId="058AC15C">
            <w:pPr>
              <w:spacing w:before="40" w:after="40" w:line="240" w:lineRule="auto"/>
              <w:jc w:val="center"/>
            </w:pPr>
            <w:r>
              <w:rPr>
                <w:rFonts w:ascii="宋体" w:hAnsi="宋体" w:eastAsia="宋体"/>
                <w:b w:val="0"/>
                <w:color w:val="2E7D32"/>
                <w:sz w:val="18"/>
              </w:rPr>
              <w:t>接受准确率=0.9804</w:t>
            </w:r>
          </w:p>
        </w:tc>
      </w:tr>
      <w:tr w14:paraId="283B6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FF3E0"/>
          </w:tcPr>
          <w:p w14:paraId="46B32DEC">
            <w:pPr>
              <w:spacing w:before="40" w:after="40" w:line="240" w:lineRule="auto"/>
              <w:jc w:val="center"/>
            </w:pPr>
            <w:r>
              <w:rPr>
                <w:rFonts w:ascii="宋体" w:hAnsi="宋体" w:eastAsia="宋体"/>
                <w:b w:val="0"/>
                <w:sz w:val="18"/>
              </w:rPr>
              <w:t>同天</w:t>
            </w:r>
          </w:p>
        </w:tc>
        <w:tc>
          <w:tcPr>
            <w:tcW w:w="1296" w:type="dxa"/>
            <w:shd w:val="clear" w:color="auto" w:fill="FFF3E0"/>
          </w:tcPr>
          <w:p w14:paraId="3D781D39">
            <w:pPr>
              <w:spacing w:before="40" w:after="40" w:line="240" w:lineRule="auto"/>
              <w:jc w:val="center"/>
            </w:pPr>
            <w:r>
              <w:rPr>
                <w:rFonts w:ascii="宋体" w:hAnsi="宋体" w:eastAsia="宋体"/>
                <w:b/>
                <w:sz w:val="18"/>
              </w:rPr>
              <w:t>未知(8台,SX1262)</w:t>
            </w:r>
          </w:p>
        </w:tc>
        <w:tc>
          <w:tcPr>
            <w:tcW w:w="1296" w:type="dxa"/>
            <w:shd w:val="clear" w:color="auto" w:fill="FFF3E0"/>
          </w:tcPr>
          <w:p w14:paraId="00F99E3E">
            <w:pPr>
              <w:spacing w:before="40" w:after="40" w:line="240" w:lineRule="auto"/>
              <w:jc w:val="center"/>
            </w:pPr>
            <w:r>
              <w:rPr>
                <w:rFonts w:ascii="宋体" w:hAnsi="宋体" w:eastAsia="宋体"/>
                <w:b w:val="0"/>
                <w:sz w:val="18"/>
              </w:rPr>
              <w:t>966</w:t>
            </w:r>
          </w:p>
        </w:tc>
        <w:tc>
          <w:tcPr>
            <w:tcW w:w="1296" w:type="dxa"/>
            <w:shd w:val="clear" w:color="auto" w:fill="FFF3E0"/>
          </w:tcPr>
          <w:p w14:paraId="0F535A5F">
            <w:pPr>
              <w:spacing w:before="40" w:after="40" w:line="240" w:lineRule="auto"/>
              <w:jc w:val="center"/>
            </w:pPr>
            <w:r>
              <w:rPr>
                <w:rFonts w:ascii="宋体" w:hAnsi="宋体" w:eastAsia="宋体"/>
                <w:b w:val="0"/>
                <w:sz w:val="18"/>
              </w:rPr>
              <w:t>133</w:t>
            </w:r>
          </w:p>
        </w:tc>
        <w:tc>
          <w:tcPr>
            <w:tcW w:w="1296" w:type="dxa"/>
            <w:shd w:val="clear" w:color="auto" w:fill="FFF3E0"/>
          </w:tcPr>
          <w:p w14:paraId="203C020C">
            <w:pPr>
              <w:spacing w:before="40" w:after="40" w:line="240" w:lineRule="auto"/>
              <w:jc w:val="center"/>
            </w:pPr>
            <w:r>
              <w:rPr>
                <w:rFonts w:ascii="宋体" w:hAnsi="宋体" w:eastAsia="宋体"/>
                <w:b/>
                <w:sz w:val="18"/>
              </w:rPr>
              <w:t>13.77%</w:t>
            </w:r>
          </w:p>
        </w:tc>
        <w:tc>
          <w:tcPr>
            <w:tcW w:w="1296" w:type="dxa"/>
            <w:shd w:val="clear" w:color="auto" w:fill="FFF3E0"/>
          </w:tcPr>
          <w:p w14:paraId="46203924">
            <w:pPr>
              <w:spacing w:before="40" w:after="40" w:line="240" w:lineRule="auto"/>
              <w:jc w:val="center"/>
            </w:pPr>
            <w:r>
              <w:rPr>
                <w:rFonts w:ascii="宋体" w:hAnsi="宋体" w:eastAsia="宋体"/>
                <w:b w:val="0"/>
                <w:sz w:val="18"/>
              </w:rPr>
              <w:t>0.7214</w:t>
            </w:r>
          </w:p>
        </w:tc>
        <w:tc>
          <w:tcPr>
            <w:tcW w:w="1296" w:type="dxa"/>
            <w:shd w:val="clear" w:color="auto" w:fill="FFF3E0"/>
          </w:tcPr>
          <w:p w14:paraId="2C19C803">
            <w:pPr>
              <w:spacing w:before="40" w:after="40" w:line="240" w:lineRule="auto"/>
              <w:jc w:val="center"/>
            </w:pPr>
            <w:r>
              <w:rPr>
                <w:rFonts w:ascii="宋体" w:hAnsi="宋体" w:eastAsia="宋体"/>
                <w:b w:val="0"/>
                <w:color w:val="C62828"/>
                <w:sz w:val="18"/>
              </w:rPr>
              <w:t>误接受率=86.23%</w:t>
            </w:r>
          </w:p>
        </w:tc>
      </w:tr>
      <w:tr w14:paraId="251E9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FF3E0"/>
          </w:tcPr>
          <w:p w14:paraId="538DEBCE">
            <w:pPr>
              <w:spacing w:before="40" w:after="40" w:line="240" w:lineRule="auto"/>
              <w:jc w:val="center"/>
            </w:pPr>
            <w:r>
              <w:rPr>
                <w:rFonts w:ascii="宋体" w:hAnsi="宋体" w:eastAsia="宋体"/>
                <w:b w:val="0"/>
                <w:sz w:val="18"/>
              </w:rPr>
              <w:t>跨天</w:t>
            </w:r>
          </w:p>
        </w:tc>
        <w:tc>
          <w:tcPr>
            <w:tcW w:w="1296" w:type="dxa"/>
            <w:shd w:val="clear" w:color="auto" w:fill="FFF3E0"/>
          </w:tcPr>
          <w:p w14:paraId="7B17A787">
            <w:pPr>
              <w:spacing w:before="40" w:after="40" w:line="240" w:lineRule="auto"/>
              <w:jc w:val="center"/>
            </w:pPr>
            <w:r>
              <w:rPr>
                <w:rFonts w:ascii="宋体" w:hAnsi="宋体" w:eastAsia="宋体"/>
                <w:b/>
                <w:sz w:val="18"/>
              </w:rPr>
              <w:t>未知(8台,SX1262)</w:t>
            </w:r>
          </w:p>
        </w:tc>
        <w:tc>
          <w:tcPr>
            <w:tcW w:w="1296" w:type="dxa"/>
            <w:shd w:val="clear" w:color="auto" w:fill="FFF3E0"/>
          </w:tcPr>
          <w:p w14:paraId="0AEA1B29">
            <w:pPr>
              <w:spacing w:before="40" w:after="40" w:line="240" w:lineRule="auto"/>
              <w:jc w:val="center"/>
            </w:pPr>
            <w:r>
              <w:rPr>
                <w:rFonts w:ascii="宋体" w:hAnsi="宋体" w:eastAsia="宋体"/>
                <w:b w:val="0"/>
                <w:sz w:val="18"/>
              </w:rPr>
              <w:t>963</w:t>
            </w:r>
          </w:p>
        </w:tc>
        <w:tc>
          <w:tcPr>
            <w:tcW w:w="1296" w:type="dxa"/>
            <w:shd w:val="clear" w:color="auto" w:fill="FFF3E0"/>
          </w:tcPr>
          <w:p w14:paraId="25A22C32">
            <w:pPr>
              <w:spacing w:before="40" w:after="40" w:line="240" w:lineRule="auto"/>
              <w:jc w:val="center"/>
            </w:pPr>
            <w:r>
              <w:rPr>
                <w:rFonts w:ascii="宋体" w:hAnsi="宋体" w:eastAsia="宋体"/>
                <w:b w:val="0"/>
                <w:sz w:val="18"/>
              </w:rPr>
              <w:t>116</w:t>
            </w:r>
          </w:p>
        </w:tc>
        <w:tc>
          <w:tcPr>
            <w:tcW w:w="1296" w:type="dxa"/>
            <w:shd w:val="clear" w:color="auto" w:fill="FFF3E0"/>
          </w:tcPr>
          <w:p w14:paraId="3FBD85EC">
            <w:pPr>
              <w:spacing w:before="40" w:after="40" w:line="240" w:lineRule="auto"/>
              <w:jc w:val="center"/>
            </w:pPr>
            <w:r>
              <w:rPr>
                <w:rFonts w:ascii="宋体" w:hAnsi="宋体" w:eastAsia="宋体"/>
                <w:b/>
                <w:sz w:val="18"/>
              </w:rPr>
              <w:t>12.05%</w:t>
            </w:r>
          </w:p>
        </w:tc>
        <w:tc>
          <w:tcPr>
            <w:tcW w:w="1296" w:type="dxa"/>
            <w:shd w:val="clear" w:color="auto" w:fill="FFF3E0"/>
          </w:tcPr>
          <w:p w14:paraId="5AFB51E2">
            <w:pPr>
              <w:spacing w:before="40" w:after="40" w:line="240" w:lineRule="auto"/>
              <w:jc w:val="center"/>
            </w:pPr>
            <w:r>
              <w:rPr>
                <w:rFonts w:ascii="宋体" w:hAnsi="宋体" w:eastAsia="宋体"/>
                <w:b w:val="0"/>
                <w:sz w:val="18"/>
              </w:rPr>
              <w:t>0.7100</w:t>
            </w:r>
          </w:p>
        </w:tc>
        <w:tc>
          <w:tcPr>
            <w:tcW w:w="1296" w:type="dxa"/>
            <w:shd w:val="clear" w:color="auto" w:fill="FFF3E0"/>
          </w:tcPr>
          <w:p w14:paraId="13E3D35E">
            <w:pPr>
              <w:spacing w:before="40" w:after="40" w:line="240" w:lineRule="auto"/>
              <w:jc w:val="center"/>
            </w:pPr>
            <w:r>
              <w:rPr>
                <w:rFonts w:ascii="宋体" w:hAnsi="宋体" w:eastAsia="宋体"/>
                <w:b w:val="0"/>
                <w:color w:val="C62828"/>
                <w:sz w:val="18"/>
              </w:rPr>
              <w:t>误接受率=87.95%</w:t>
            </w:r>
          </w:p>
        </w:tc>
      </w:tr>
      <w:tr w14:paraId="2F3F0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CE4EC"/>
          </w:tcPr>
          <w:p w14:paraId="4BE9EF30">
            <w:pPr>
              <w:spacing w:before="40" w:after="40" w:line="240" w:lineRule="auto"/>
              <w:jc w:val="center"/>
            </w:pPr>
            <w:r>
              <w:rPr>
                <w:rFonts w:ascii="宋体" w:hAnsi="宋体" w:eastAsia="宋体"/>
                <w:b w:val="0"/>
                <w:sz w:val="18"/>
              </w:rPr>
              <w:t>同天</w:t>
            </w:r>
          </w:p>
        </w:tc>
        <w:tc>
          <w:tcPr>
            <w:tcW w:w="1296" w:type="dxa"/>
            <w:shd w:val="clear" w:color="auto" w:fill="FCE4EC"/>
          </w:tcPr>
          <w:p w14:paraId="7E99AD02">
            <w:pPr>
              <w:spacing w:before="40" w:after="40" w:line="240" w:lineRule="auto"/>
              <w:jc w:val="center"/>
            </w:pPr>
            <w:r>
              <w:rPr>
                <w:rFonts w:ascii="宋体" w:hAnsi="宋体" w:eastAsia="宋体"/>
                <w:b/>
                <w:sz w:val="18"/>
              </w:rPr>
              <w:t>未知(18台,LLCC68)</w:t>
            </w:r>
          </w:p>
        </w:tc>
        <w:tc>
          <w:tcPr>
            <w:tcW w:w="1296" w:type="dxa"/>
            <w:shd w:val="clear" w:color="auto" w:fill="FCE4EC"/>
          </w:tcPr>
          <w:p w14:paraId="716B602B">
            <w:pPr>
              <w:spacing w:before="40" w:after="40" w:line="240" w:lineRule="auto"/>
              <w:jc w:val="center"/>
            </w:pPr>
            <w:r>
              <w:rPr>
                <w:rFonts w:ascii="宋体" w:hAnsi="宋体" w:eastAsia="宋体"/>
                <w:b w:val="0"/>
                <w:sz w:val="18"/>
              </w:rPr>
              <w:t>910</w:t>
            </w:r>
          </w:p>
        </w:tc>
        <w:tc>
          <w:tcPr>
            <w:tcW w:w="1296" w:type="dxa"/>
            <w:shd w:val="clear" w:color="auto" w:fill="FCE4EC"/>
          </w:tcPr>
          <w:p w14:paraId="67B12921">
            <w:pPr>
              <w:spacing w:before="40" w:after="40" w:line="240" w:lineRule="auto"/>
              <w:jc w:val="center"/>
            </w:pPr>
            <w:r>
              <w:rPr>
                <w:rFonts w:ascii="宋体" w:hAnsi="宋体" w:eastAsia="宋体"/>
                <w:b w:val="0"/>
                <w:sz w:val="18"/>
              </w:rPr>
              <w:t>0</w:t>
            </w:r>
          </w:p>
        </w:tc>
        <w:tc>
          <w:tcPr>
            <w:tcW w:w="1296" w:type="dxa"/>
            <w:shd w:val="clear" w:color="auto" w:fill="FCE4EC"/>
          </w:tcPr>
          <w:p w14:paraId="1A5B7549">
            <w:pPr>
              <w:spacing w:before="40" w:after="40" w:line="240" w:lineRule="auto"/>
              <w:jc w:val="center"/>
            </w:pPr>
            <w:r>
              <w:rPr>
                <w:rFonts w:ascii="宋体" w:hAnsi="宋体" w:eastAsia="宋体"/>
                <w:b/>
                <w:sz w:val="18"/>
              </w:rPr>
              <w:t>0.00%</w:t>
            </w:r>
          </w:p>
        </w:tc>
        <w:tc>
          <w:tcPr>
            <w:tcW w:w="1296" w:type="dxa"/>
            <w:shd w:val="clear" w:color="auto" w:fill="FCE4EC"/>
          </w:tcPr>
          <w:p w14:paraId="5573ED39">
            <w:pPr>
              <w:spacing w:before="40" w:after="40" w:line="240" w:lineRule="auto"/>
              <w:jc w:val="center"/>
            </w:pPr>
            <w:r>
              <w:rPr>
                <w:rFonts w:ascii="宋体" w:hAnsi="宋体" w:eastAsia="宋体"/>
                <w:b w:val="0"/>
                <w:sz w:val="18"/>
              </w:rPr>
              <w:t>0.7895</w:t>
            </w:r>
          </w:p>
        </w:tc>
        <w:tc>
          <w:tcPr>
            <w:tcW w:w="1296" w:type="dxa"/>
            <w:shd w:val="clear" w:color="auto" w:fill="FCE4EC"/>
          </w:tcPr>
          <w:p w14:paraId="4EEF10D7">
            <w:pPr>
              <w:spacing w:before="40" w:after="40" w:line="240" w:lineRule="auto"/>
              <w:jc w:val="center"/>
            </w:pPr>
            <w:r>
              <w:rPr>
                <w:rFonts w:ascii="宋体" w:hAnsi="宋体" w:eastAsia="宋体"/>
                <w:b w:val="0"/>
                <w:color w:val="C62828"/>
                <w:sz w:val="18"/>
              </w:rPr>
              <w:t>误接受率=100.00%</w:t>
            </w:r>
          </w:p>
        </w:tc>
      </w:tr>
      <w:tr w14:paraId="797F4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CE4EC"/>
          </w:tcPr>
          <w:p w14:paraId="5E550E78">
            <w:pPr>
              <w:spacing w:before="40" w:after="40" w:line="240" w:lineRule="auto"/>
              <w:jc w:val="center"/>
            </w:pPr>
            <w:r>
              <w:rPr>
                <w:rFonts w:ascii="宋体" w:hAnsi="宋体" w:eastAsia="宋体"/>
                <w:b w:val="0"/>
                <w:sz w:val="18"/>
              </w:rPr>
              <w:t>跨天</w:t>
            </w:r>
          </w:p>
        </w:tc>
        <w:tc>
          <w:tcPr>
            <w:tcW w:w="1296" w:type="dxa"/>
            <w:shd w:val="clear" w:color="auto" w:fill="FCE4EC"/>
          </w:tcPr>
          <w:p w14:paraId="0E926611">
            <w:pPr>
              <w:spacing w:before="40" w:after="40" w:line="240" w:lineRule="auto"/>
              <w:jc w:val="center"/>
            </w:pPr>
            <w:r>
              <w:rPr>
                <w:rFonts w:ascii="宋体" w:hAnsi="宋体" w:eastAsia="宋体"/>
                <w:b/>
                <w:sz w:val="18"/>
              </w:rPr>
              <w:t>未知(18台,LLCC68)</w:t>
            </w:r>
          </w:p>
        </w:tc>
        <w:tc>
          <w:tcPr>
            <w:tcW w:w="1296" w:type="dxa"/>
            <w:shd w:val="clear" w:color="auto" w:fill="FCE4EC"/>
          </w:tcPr>
          <w:p w14:paraId="1E85B60F">
            <w:pPr>
              <w:spacing w:before="40" w:after="40" w:line="240" w:lineRule="auto"/>
              <w:jc w:val="center"/>
            </w:pPr>
            <w:r>
              <w:rPr>
                <w:rFonts w:ascii="宋体" w:hAnsi="宋体" w:eastAsia="宋体"/>
                <w:b w:val="0"/>
                <w:sz w:val="18"/>
              </w:rPr>
              <w:t>930</w:t>
            </w:r>
          </w:p>
        </w:tc>
        <w:tc>
          <w:tcPr>
            <w:tcW w:w="1296" w:type="dxa"/>
            <w:shd w:val="clear" w:color="auto" w:fill="FCE4EC"/>
          </w:tcPr>
          <w:p w14:paraId="6770FB44">
            <w:pPr>
              <w:spacing w:before="40" w:after="40" w:line="240" w:lineRule="auto"/>
              <w:jc w:val="center"/>
            </w:pPr>
            <w:r>
              <w:rPr>
                <w:rFonts w:ascii="宋体" w:hAnsi="宋体" w:eastAsia="宋体"/>
                <w:b w:val="0"/>
                <w:sz w:val="18"/>
              </w:rPr>
              <w:t>2</w:t>
            </w:r>
          </w:p>
        </w:tc>
        <w:tc>
          <w:tcPr>
            <w:tcW w:w="1296" w:type="dxa"/>
            <w:shd w:val="clear" w:color="auto" w:fill="FCE4EC"/>
          </w:tcPr>
          <w:p w14:paraId="50F02875">
            <w:pPr>
              <w:spacing w:before="40" w:after="40" w:line="240" w:lineRule="auto"/>
              <w:jc w:val="center"/>
            </w:pPr>
            <w:r>
              <w:rPr>
                <w:rFonts w:ascii="宋体" w:hAnsi="宋体" w:eastAsia="宋体"/>
                <w:b/>
                <w:sz w:val="18"/>
              </w:rPr>
              <w:t>0.22%</w:t>
            </w:r>
          </w:p>
        </w:tc>
        <w:tc>
          <w:tcPr>
            <w:tcW w:w="1296" w:type="dxa"/>
            <w:shd w:val="clear" w:color="auto" w:fill="FCE4EC"/>
          </w:tcPr>
          <w:p w14:paraId="3F43F10B">
            <w:pPr>
              <w:spacing w:before="40" w:after="40" w:line="240" w:lineRule="auto"/>
              <w:jc w:val="center"/>
            </w:pPr>
            <w:r>
              <w:rPr>
                <w:rFonts w:ascii="宋体" w:hAnsi="宋体" w:eastAsia="宋体"/>
                <w:b w:val="0"/>
                <w:sz w:val="18"/>
              </w:rPr>
              <w:t>0.7904</w:t>
            </w:r>
          </w:p>
        </w:tc>
        <w:tc>
          <w:tcPr>
            <w:tcW w:w="1296" w:type="dxa"/>
            <w:shd w:val="clear" w:color="auto" w:fill="FCE4EC"/>
          </w:tcPr>
          <w:p w14:paraId="458C8795">
            <w:pPr>
              <w:spacing w:before="40" w:after="40" w:line="240" w:lineRule="auto"/>
              <w:jc w:val="center"/>
            </w:pPr>
            <w:r>
              <w:rPr>
                <w:rFonts w:ascii="宋体" w:hAnsi="宋体" w:eastAsia="宋体"/>
                <w:b w:val="0"/>
                <w:color w:val="C62828"/>
                <w:sz w:val="18"/>
              </w:rPr>
              <w:t>误接受率=99.78%</w:t>
            </w:r>
          </w:p>
        </w:tc>
      </w:tr>
    </w:tbl>
    <w:p w14:paraId="7B5BA2F0">
      <w:pPr>
        <w:spacing w:before="80" w:after="160"/>
        <w:jc w:val="center"/>
      </w:pPr>
      <w:r>
        <w:rPr>
          <w:rFonts w:ascii="宋体" w:hAnsi="宋体" w:eastAsia="宋体"/>
          <w:b/>
          <w:sz w:val="21"/>
        </w:rPr>
        <w:t>表1  已知设备与未知设备拒识率对比（tau_1=0.3, tau_2=0.1）</w:t>
      </w:r>
    </w:p>
    <w:p w14:paraId="5F33EFAA">
      <w:pPr>
        <w:spacing w:after="120" w:line="440" w:lineRule="exact"/>
        <w:jc w:val="left"/>
      </w:pPr>
    </w:p>
    <w:p w14:paraId="100A18DB">
      <w:pPr>
        <w:spacing w:after="120" w:line="440" w:lineRule="exact"/>
        <w:jc w:val="left"/>
      </w:pPr>
      <w:r>
        <w:rPr>
          <w:rFonts w:ascii="宋体" w:hAnsi="宋体" w:eastAsia="宋体"/>
          <w:b w:val="0"/>
          <w:sz w:val="24"/>
        </w:rPr>
        <w:t>结果分析：</w:t>
      </w:r>
    </w:p>
    <w:p w14:paraId="3D5D36FA">
      <w:pPr>
        <w:spacing w:after="120" w:line="440" w:lineRule="exact"/>
        <w:jc w:val="left"/>
      </w:pPr>
      <w:r>
        <w:rPr>
          <w:rFonts w:ascii="宋体" w:hAnsi="宋体" w:eastAsia="宋体"/>
          <w:b w:val="0"/>
          <w:sz w:val="24"/>
        </w:rPr>
        <w:t>(1) 已知设备（30台）拒识率极低（同天0.34%、跨天0.68%），被接受样本的识别准确率达99.18%/98.04%，说明模型对已注册设备置信度高。</w:t>
      </w:r>
    </w:p>
    <w:p w14:paraId="1D24CB59">
      <w:pPr>
        <w:spacing w:after="120" w:line="440" w:lineRule="exact"/>
        <w:jc w:val="left"/>
      </w:pPr>
      <w:r>
        <w:rPr>
          <w:rFonts w:ascii="宋体" w:hAnsi="宋体" w:eastAsia="宋体"/>
          <w:b w:val="0"/>
          <w:sz w:val="24"/>
        </w:rPr>
        <w:t>(2) 未知8台设备（同芯片SX1262、不同型号）拒识率为13.77%（同天）和12.05%（跨天），误接受率约86%~88%。虽然芯片相同，但不同型号的硬件差异使少部分样本落入低置信区域被拒识。</w:t>
      </w:r>
    </w:p>
    <w:p w14:paraId="1DD3AB20">
      <w:pPr>
        <w:spacing w:after="120" w:line="440" w:lineRule="exact"/>
        <w:jc w:val="left"/>
      </w:pPr>
      <w:r>
        <w:rPr>
          <w:rFonts w:ascii="宋体" w:hAnsi="宋体" w:eastAsia="宋体"/>
          <w:b w:val="0"/>
          <w:sz w:val="24"/>
        </w:rPr>
        <w:t>(3) 未知18台设备（不同芯片LLCC68）拒识率几乎为零——同天0.00%、跨天仅0.22%，误接受率接近100%。这一看似反常的结果说明：LLCC68芯片设备的CFO和相位特征恰好落入了SX1262训练设备的某些类别的高置信区域，模型以极高的确定性将其错误分类为已知设备，反而比同芯片的8台设备更难被拒识。</w:t>
      </w:r>
    </w:p>
    <w:p w14:paraId="237BEDE1">
      <w:pPr>
        <w:spacing w:after="120" w:line="440" w:lineRule="exact"/>
        <w:jc w:val="left"/>
      </w:pPr>
      <w:r>
        <w:rPr>
          <w:rFonts w:ascii="宋体" w:hAnsi="宋体" w:eastAsia="宋体"/>
          <w:b w:val="0"/>
          <w:sz w:val="24"/>
        </w:rPr>
        <w:t>(4) 这一现象揭示了基于后验概率的拒识机制的根本局限：当未知设备的特征分布恰好与某个已知类别高度重叠时，模型的置信度反而很高，双阈值机制完全失效。不同芯片类型并不意味着特征空间中的距离更远。</w:t>
      </w:r>
    </w:p>
    <w:p w14:paraId="41D4C730">
      <w:pPr>
        <w:pStyle w:val="3"/>
      </w:pPr>
      <w:r>
        <w:rPr>
          <w:rFonts w:ascii="黑体" w:hAnsi="黑体" w:eastAsia="黑体"/>
        </w:rPr>
        <w:t>三、置信度分布对比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79EB9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4472C4"/>
          </w:tcPr>
          <w:p w14:paraId="53327831">
            <w:pPr>
              <w:spacing w:before="40" w:after="40" w:line="240" w:lineRule="auto"/>
              <w:jc w:val="center"/>
            </w:pPr>
            <w:r>
              <w:rPr>
                <w:rFonts w:ascii="宋体" w:hAnsi="宋体" w:eastAsia="宋体"/>
                <w:b/>
                <w:color w:val="FFFFFF"/>
                <w:sz w:val="18"/>
              </w:rPr>
              <w:t>测试场景</w:t>
            </w:r>
          </w:p>
        </w:tc>
        <w:tc>
          <w:tcPr>
            <w:tcW w:w="2268" w:type="dxa"/>
            <w:shd w:val="clear" w:color="auto" w:fill="4472C4"/>
          </w:tcPr>
          <w:p w14:paraId="55F876BF">
            <w:pPr>
              <w:spacing w:before="40" w:after="40" w:line="240" w:lineRule="auto"/>
              <w:jc w:val="center"/>
            </w:pPr>
            <w:r>
              <w:rPr>
                <w:rFonts w:ascii="宋体" w:hAnsi="宋体" w:eastAsia="宋体"/>
                <w:b/>
                <w:color w:val="FFFFFF"/>
                <w:sz w:val="18"/>
              </w:rPr>
              <w:t>整体平均置信度</w:t>
            </w:r>
          </w:p>
        </w:tc>
        <w:tc>
          <w:tcPr>
            <w:tcW w:w="2268" w:type="dxa"/>
            <w:shd w:val="clear" w:color="auto" w:fill="4472C4"/>
          </w:tcPr>
          <w:p w14:paraId="0ECACEF0">
            <w:pPr>
              <w:spacing w:before="40" w:after="40" w:line="240" w:lineRule="auto"/>
              <w:jc w:val="center"/>
            </w:pPr>
            <w:r>
              <w:rPr>
                <w:rFonts w:ascii="宋体" w:hAnsi="宋体" w:eastAsia="宋体"/>
                <w:b/>
                <w:color w:val="FFFFFF"/>
                <w:sz w:val="18"/>
              </w:rPr>
              <w:t>被拒识样本平均置信度</w:t>
            </w:r>
          </w:p>
        </w:tc>
        <w:tc>
          <w:tcPr>
            <w:tcW w:w="2268" w:type="dxa"/>
            <w:shd w:val="clear" w:color="auto" w:fill="4472C4"/>
          </w:tcPr>
          <w:p w14:paraId="6FB1579C">
            <w:pPr>
              <w:spacing w:before="40" w:after="40" w:line="240" w:lineRule="auto"/>
              <w:jc w:val="center"/>
            </w:pPr>
            <w:r>
              <w:rPr>
                <w:rFonts w:ascii="宋体" w:hAnsi="宋体" w:eastAsia="宋体"/>
                <w:b/>
                <w:color w:val="FFFFFF"/>
                <w:sz w:val="18"/>
              </w:rPr>
              <w:t>被接受样本平均置信度</w:t>
            </w:r>
          </w:p>
        </w:tc>
      </w:tr>
      <w:tr w14:paraId="67F60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BB0034A">
            <w:pPr>
              <w:spacing w:before="40" w:after="40" w:line="240" w:lineRule="auto"/>
              <w:jc w:val="center"/>
            </w:pPr>
            <w:r>
              <w:rPr>
                <w:rFonts w:ascii="宋体" w:hAnsi="宋体" w:eastAsia="宋体"/>
                <w:b w:val="0"/>
                <w:sz w:val="18"/>
              </w:rPr>
              <w:t>已知(30台) 同天</w:t>
            </w:r>
          </w:p>
        </w:tc>
        <w:tc>
          <w:tcPr>
            <w:tcW w:w="2268" w:type="dxa"/>
          </w:tcPr>
          <w:p w14:paraId="64975D5C">
            <w:pPr>
              <w:spacing w:before="40" w:after="40" w:line="240" w:lineRule="auto"/>
              <w:jc w:val="center"/>
            </w:pPr>
            <w:r>
              <w:rPr>
                <w:rFonts w:ascii="宋体" w:hAnsi="宋体" w:eastAsia="宋体"/>
                <w:b w:val="0"/>
                <w:sz w:val="18"/>
              </w:rPr>
              <w:t>0.9399</w:t>
            </w:r>
          </w:p>
        </w:tc>
        <w:tc>
          <w:tcPr>
            <w:tcW w:w="2268" w:type="dxa"/>
          </w:tcPr>
          <w:p w14:paraId="54726CB8">
            <w:pPr>
              <w:spacing w:before="40" w:after="40" w:line="240" w:lineRule="auto"/>
              <w:jc w:val="center"/>
            </w:pPr>
            <w:r>
              <w:rPr>
                <w:rFonts w:ascii="宋体" w:hAnsi="宋体" w:eastAsia="宋体"/>
                <w:b w:val="0"/>
                <w:sz w:val="18"/>
              </w:rPr>
              <w:t>0.4709</w:t>
            </w:r>
          </w:p>
        </w:tc>
        <w:tc>
          <w:tcPr>
            <w:tcW w:w="2268" w:type="dxa"/>
          </w:tcPr>
          <w:p w14:paraId="7186A32C">
            <w:pPr>
              <w:spacing w:before="40" w:after="40" w:line="240" w:lineRule="auto"/>
              <w:jc w:val="center"/>
            </w:pPr>
            <w:r>
              <w:rPr>
                <w:rFonts w:ascii="宋体" w:hAnsi="宋体" w:eastAsia="宋体"/>
                <w:b w:val="0"/>
                <w:sz w:val="18"/>
              </w:rPr>
              <w:t>0.9415</w:t>
            </w:r>
          </w:p>
        </w:tc>
      </w:tr>
      <w:tr w14:paraId="6D236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7B512A8">
            <w:pPr>
              <w:spacing w:before="40" w:after="40" w:line="240" w:lineRule="auto"/>
              <w:jc w:val="center"/>
            </w:pPr>
            <w:r>
              <w:rPr>
                <w:rFonts w:ascii="宋体" w:hAnsi="宋体" w:eastAsia="宋体"/>
                <w:b w:val="0"/>
                <w:sz w:val="18"/>
              </w:rPr>
              <w:t>已知(30台) 跨天</w:t>
            </w:r>
          </w:p>
        </w:tc>
        <w:tc>
          <w:tcPr>
            <w:tcW w:w="2268" w:type="dxa"/>
          </w:tcPr>
          <w:p w14:paraId="611FA418">
            <w:pPr>
              <w:spacing w:before="40" w:after="40" w:line="240" w:lineRule="auto"/>
              <w:jc w:val="center"/>
            </w:pPr>
            <w:r>
              <w:rPr>
                <w:rFonts w:ascii="宋体" w:hAnsi="宋体" w:eastAsia="宋体"/>
                <w:b w:val="0"/>
                <w:sz w:val="18"/>
              </w:rPr>
              <w:t>0.9187</w:t>
            </w:r>
          </w:p>
        </w:tc>
        <w:tc>
          <w:tcPr>
            <w:tcW w:w="2268" w:type="dxa"/>
          </w:tcPr>
          <w:p w14:paraId="32AB93DD">
            <w:pPr>
              <w:spacing w:before="40" w:after="40" w:line="240" w:lineRule="auto"/>
              <w:jc w:val="center"/>
            </w:pPr>
            <w:r>
              <w:rPr>
                <w:rFonts w:ascii="宋体" w:hAnsi="宋体" w:eastAsia="宋体"/>
                <w:b w:val="0"/>
                <w:sz w:val="18"/>
              </w:rPr>
              <w:t>0.4805</w:t>
            </w:r>
          </w:p>
        </w:tc>
        <w:tc>
          <w:tcPr>
            <w:tcW w:w="2268" w:type="dxa"/>
          </w:tcPr>
          <w:p w14:paraId="0F8134A6">
            <w:pPr>
              <w:spacing w:before="40" w:after="40" w:line="240" w:lineRule="auto"/>
              <w:jc w:val="center"/>
            </w:pPr>
            <w:r>
              <w:rPr>
                <w:rFonts w:ascii="宋体" w:hAnsi="宋体" w:eastAsia="宋体"/>
                <w:b w:val="0"/>
                <w:sz w:val="18"/>
              </w:rPr>
              <w:t>0.9217</w:t>
            </w:r>
          </w:p>
        </w:tc>
      </w:tr>
      <w:tr w14:paraId="71688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E4F01BB">
            <w:pPr>
              <w:spacing w:before="40" w:after="40" w:line="240" w:lineRule="auto"/>
              <w:jc w:val="center"/>
            </w:pPr>
            <w:r>
              <w:rPr>
                <w:rFonts w:ascii="宋体" w:hAnsi="宋体" w:eastAsia="宋体"/>
                <w:b w:val="0"/>
                <w:sz w:val="18"/>
              </w:rPr>
              <w:t>未知(8台,SX1262) 同天</w:t>
            </w:r>
          </w:p>
        </w:tc>
        <w:tc>
          <w:tcPr>
            <w:tcW w:w="2268" w:type="dxa"/>
          </w:tcPr>
          <w:p w14:paraId="760874E3">
            <w:pPr>
              <w:spacing w:before="40" w:after="40" w:line="240" w:lineRule="auto"/>
              <w:jc w:val="center"/>
            </w:pPr>
            <w:r>
              <w:rPr>
                <w:rFonts w:ascii="宋体" w:hAnsi="宋体" w:eastAsia="宋体"/>
                <w:b w:val="0"/>
                <w:sz w:val="18"/>
              </w:rPr>
              <w:t>0.7214</w:t>
            </w:r>
          </w:p>
        </w:tc>
        <w:tc>
          <w:tcPr>
            <w:tcW w:w="2268" w:type="dxa"/>
          </w:tcPr>
          <w:p w14:paraId="6BB9E1F6">
            <w:pPr>
              <w:spacing w:before="40" w:after="40" w:line="240" w:lineRule="auto"/>
              <w:jc w:val="center"/>
            </w:pPr>
            <w:r>
              <w:rPr>
                <w:rFonts w:ascii="宋体" w:hAnsi="宋体" w:eastAsia="宋体"/>
                <w:b w:val="0"/>
                <w:sz w:val="18"/>
              </w:rPr>
              <w:t>0.4971</w:t>
            </w:r>
          </w:p>
        </w:tc>
        <w:tc>
          <w:tcPr>
            <w:tcW w:w="2268" w:type="dxa"/>
          </w:tcPr>
          <w:p w14:paraId="397314BB">
            <w:pPr>
              <w:spacing w:before="40" w:after="40" w:line="240" w:lineRule="auto"/>
              <w:jc w:val="center"/>
            </w:pPr>
            <w:r>
              <w:rPr>
                <w:rFonts w:ascii="宋体" w:hAnsi="宋体" w:eastAsia="宋体"/>
                <w:b w:val="0"/>
                <w:sz w:val="18"/>
              </w:rPr>
              <w:t>0.7572</w:t>
            </w:r>
          </w:p>
        </w:tc>
      </w:tr>
      <w:tr w14:paraId="2E272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0F6CDDD">
            <w:pPr>
              <w:spacing w:before="40" w:after="40" w:line="240" w:lineRule="auto"/>
              <w:jc w:val="center"/>
            </w:pPr>
            <w:r>
              <w:rPr>
                <w:rFonts w:ascii="宋体" w:hAnsi="宋体" w:eastAsia="宋体"/>
                <w:b w:val="0"/>
                <w:sz w:val="18"/>
              </w:rPr>
              <w:t>未知(8台,SX1262) 跨天</w:t>
            </w:r>
          </w:p>
        </w:tc>
        <w:tc>
          <w:tcPr>
            <w:tcW w:w="2268" w:type="dxa"/>
          </w:tcPr>
          <w:p w14:paraId="59794F97">
            <w:pPr>
              <w:spacing w:before="40" w:after="40" w:line="240" w:lineRule="auto"/>
              <w:jc w:val="center"/>
            </w:pPr>
            <w:r>
              <w:rPr>
                <w:rFonts w:ascii="宋体" w:hAnsi="宋体" w:eastAsia="宋体"/>
                <w:b w:val="0"/>
                <w:sz w:val="18"/>
              </w:rPr>
              <w:t>0.7100</w:t>
            </w:r>
          </w:p>
        </w:tc>
        <w:tc>
          <w:tcPr>
            <w:tcW w:w="2268" w:type="dxa"/>
          </w:tcPr>
          <w:p w14:paraId="556F7BBB">
            <w:pPr>
              <w:spacing w:before="40" w:after="40" w:line="240" w:lineRule="auto"/>
              <w:jc w:val="center"/>
            </w:pPr>
            <w:r>
              <w:rPr>
                <w:rFonts w:ascii="宋体" w:hAnsi="宋体" w:eastAsia="宋体"/>
                <w:b w:val="0"/>
                <w:sz w:val="18"/>
              </w:rPr>
              <w:t>0.4842</w:t>
            </w:r>
          </w:p>
        </w:tc>
        <w:tc>
          <w:tcPr>
            <w:tcW w:w="2268" w:type="dxa"/>
          </w:tcPr>
          <w:p w14:paraId="564A8024">
            <w:pPr>
              <w:spacing w:before="40" w:after="40" w:line="240" w:lineRule="auto"/>
              <w:jc w:val="center"/>
            </w:pPr>
            <w:r>
              <w:rPr>
                <w:rFonts w:ascii="宋体" w:hAnsi="宋体" w:eastAsia="宋体"/>
                <w:b w:val="0"/>
                <w:sz w:val="18"/>
              </w:rPr>
              <w:t>0.7409</w:t>
            </w:r>
          </w:p>
        </w:tc>
      </w:tr>
      <w:tr w14:paraId="5DDBF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E6D98D9">
            <w:pPr>
              <w:spacing w:before="40" w:after="40" w:line="240" w:lineRule="auto"/>
              <w:jc w:val="center"/>
            </w:pPr>
            <w:r>
              <w:rPr>
                <w:rFonts w:ascii="宋体" w:hAnsi="宋体" w:eastAsia="宋体"/>
                <w:b w:val="0"/>
                <w:sz w:val="18"/>
              </w:rPr>
              <w:t>未知(18台,LLCC68) 同天</w:t>
            </w:r>
          </w:p>
        </w:tc>
        <w:tc>
          <w:tcPr>
            <w:tcW w:w="2268" w:type="dxa"/>
          </w:tcPr>
          <w:p w14:paraId="25CAE6A2">
            <w:pPr>
              <w:spacing w:before="40" w:after="40" w:line="240" w:lineRule="auto"/>
              <w:jc w:val="center"/>
            </w:pPr>
            <w:r>
              <w:rPr>
                <w:rFonts w:ascii="宋体" w:hAnsi="宋体" w:eastAsia="宋体"/>
                <w:b w:val="0"/>
                <w:sz w:val="18"/>
              </w:rPr>
              <w:t>0.7895</w:t>
            </w:r>
          </w:p>
        </w:tc>
        <w:tc>
          <w:tcPr>
            <w:tcW w:w="2268" w:type="dxa"/>
          </w:tcPr>
          <w:p w14:paraId="7A76E726">
            <w:pPr>
              <w:spacing w:before="40" w:after="40" w:line="240" w:lineRule="auto"/>
              <w:jc w:val="center"/>
            </w:pPr>
            <w:r>
              <w:rPr>
                <w:rFonts w:ascii="宋体" w:hAnsi="宋体" w:eastAsia="宋体"/>
                <w:b w:val="0"/>
                <w:sz w:val="18"/>
              </w:rPr>
              <w:t>N/A</w:t>
            </w:r>
          </w:p>
        </w:tc>
        <w:tc>
          <w:tcPr>
            <w:tcW w:w="2268" w:type="dxa"/>
          </w:tcPr>
          <w:p w14:paraId="7722FFCE">
            <w:pPr>
              <w:spacing w:before="40" w:after="40" w:line="240" w:lineRule="auto"/>
              <w:jc w:val="center"/>
            </w:pPr>
            <w:r>
              <w:rPr>
                <w:rFonts w:ascii="宋体" w:hAnsi="宋体" w:eastAsia="宋体"/>
                <w:b w:val="0"/>
                <w:sz w:val="18"/>
              </w:rPr>
              <w:t>0.7895</w:t>
            </w:r>
          </w:p>
        </w:tc>
      </w:tr>
      <w:tr w14:paraId="17D62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B2E61BE">
            <w:pPr>
              <w:spacing w:before="40" w:after="40" w:line="240" w:lineRule="auto"/>
              <w:jc w:val="center"/>
            </w:pPr>
            <w:r>
              <w:rPr>
                <w:rFonts w:ascii="宋体" w:hAnsi="宋体" w:eastAsia="宋体"/>
                <w:b w:val="0"/>
                <w:sz w:val="18"/>
              </w:rPr>
              <w:t>未知(18台,LLCC68) 跨天</w:t>
            </w:r>
          </w:p>
        </w:tc>
        <w:tc>
          <w:tcPr>
            <w:tcW w:w="2268" w:type="dxa"/>
          </w:tcPr>
          <w:p w14:paraId="43135B90">
            <w:pPr>
              <w:spacing w:before="40" w:after="40" w:line="240" w:lineRule="auto"/>
              <w:jc w:val="center"/>
            </w:pPr>
            <w:r>
              <w:rPr>
                <w:rFonts w:ascii="宋体" w:hAnsi="宋体" w:eastAsia="宋体"/>
                <w:b w:val="0"/>
                <w:sz w:val="18"/>
              </w:rPr>
              <w:t>0.7904</w:t>
            </w:r>
          </w:p>
        </w:tc>
        <w:tc>
          <w:tcPr>
            <w:tcW w:w="2268" w:type="dxa"/>
          </w:tcPr>
          <w:p w14:paraId="3141563B">
            <w:pPr>
              <w:spacing w:before="40" w:after="40" w:line="240" w:lineRule="auto"/>
              <w:jc w:val="center"/>
            </w:pPr>
            <w:r>
              <w:rPr>
                <w:rFonts w:ascii="宋体" w:hAnsi="宋体" w:eastAsia="宋体"/>
                <w:b w:val="0"/>
                <w:sz w:val="18"/>
              </w:rPr>
              <w:t>0.4829</w:t>
            </w:r>
          </w:p>
        </w:tc>
        <w:tc>
          <w:tcPr>
            <w:tcW w:w="2268" w:type="dxa"/>
          </w:tcPr>
          <w:p w14:paraId="32B3ED48">
            <w:pPr>
              <w:spacing w:before="40" w:after="40" w:line="240" w:lineRule="auto"/>
              <w:jc w:val="center"/>
            </w:pPr>
            <w:r>
              <w:rPr>
                <w:rFonts w:ascii="宋体" w:hAnsi="宋体" w:eastAsia="宋体"/>
                <w:b w:val="0"/>
                <w:sz w:val="18"/>
              </w:rPr>
              <w:t>0.7911</w:t>
            </w:r>
          </w:p>
        </w:tc>
      </w:tr>
    </w:tbl>
    <w:p w14:paraId="4121D8F6">
      <w:pPr>
        <w:spacing w:before="80" w:after="160"/>
        <w:jc w:val="center"/>
      </w:pPr>
      <w:r>
        <w:rPr>
          <w:rFonts w:ascii="宋体" w:hAnsi="宋体" w:eastAsia="宋体"/>
          <w:b/>
          <w:sz w:val="21"/>
        </w:rPr>
        <w:t>表2  各场景置信度分布统计</w:t>
      </w:r>
    </w:p>
    <w:p w14:paraId="794279C7">
      <w:pPr>
        <w:spacing w:after="120" w:line="440" w:lineRule="exact"/>
        <w:jc w:val="left"/>
      </w:pPr>
    </w:p>
    <w:p w14:paraId="46922377">
      <w:pPr>
        <w:spacing w:after="120" w:line="440" w:lineRule="exact"/>
        <w:jc w:val="left"/>
      </w:pPr>
      <w:r>
        <w:rPr>
          <w:rFonts w:ascii="宋体" w:hAnsi="宋体" w:eastAsia="宋体"/>
          <w:b w:val="0"/>
          <w:sz w:val="24"/>
        </w:rPr>
        <w:t>18台未知设备的平均置信度甚至高于8台未知设备，进一步证实其特征与已知类别的重叠程度更高。8台设备的平均置信度（0.72）介于已知设备（0.94）和随机水平之间，尚存一定的区分空间；而18台设备的置信度分布与已知设备更为接近，使得基于阈值的拒识策略几乎无法生效。</w:t>
      </w:r>
    </w:p>
    <w:p w14:paraId="3AC0755D">
      <w:pPr>
        <w:pStyle w:val="3"/>
      </w:pPr>
      <w:r>
        <w:rPr>
          <w:rFonts w:ascii="黑体" w:hAnsi="黑体" w:eastAsia="黑体"/>
        </w:rPr>
        <w:t>四、阈值敏感性分析</w:t>
      </w:r>
    </w:p>
    <w:p w14:paraId="58DF37DC">
      <w:pPr>
        <w:spacing w:after="120" w:line="440" w:lineRule="exact"/>
        <w:jc w:val="left"/>
      </w:pPr>
      <w:r>
        <w:rPr>
          <w:rFonts w:ascii="宋体" w:hAnsi="宋体" w:eastAsia="宋体"/>
          <w:b w:val="0"/>
          <w:sz w:val="24"/>
        </w:rPr>
        <w:t>在7组不同阈值配置下，分别测试已知设备（30台）、未知8台和未知18台的同天拒识率：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1134"/>
        <w:gridCol w:w="1134"/>
        <w:gridCol w:w="1134"/>
        <w:gridCol w:w="1134"/>
        <w:gridCol w:w="1134"/>
        <w:gridCol w:w="1134"/>
      </w:tblGrid>
      <w:tr w14:paraId="3473F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2E5A3E"/>
          </w:tcPr>
          <w:p w14:paraId="41FAE04A">
            <w:pPr>
              <w:spacing w:before="40" w:after="40" w:line="240" w:lineRule="auto"/>
              <w:jc w:val="center"/>
            </w:pPr>
            <w:r>
              <w:rPr>
                <w:rFonts w:ascii="宋体" w:hAnsi="宋体" w:eastAsia="宋体"/>
                <w:b/>
                <w:color w:val="FFFFFF"/>
                <w:sz w:val="16"/>
              </w:rPr>
              <w:t>阈值配置</w:t>
            </w:r>
          </w:p>
        </w:tc>
        <w:tc>
          <w:tcPr>
            <w:tcW w:w="1134" w:type="dxa"/>
            <w:shd w:val="clear" w:color="auto" w:fill="2E5A3E"/>
          </w:tcPr>
          <w:p w14:paraId="610F5C9A">
            <w:pPr>
              <w:spacing w:before="40" w:after="40" w:line="240" w:lineRule="auto"/>
              <w:jc w:val="center"/>
            </w:pPr>
            <w:r>
              <w:rPr>
                <w:rFonts w:ascii="宋体" w:hAnsi="宋体" w:eastAsia="宋体"/>
                <w:b/>
                <w:color w:val="FFFFFF"/>
                <w:sz w:val="16"/>
              </w:rPr>
              <w:t>tau_1</w:t>
            </w:r>
          </w:p>
        </w:tc>
        <w:tc>
          <w:tcPr>
            <w:tcW w:w="1134" w:type="dxa"/>
            <w:shd w:val="clear" w:color="auto" w:fill="2E5A3E"/>
          </w:tcPr>
          <w:p w14:paraId="734A0EB6">
            <w:pPr>
              <w:spacing w:before="40" w:after="40" w:line="240" w:lineRule="auto"/>
              <w:jc w:val="center"/>
            </w:pPr>
            <w:r>
              <w:rPr>
                <w:rFonts w:ascii="宋体" w:hAnsi="宋体" w:eastAsia="宋体"/>
                <w:b/>
                <w:color w:val="FFFFFF"/>
                <w:sz w:val="16"/>
              </w:rPr>
              <w:t>tau_2</w:t>
            </w:r>
          </w:p>
        </w:tc>
        <w:tc>
          <w:tcPr>
            <w:tcW w:w="1134" w:type="dxa"/>
            <w:shd w:val="clear" w:color="auto" w:fill="2E5A3E"/>
          </w:tcPr>
          <w:p w14:paraId="066BDC1D">
            <w:pPr>
              <w:spacing w:before="40" w:after="40" w:line="240" w:lineRule="auto"/>
              <w:jc w:val="center"/>
            </w:pPr>
            <w:r>
              <w:rPr>
                <w:rFonts w:ascii="宋体" w:hAnsi="宋体" w:eastAsia="宋体"/>
                <w:b/>
                <w:color w:val="FFFFFF"/>
                <w:sz w:val="16"/>
              </w:rPr>
              <w:t>已知拒识率</w:t>
            </w:r>
          </w:p>
        </w:tc>
        <w:tc>
          <w:tcPr>
            <w:tcW w:w="1134" w:type="dxa"/>
            <w:shd w:val="clear" w:color="auto" w:fill="2E5A3E"/>
          </w:tcPr>
          <w:p w14:paraId="0AC40ADA">
            <w:pPr>
              <w:spacing w:before="40" w:after="40" w:line="240" w:lineRule="auto"/>
              <w:jc w:val="center"/>
            </w:pPr>
            <w:r>
              <w:rPr>
                <w:rFonts w:ascii="宋体" w:hAnsi="宋体" w:eastAsia="宋体"/>
                <w:b/>
                <w:color w:val="FFFFFF"/>
                <w:sz w:val="16"/>
              </w:rPr>
              <w:t>已知接受准确率</w:t>
            </w:r>
          </w:p>
        </w:tc>
        <w:tc>
          <w:tcPr>
            <w:tcW w:w="1134" w:type="dxa"/>
            <w:shd w:val="clear" w:color="auto" w:fill="2E5A3E"/>
          </w:tcPr>
          <w:p w14:paraId="22B91E8D">
            <w:pPr>
              <w:spacing w:before="40" w:after="40" w:line="240" w:lineRule="auto"/>
              <w:jc w:val="center"/>
            </w:pPr>
            <w:r>
              <w:rPr>
                <w:rFonts w:ascii="宋体" w:hAnsi="宋体" w:eastAsia="宋体"/>
                <w:b/>
                <w:color w:val="FFFFFF"/>
                <w:sz w:val="16"/>
              </w:rPr>
              <w:t>未知8台拒识率</w:t>
            </w:r>
          </w:p>
        </w:tc>
        <w:tc>
          <w:tcPr>
            <w:tcW w:w="1134" w:type="dxa"/>
            <w:shd w:val="clear" w:color="auto" w:fill="2E5A3E"/>
          </w:tcPr>
          <w:p w14:paraId="5A9A25BC">
            <w:pPr>
              <w:spacing w:before="40" w:after="40" w:line="240" w:lineRule="auto"/>
              <w:jc w:val="center"/>
            </w:pPr>
            <w:r>
              <w:rPr>
                <w:rFonts w:ascii="宋体" w:hAnsi="宋体" w:eastAsia="宋体"/>
                <w:b/>
                <w:color w:val="FFFFFF"/>
                <w:sz w:val="16"/>
              </w:rPr>
              <w:t>未知18台拒识率</w:t>
            </w:r>
          </w:p>
        </w:tc>
        <w:tc>
          <w:tcPr>
            <w:tcW w:w="1134" w:type="dxa"/>
            <w:shd w:val="clear" w:color="auto" w:fill="2E5A3E"/>
          </w:tcPr>
          <w:p w14:paraId="0E9791C3">
            <w:pPr>
              <w:spacing w:before="40" w:after="40" w:line="240" w:lineRule="auto"/>
              <w:jc w:val="center"/>
            </w:pPr>
            <w:r>
              <w:rPr>
                <w:rFonts w:ascii="宋体" w:hAnsi="宋体" w:eastAsia="宋体"/>
                <w:b/>
                <w:color w:val="FFFFFF"/>
                <w:sz w:val="16"/>
              </w:rPr>
              <w:t>18台误接受率</w:t>
            </w:r>
          </w:p>
        </w:tc>
      </w:tr>
      <w:tr w14:paraId="2B5D7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24564AB">
            <w:pPr>
              <w:spacing w:before="40" w:after="40" w:line="240" w:lineRule="auto"/>
              <w:jc w:val="center"/>
            </w:pPr>
            <w:r>
              <w:rPr>
                <w:rFonts w:ascii="宋体" w:hAnsi="宋体" w:eastAsia="宋体"/>
                <w:b w:val="0"/>
                <w:sz w:val="18"/>
              </w:rPr>
              <w:t>宽松</w:t>
            </w:r>
          </w:p>
        </w:tc>
        <w:tc>
          <w:tcPr>
            <w:tcW w:w="1134" w:type="dxa"/>
          </w:tcPr>
          <w:p w14:paraId="15033049">
            <w:pPr>
              <w:spacing w:before="40" w:after="40" w:line="240" w:lineRule="auto"/>
              <w:jc w:val="center"/>
            </w:pPr>
            <w:r>
              <w:rPr>
                <w:rFonts w:ascii="宋体" w:hAnsi="宋体" w:eastAsia="宋体"/>
                <w:b w:val="0"/>
                <w:sz w:val="18"/>
              </w:rPr>
              <w:t>0.10</w:t>
            </w:r>
          </w:p>
        </w:tc>
        <w:tc>
          <w:tcPr>
            <w:tcW w:w="1134" w:type="dxa"/>
          </w:tcPr>
          <w:p w14:paraId="3B8504BF">
            <w:pPr>
              <w:spacing w:before="40" w:after="40" w:line="240" w:lineRule="auto"/>
              <w:jc w:val="center"/>
            </w:pPr>
            <w:r>
              <w:rPr>
                <w:rFonts w:ascii="宋体" w:hAnsi="宋体" w:eastAsia="宋体"/>
                <w:b w:val="0"/>
                <w:sz w:val="18"/>
              </w:rPr>
              <w:t>0.05</w:t>
            </w:r>
          </w:p>
        </w:tc>
        <w:tc>
          <w:tcPr>
            <w:tcW w:w="1134" w:type="dxa"/>
          </w:tcPr>
          <w:p w14:paraId="651F9D75">
            <w:pPr>
              <w:spacing w:before="40" w:after="40" w:line="240" w:lineRule="auto"/>
              <w:jc w:val="center"/>
            </w:pPr>
            <w:r>
              <w:rPr>
                <w:rFonts w:ascii="宋体" w:hAnsi="宋体" w:eastAsia="宋体"/>
                <w:b w:val="0"/>
                <w:sz w:val="18"/>
              </w:rPr>
              <w:t>0.16%</w:t>
            </w:r>
          </w:p>
        </w:tc>
        <w:tc>
          <w:tcPr>
            <w:tcW w:w="1134" w:type="dxa"/>
          </w:tcPr>
          <w:p w14:paraId="2A8D3B7E">
            <w:pPr>
              <w:spacing w:before="40" w:after="40" w:line="240" w:lineRule="auto"/>
              <w:jc w:val="center"/>
            </w:pPr>
            <w:r>
              <w:rPr>
                <w:rFonts w:ascii="宋体" w:hAnsi="宋体" w:eastAsia="宋体"/>
                <w:b w:val="0"/>
                <w:sz w:val="18"/>
              </w:rPr>
              <w:t>0.9911</w:t>
            </w:r>
          </w:p>
        </w:tc>
        <w:tc>
          <w:tcPr>
            <w:tcW w:w="1134" w:type="dxa"/>
          </w:tcPr>
          <w:p w14:paraId="632D75EE">
            <w:pPr>
              <w:spacing w:before="40" w:after="40" w:line="240" w:lineRule="auto"/>
              <w:jc w:val="center"/>
            </w:pPr>
            <w:r>
              <w:rPr>
                <w:rFonts w:ascii="宋体" w:hAnsi="宋体" w:eastAsia="宋体"/>
                <w:b/>
                <w:sz w:val="18"/>
              </w:rPr>
              <w:t>5.18%</w:t>
            </w:r>
          </w:p>
        </w:tc>
        <w:tc>
          <w:tcPr>
            <w:tcW w:w="1134" w:type="dxa"/>
          </w:tcPr>
          <w:p w14:paraId="32D01A30">
            <w:pPr>
              <w:spacing w:before="40" w:after="40" w:line="240" w:lineRule="auto"/>
              <w:jc w:val="center"/>
            </w:pPr>
            <w:r>
              <w:rPr>
                <w:rFonts w:ascii="宋体" w:hAnsi="宋体" w:eastAsia="宋体"/>
                <w:b/>
                <w:sz w:val="18"/>
              </w:rPr>
              <w:t>0.00%</w:t>
            </w:r>
          </w:p>
        </w:tc>
        <w:tc>
          <w:tcPr>
            <w:tcW w:w="1134" w:type="dxa"/>
          </w:tcPr>
          <w:p w14:paraId="0913D3A6">
            <w:pPr>
              <w:spacing w:before="40" w:after="40" w:line="240" w:lineRule="auto"/>
              <w:jc w:val="center"/>
            </w:pPr>
            <w:r>
              <w:rPr>
                <w:rFonts w:ascii="宋体" w:hAnsi="宋体" w:eastAsia="宋体"/>
                <w:b w:val="0"/>
                <w:color w:val="C62828"/>
                <w:sz w:val="18"/>
              </w:rPr>
              <w:t>100.00%</w:t>
            </w:r>
          </w:p>
        </w:tc>
      </w:tr>
      <w:tr w14:paraId="4C526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5CEF88B">
            <w:pPr>
              <w:spacing w:before="40" w:after="40" w:line="240" w:lineRule="auto"/>
              <w:jc w:val="center"/>
            </w:pPr>
            <w:r>
              <w:rPr>
                <w:rFonts w:ascii="宋体" w:hAnsi="宋体" w:eastAsia="宋体"/>
                <w:b w:val="0"/>
                <w:sz w:val="18"/>
              </w:rPr>
              <w:t>较宽松</w:t>
            </w:r>
          </w:p>
        </w:tc>
        <w:tc>
          <w:tcPr>
            <w:tcW w:w="1134" w:type="dxa"/>
          </w:tcPr>
          <w:p w14:paraId="341D6304">
            <w:pPr>
              <w:spacing w:before="40" w:after="40" w:line="240" w:lineRule="auto"/>
              <w:jc w:val="center"/>
            </w:pPr>
            <w:r>
              <w:rPr>
                <w:rFonts w:ascii="宋体" w:hAnsi="宋体" w:eastAsia="宋体"/>
                <w:b w:val="0"/>
                <w:sz w:val="18"/>
              </w:rPr>
              <w:t>0.20</w:t>
            </w:r>
          </w:p>
        </w:tc>
        <w:tc>
          <w:tcPr>
            <w:tcW w:w="1134" w:type="dxa"/>
          </w:tcPr>
          <w:p w14:paraId="789BF5D8">
            <w:pPr>
              <w:spacing w:before="40" w:after="40" w:line="240" w:lineRule="auto"/>
              <w:jc w:val="center"/>
            </w:pPr>
            <w:r>
              <w:rPr>
                <w:rFonts w:ascii="宋体" w:hAnsi="宋体" w:eastAsia="宋体"/>
                <w:b w:val="0"/>
                <w:sz w:val="18"/>
              </w:rPr>
              <w:t>0.08</w:t>
            </w:r>
          </w:p>
        </w:tc>
        <w:tc>
          <w:tcPr>
            <w:tcW w:w="1134" w:type="dxa"/>
          </w:tcPr>
          <w:p w14:paraId="5B92E412">
            <w:pPr>
              <w:spacing w:before="40" w:after="40" w:line="240" w:lineRule="auto"/>
              <w:jc w:val="center"/>
            </w:pPr>
            <w:r>
              <w:rPr>
                <w:rFonts w:ascii="宋体" w:hAnsi="宋体" w:eastAsia="宋体"/>
                <w:b w:val="0"/>
                <w:sz w:val="18"/>
              </w:rPr>
              <w:t>0.27%</w:t>
            </w:r>
          </w:p>
        </w:tc>
        <w:tc>
          <w:tcPr>
            <w:tcW w:w="1134" w:type="dxa"/>
          </w:tcPr>
          <w:p w14:paraId="32A98DFE">
            <w:pPr>
              <w:spacing w:before="40" w:after="40" w:line="240" w:lineRule="auto"/>
              <w:jc w:val="center"/>
            </w:pPr>
            <w:r>
              <w:rPr>
                <w:rFonts w:ascii="宋体" w:hAnsi="宋体" w:eastAsia="宋体"/>
                <w:b w:val="0"/>
                <w:sz w:val="18"/>
              </w:rPr>
              <w:t>0.9916</w:t>
            </w:r>
          </w:p>
        </w:tc>
        <w:tc>
          <w:tcPr>
            <w:tcW w:w="1134" w:type="dxa"/>
          </w:tcPr>
          <w:p w14:paraId="7B668ACA">
            <w:pPr>
              <w:spacing w:before="40" w:after="40" w:line="240" w:lineRule="auto"/>
              <w:jc w:val="center"/>
            </w:pPr>
            <w:r>
              <w:rPr>
                <w:rFonts w:ascii="宋体" w:hAnsi="宋体" w:eastAsia="宋体"/>
                <w:b/>
                <w:sz w:val="18"/>
              </w:rPr>
              <w:t>9.42%</w:t>
            </w:r>
          </w:p>
        </w:tc>
        <w:tc>
          <w:tcPr>
            <w:tcW w:w="1134" w:type="dxa"/>
          </w:tcPr>
          <w:p w14:paraId="233171DF">
            <w:pPr>
              <w:spacing w:before="40" w:after="40" w:line="240" w:lineRule="auto"/>
              <w:jc w:val="center"/>
            </w:pPr>
            <w:r>
              <w:rPr>
                <w:rFonts w:ascii="宋体" w:hAnsi="宋体" w:eastAsia="宋体"/>
                <w:b/>
                <w:sz w:val="18"/>
              </w:rPr>
              <w:t>0.00%</w:t>
            </w:r>
          </w:p>
        </w:tc>
        <w:tc>
          <w:tcPr>
            <w:tcW w:w="1134" w:type="dxa"/>
          </w:tcPr>
          <w:p w14:paraId="1A21B05F">
            <w:pPr>
              <w:spacing w:before="40" w:after="40" w:line="240" w:lineRule="auto"/>
              <w:jc w:val="center"/>
            </w:pPr>
            <w:r>
              <w:rPr>
                <w:rFonts w:ascii="宋体" w:hAnsi="宋体" w:eastAsia="宋体"/>
                <w:b w:val="0"/>
                <w:color w:val="C62828"/>
                <w:sz w:val="18"/>
              </w:rPr>
              <w:t>100.00%</w:t>
            </w:r>
          </w:p>
        </w:tc>
      </w:tr>
      <w:tr w14:paraId="31A09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3F2FD"/>
          </w:tcPr>
          <w:p w14:paraId="474303F2">
            <w:pPr>
              <w:spacing w:before="40" w:after="40" w:line="240" w:lineRule="auto"/>
              <w:jc w:val="center"/>
            </w:pPr>
            <w:r>
              <w:rPr>
                <w:rFonts w:ascii="宋体" w:hAnsi="宋体" w:eastAsia="宋体"/>
                <w:b/>
                <w:sz w:val="18"/>
              </w:rPr>
              <w:t>默认</w:t>
            </w:r>
          </w:p>
        </w:tc>
        <w:tc>
          <w:tcPr>
            <w:tcW w:w="1134" w:type="dxa"/>
            <w:shd w:val="clear" w:color="auto" w:fill="E3F2FD"/>
          </w:tcPr>
          <w:p w14:paraId="3559DDD2">
            <w:pPr>
              <w:spacing w:before="40" w:after="40" w:line="240" w:lineRule="auto"/>
              <w:jc w:val="center"/>
            </w:pPr>
            <w:r>
              <w:rPr>
                <w:rFonts w:ascii="宋体" w:hAnsi="宋体" w:eastAsia="宋体"/>
                <w:b w:val="0"/>
                <w:sz w:val="18"/>
              </w:rPr>
              <w:t>0.30</w:t>
            </w:r>
          </w:p>
        </w:tc>
        <w:tc>
          <w:tcPr>
            <w:tcW w:w="1134" w:type="dxa"/>
            <w:shd w:val="clear" w:color="auto" w:fill="E3F2FD"/>
          </w:tcPr>
          <w:p w14:paraId="052EFFB1">
            <w:pPr>
              <w:spacing w:before="40" w:after="40" w:line="240" w:lineRule="auto"/>
              <w:jc w:val="center"/>
            </w:pPr>
            <w:r>
              <w:rPr>
                <w:rFonts w:ascii="宋体" w:hAnsi="宋体" w:eastAsia="宋体"/>
                <w:b w:val="0"/>
                <w:sz w:val="18"/>
              </w:rPr>
              <w:t>0.10</w:t>
            </w:r>
          </w:p>
        </w:tc>
        <w:tc>
          <w:tcPr>
            <w:tcW w:w="1134" w:type="dxa"/>
            <w:shd w:val="clear" w:color="auto" w:fill="E3F2FD"/>
          </w:tcPr>
          <w:p w14:paraId="0EFC5CE5">
            <w:pPr>
              <w:spacing w:before="40" w:after="40" w:line="240" w:lineRule="auto"/>
              <w:jc w:val="center"/>
            </w:pPr>
            <w:r>
              <w:rPr>
                <w:rFonts w:ascii="宋体" w:hAnsi="宋体" w:eastAsia="宋体"/>
                <w:b w:val="0"/>
                <w:sz w:val="18"/>
              </w:rPr>
              <w:t>0.34%</w:t>
            </w:r>
          </w:p>
        </w:tc>
        <w:tc>
          <w:tcPr>
            <w:tcW w:w="1134" w:type="dxa"/>
            <w:shd w:val="clear" w:color="auto" w:fill="E3F2FD"/>
          </w:tcPr>
          <w:p w14:paraId="6F6168CB">
            <w:pPr>
              <w:spacing w:before="40" w:after="40" w:line="240" w:lineRule="auto"/>
              <w:jc w:val="center"/>
            </w:pPr>
            <w:r>
              <w:rPr>
                <w:rFonts w:ascii="宋体" w:hAnsi="宋体" w:eastAsia="宋体"/>
                <w:b w:val="0"/>
                <w:sz w:val="18"/>
              </w:rPr>
              <w:t>0.9918</w:t>
            </w:r>
          </w:p>
        </w:tc>
        <w:tc>
          <w:tcPr>
            <w:tcW w:w="1134" w:type="dxa"/>
            <w:shd w:val="clear" w:color="auto" w:fill="E3F2FD"/>
          </w:tcPr>
          <w:p w14:paraId="4B9C31EE">
            <w:pPr>
              <w:spacing w:before="40" w:after="40" w:line="240" w:lineRule="auto"/>
              <w:jc w:val="center"/>
            </w:pPr>
            <w:r>
              <w:rPr>
                <w:rFonts w:ascii="宋体" w:hAnsi="宋体" w:eastAsia="宋体"/>
                <w:b/>
                <w:sz w:val="18"/>
              </w:rPr>
              <w:t>13.77%</w:t>
            </w:r>
          </w:p>
        </w:tc>
        <w:tc>
          <w:tcPr>
            <w:tcW w:w="1134" w:type="dxa"/>
            <w:shd w:val="clear" w:color="auto" w:fill="E3F2FD"/>
          </w:tcPr>
          <w:p w14:paraId="6F22FB54">
            <w:pPr>
              <w:spacing w:before="40" w:after="40" w:line="240" w:lineRule="auto"/>
              <w:jc w:val="center"/>
            </w:pPr>
            <w:r>
              <w:rPr>
                <w:rFonts w:ascii="宋体" w:hAnsi="宋体" w:eastAsia="宋体"/>
                <w:b/>
                <w:sz w:val="18"/>
              </w:rPr>
              <w:t>0.00%</w:t>
            </w:r>
          </w:p>
        </w:tc>
        <w:tc>
          <w:tcPr>
            <w:tcW w:w="1134" w:type="dxa"/>
            <w:shd w:val="clear" w:color="auto" w:fill="E3F2FD"/>
          </w:tcPr>
          <w:p w14:paraId="12215A9D">
            <w:pPr>
              <w:spacing w:before="40" w:after="40" w:line="240" w:lineRule="auto"/>
              <w:jc w:val="center"/>
            </w:pPr>
            <w:r>
              <w:rPr>
                <w:rFonts w:ascii="宋体" w:hAnsi="宋体" w:eastAsia="宋体"/>
                <w:b w:val="0"/>
                <w:color w:val="C62828"/>
                <w:sz w:val="18"/>
              </w:rPr>
              <w:t>100.00%</w:t>
            </w:r>
          </w:p>
        </w:tc>
      </w:tr>
      <w:tr w14:paraId="7ADDE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7559746">
            <w:pPr>
              <w:spacing w:before="40" w:after="40" w:line="240" w:lineRule="auto"/>
              <w:jc w:val="center"/>
            </w:pPr>
            <w:r>
              <w:rPr>
                <w:rFonts w:ascii="宋体" w:hAnsi="宋体" w:eastAsia="宋体"/>
                <w:b w:val="0"/>
                <w:sz w:val="18"/>
              </w:rPr>
              <w:t>较严格</w:t>
            </w:r>
          </w:p>
        </w:tc>
        <w:tc>
          <w:tcPr>
            <w:tcW w:w="1134" w:type="dxa"/>
          </w:tcPr>
          <w:p w14:paraId="22185B67">
            <w:pPr>
              <w:spacing w:before="40" w:after="40" w:line="240" w:lineRule="auto"/>
              <w:jc w:val="center"/>
            </w:pPr>
            <w:r>
              <w:rPr>
                <w:rFonts w:ascii="宋体" w:hAnsi="宋体" w:eastAsia="宋体"/>
                <w:b w:val="0"/>
                <w:sz w:val="18"/>
              </w:rPr>
              <w:t>0.40</w:t>
            </w:r>
          </w:p>
        </w:tc>
        <w:tc>
          <w:tcPr>
            <w:tcW w:w="1134" w:type="dxa"/>
          </w:tcPr>
          <w:p w14:paraId="34BF5C0B">
            <w:pPr>
              <w:spacing w:before="40" w:after="40" w:line="240" w:lineRule="auto"/>
              <w:jc w:val="center"/>
            </w:pPr>
            <w:r>
              <w:rPr>
                <w:rFonts w:ascii="宋体" w:hAnsi="宋体" w:eastAsia="宋体"/>
                <w:b w:val="0"/>
                <w:sz w:val="18"/>
              </w:rPr>
              <w:t>0.15</w:t>
            </w:r>
          </w:p>
        </w:tc>
        <w:tc>
          <w:tcPr>
            <w:tcW w:w="1134" w:type="dxa"/>
          </w:tcPr>
          <w:p w14:paraId="591C21F1">
            <w:pPr>
              <w:spacing w:before="40" w:after="40" w:line="240" w:lineRule="auto"/>
              <w:jc w:val="center"/>
            </w:pPr>
            <w:r>
              <w:rPr>
                <w:rFonts w:ascii="宋体" w:hAnsi="宋体" w:eastAsia="宋体"/>
                <w:b w:val="0"/>
                <w:sz w:val="18"/>
              </w:rPr>
              <w:t>0.51%</w:t>
            </w:r>
          </w:p>
        </w:tc>
        <w:tc>
          <w:tcPr>
            <w:tcW w:w="1134" w:type="dxa"/>
          </w:tcPr>
          <w:p w14:paraId="2B09AECE">
            <w:pPr>
              <w:spacing w:before="40" w:after="40" w:line="240" w:lineRule="auto"/>
              <w:jc w:val="center"/>
            </w:pPr>
            <w:r>
              <w:rPr>
                <w:rFonts w:ascii="宋体" w:hAnsi="宋体" w:eastAsia="宋体"/>
                <w:b w:val="0"/>
                <w:sz w:val="18"/>
              </w:rPr>
              <w:t>0.9921</w:t>
            </w:r>
          </w:p>
        </w:tc>
        <w:tc>
          <w:tcPr>
            <w:tcW w:w="1134" w:type="dxa"/>
          </w:tcPr>
          <w:p w14:paraId="42682541">
            <w:pPr>
              <w:spacing w:before="40" w:after="40" w:line="240" w:lineRule="auto"/>
              <w:jc w:val="center"/>
            </w:pPr>
            <w:r>
              <w:rPr>
                <w:rFonts w:ascii="宋体" w:hAnsi="宋体" w:eastAsia="宋体"/>
                <w:b/>
                <w:sz w:val="18"/>
              </w:rPr>
              <w:t>19.15%</w:t>
            </w:r>
          </w:p>
        </w:tc>
        <w:tc>
          <w:tcPr>
            <w:tcW w:w="1134" w:type="dxa"/>
          </w:tcPr>
          <w:p w14:paraId="7BC1960F">
            <w:pPr>
              <w:spacing w:before="40" w:after="40" w:line="240" w:lineRule="auto"/>
              <w:jc w:val="center"/>
            </w:pPr>
            <w:r>
              <w:rPr>
                <w:rFonts w:ascii="宋体" w:hAnsi="宋体" w:eastAsia="宋体"/>
                <w:b/>
                <w:sz w:val="18"/>
              </w:rPr>
              <w:t>9.34%</w:t>
            </w:r>
          </w:p>
        </w:tc>
        <w:tc>
          <w:tcPr>
            <w:tcW w:w="1134" w:type="dxa"/>
          </w:tcPr>
          <w:p w14:paraId="2F179EBB">
            <w:pPr>
              <w:spacing w:before="40" w:after="40" w:line="240" w:lineRule="auto"/>
              <w:jc w:val="center"/>
            </w:pPr>
            <w:r>
              <w:rPr>
                <w:rFonts w:ascii="宋体" w:hAnsi="宋体" w:eastAsia="宋体"/>
                <w:b w:val="0"/>
                <w:color w:val="C62828"/>
                <w:sz w:val="18"/>
              </w:rPr>
              <w:t>90.66%</w:t>
            </w:r>
          </w:p>
        </w:tc>
      </w:tr>
      <w:tr w14:paraId="5484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1A1E34A">
            <w:pPr>
              <w:spacing w:before="40" w:after="40" w:line="240" w:lineRule="auto"/>
              <w:jc w:val="center"/>
            </w:pPr>
            <w:r>
              <w:rPr>
                <w:rFonts w:ascii="宋体" w:hAnsi="宋体" w:eastAsia="宋体"/>
                <w:b w:val="0"/>
                <w:sz w:val="18"/>
              </w:rPr>
              <w:t>严格</w:t>
            </w:r>
          </w:p>
        </w:tc>
        <w:tc>
          <w:tcPr>
            <w:tcW w:w="1134" w:type="dxa"/>
          </w:tcPr>
          <w:p w14:paraId="12699134">
            <w:pPr>
              <w:spacing w:before="40" w:after="40" w:line="240" w:lineRule="auto"/>
              <w:jc w:val="center"/>
            </w:pPr>
            <w:r>
              <w:rPr>
                <w:rFonts w:ascii="宋体" w:hAnsi="宋体" w:eastAsia="宋体"/>
                <w:b w:val="0"/>
                <w:sz w:val="18"/>
              </w:rPr>
              <w:t>0.50</w:t>
            </w:r>
          </w:p>
        </w:tc>
        <w:tc>
          <w:tcPr>
            <w:tcW w:w="1134" w:type="dxa"/>
          </w:tcPr>
          <w:p w14:paraId="3BFF5EA9">
            <w:pPr>
              <w:spacing w:before="40" w:after="40" w:line="240" w:lineRule="auto"/>
              <w:jc w:val="center"/>
            </w:pPr>
            <w:r>
              <w:rPr>
                <w:rFonts w:ascii="宋体" w:hAnsi="宋体" w:eastAsia="宋体"/>
                <w:b w:val="0"/>
                <w:sz w:val="18"/>
              </w:rPr>
              <w:t>0.20</w:t>
            </w:r>
          </w:p>
        </w:tc>
        <w:tc>
          <w:tcPr>
            <w:tcW w:w="1134" w:type="dxa"/>
          </w:tcPr>
          <w:p w14:paraId="3CBFAB70">
            <w:pPr>
              <w:spacing w:before="40" w:after="40" w:line="240" w:lineRule="auto"/>
              <w:jc w:val="center"/>
            </w:pPr>
            <w:r>
              <w:rPr>
                <w:rFonts w:ascii="宋体" w:hAnsi="宋体" w:eastAsia="宋体"/>
                <w:b w:val="0"/>
                <w:sz w:val="18"/>
              </w:rPr>
              <w:t>0.90%</w:t>
            </w:r>
          </w:p>
        </w:tc>
        <w:tc>
          <w:tcPr>
            <w:tcW w:w="1134" w:type="dxa"/>
          </w:tcPr>
          <w:p w14:paraId="2BF94BDA">
            <w:pPr>
              <w:spacing w:before="40" w:after="40" w:line="240" w:lineRule="auto"/>
              <w:jc w:val="center"/>
            </w:pPr>
            <w:r>
              <w:rPr>
                <w:rFonts w:ascii="宋体" w:hAnsi="宋体" w:eastAsia="宋体"/>
                <w:b w:val="0"/>
                <w:sz w:val="18"/>
              </w:rPr>
              <w:t>0.993</w:t>
            </w:r>
          </w:p>
        </w:tc>
        <w:tc>
          <w:tcPr>
            <w:tcW w:w="1134" w:type="dxa"/>
          </w:tcPr>
          <w:p w14:paraId="69BE28A5">
            <w:pPr>
              <w:spacing w:before="40" w:after="40" w:line="240" w:lineRule="auto"/>
              <w:jc w:val="center"/>
            </w:pPr>
            <w:r>
              <w:rPr>
                <w:rFonts w:ascii="宋体" w:hAnsi="宋体" w:eastAsia="宋体"/>
                <w:b/>
                <w:sz w:val="18"/>
              </w:rPr>
              <w:t>24.12%</w:t>
            </w:r>
          </w:p>
        </w:tc>
        <w:tc>
          <w:tcPr>
            <w:tcW w:w="1134" w:type="dxa"/>
          </w:tcPr>
          <w:p w14:paraId="7E041B82">
            <w:pPr>
              <w:spacing w:before="40" w:after="40" w:line="240" w:lineRule="auto"/>
              <w:jc w:val="center"/>
            </w:pPr>
            <w:r>
              <w:rPr>
                <w:rFonts w:ascii="宋体" w:hAnsi="宋体" w:eastAsia="宋体"/>
                <w:b/>
                <w:sz w:val="18"/>
              </w:rPr>
              <w:t>11.87%</w:t>
            </w:r>
          </w:p>
        </w:tc>
        <w:tc>
          <w:tcPr>
            <w:tcW w:w="1134" w:type="dxa"/>
          </w:tcPr>
          <w:p w14:paraId="69D533C8">
            <w:pPr>
              <w:spacing w:before="40" w:after="40" w:line="240" w:lineRule="auto"/>
              <w:jc w:val="center"/>
            </w:pPr>
            <w:r>
              <w:rPr>
                <w:rFonts w:ascii="宋体" w:hAnsi="宋体" w:eastAsia="宋体"/>
                <w:b w:val="0"/>
                <w:color w:val="C62828"/>
                <w:sz w:val="18"/>
              </w:rPr>
              <w:t>88.13%</w:t>
            </w:r>
          </w:p>
        </w:tc>
      </w:tr>
      <w:tr w14:paraId="5795A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DED9D9C">
            <w:pPr>
              <w:spacing w:before="40" w:after="40" w:line="240" w:lineRule="auto"/>
              <w:jc w:val="center"/>
            </w:pPr>
            <w:r>
              <w:rPr>
                <w:rFonts w:ascii="宋体" w:hAnsi="宋体" w:eastAsia="宋体"/>
                <w:b w:val="0"/>
                <w:sz w:val="18"/>
              </w:rPr>
              <w:t>非常严格</w:t>
            </w:r>
          </w:p>
        </w:tc>
        <w:tc>
          <w:tcPr>
            <w:tcW w:w="1134" w:type="dxa"/>
          </w:tcPr>
          <w:p w14:paraId="3B0BC352">
            <w:pPr>
              <w:spacing w:before="40" w:after="40" w:line="240" w:lineRule="auto"/>
              <w:jc w:val="center"/>
            </w:pPr>
            <w:r>
              <w:rPr>
                <w:rFonts w:ascii="宋体" w:hAnsi="宋体" w:eastAsia="宋体"/>
                <w:b w:val="0"/>
                <w:sz w:val="18"/>
              </w:rPr>
              <w:t>0.60</w:t>
            </w:r>
          </w:p>
        </w:tc>
        <w:tc>
          <w:tcPr>
            <w:tcW w:w="1134" w:type="dxa"/>
          </w:tcPr>
          <w:p w14:paraId="3E506209">
            <w:pPr>
              <w:spacing w:before="40" w:after="40" w:line="240" w:lineRule="auto"/>
              <w:jc w:val="center"/>
            </w:pPr>
            <w:r>
              <w:rPr>
                <w:rFonts w:ascii="宋体" w:hAnsi="宋体" w:eastAsia="宋体"/>
                <w:b w:val="0"/>
                <w:sz w:val="18"/>
              </w:rPr>
              <w:t>0.25</w:t>
            </w:r>
          </w:p>
        </w:tc>
        <w:tc>
          <w:tcPr>
            <w:tcW w:w="1134" w:type="dxa"/>
          </w:tcPr>
          <w:p w14:paraId="2B20B3C7">
            <w:pPr>
              <w:spacing w:before="40" w:after="40" w:line="240" w:lineRule="auto"/>
              <w:jc w:val="center"/>
            </w:pPr>
            <w:r>
              <w:rPr>
                <w:rFonts w:ascii="宋体" w:hAnsi="宋体" w:eastAsia="宋体"/>
                <w:b w:val="0"/>
                <w:sz w:val="18"/>
              </w:rPr>
              <w:t>1.38%</w:t>
            </w:r>
          </w:p>
        </w:tc>
        <w:tc>
          <w:tcPr>
            <w:tcW w:w="1134" w:type="dxa"/>
          </w:tcPr>
          <w:p w14:paraId="5960EA21">
            <w:pPr>
              <w:spacing w:before="40" w:after="40" w:line="240" w:lineRule="auto"/>
              <w:jc w:val="center"/>
            </w:pPr>
            <w:r>
              <w:rPr>
                <w:rFonts w:ascii="宋体" w:hAnsi="宋体" w:eastAsia="宋体"/>
                <w:b w:val="0"/>
                <w:sz w:val="18"/>
              </w:rPr>
              <w:t>0.9945</w:t>
            </w:r>
          </w:p>
        </w:tc>
        <w:tc>
          <w:tcPr>
            <w:tcW w:w="1134" w:type="dxa"/>
          </w:tcPr>
          <w:p w14:paraId="535B290E">
            <w:pPr>
              <w:spacing w:before="40" w:after="40" w:line="240" w:lineRule="auto"/>
              <w:jc w:val="center"/>
            </w:pPr>
            <w:r>
              <w:rPr>
                <w:rFonts w:ascii="宋体" w:hAnsi="宋体" w:eastAsia="宋体"/>
                <w:b/>
                <w:sz w:val="18"/>
              </w:rPr>
              <w:t>29.81%</w:t>
            </w:r>
          </w:p>
        </w:tc>
        <w:tc>
          <w:tcPr>
            <w:tcW w:w="1134" w:type="dxa"/>
          </w:tcPr>
          <w:p w14:paraId="5B1097E3">
            <w:pPr>
              <w:spacing w:before="40" w:after="40" w:line="240" w:lineRule="auto"/>
              <w:jc w:val="center"/>
            </w:pPr>
            <w:r>
              <w:rPr>
                <w:rFonts w:ascii="宋体" w:hAnsi="宋体" w:eastAsia="宋体"/>
                <w:b/>
                <w:sz w:val="18"/>
              </w:rPr>
              <w:t>12.64%</w:t>
            </w:r>
          </w:p>
        </w:tc>
        <w:tc>
          <w:tcPr>
            <w:tcW w:w="1134" w:type="dxa"/>
          </w:tcPr>
          <w:p w14:paraId="62DE2F8E">
            <w:pPr>
              <w:spacing w:before="40" w:after="40" w:line="240" w:lineRule="auto"/>
              <w:jc w:val="center"/>
            </w:pPr>
            <w:r>
              <w:rPr>
                <w:rFonts w:ascii="宋体" w:hAnsi="宋体" w:eastAsia="宋体"/>
                <w:b w:val="0"/>
                <w:color w:val="C62828"/>
                <w:sz w:val="18"/>
              </w:rPr>
              <w:t>87.36%</w:t>
            </w:r>
          </w:p>
        </w:tc>
      </w:tr>
      <w:tr w14:paraId="04C23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C0C7359">
            <w:pPr>
              <w:spacing w:before="40" w:after="40" w:line="240" w:lineRule="auto"/>
              <w:jc w:val="center"/>
            </w:pPr>
            <w:r>
              <w:rPr>
                <w:rFonts w:ascii="宋体" w:hAnsi="宋体" w:eastAsia="宋体"/>
                <w:b w:val="0"/>
                <w:sz w:val="18"/>
              </w:rPr>
              <w:t>极严格</w:t>
            </w:r>
          </w:p>
        </w:tc>
        <w:tc>
          <w:tcPr>
            <w:tcW w:w="1134" w:type="dxa"/>
          </w:tcPr>
          <w:p w14:paraId="4E27FC44">
            <w:pPr>
              <w:spacing w:before="40" w:after="40" w:line="240" w:lineRule="auto"/>
              <w:jc w:val="center"/>
            </w:pPr>
            <w:r>
              <w:rPr>
                <w:rFonts w:ascii="宋体" w:hAnsi="宋体" w:eastAsia="宋体"/>
                <w:b w:val="0"/>
                <w:sz w:val="18"/>
              </w:rPr>
              <w:t>0.70</w:t>
            </w:r>
          </w:p>
        </w:tc>
        <w:tc>
          <w:tcPr>
            <w:tcW w:w="1134" w:type="dxa"/>
          </w:tcPr>
          <w:p w14:paraId="1F7E293C">
            <w:pPr>
              <w:spacing w:before="40" w:after="40" w:line="240" w:lineRule="auto"/>
              <w:jc w:val="center"/>
            </w:pPr>
            <w:r>
              <w:rPr>
                <w:rFonts w:ascii="宋体" w:hAnsi="宋体" w:eastAsia="宋体"/>
                <w:b w:val="0"/>
                <w:sz w:val="18"/>
              </w:rPr>
              <w:t>0.30</w:t>
            </w:r>
          </w:p>
        </w:tc>
        <w:tc>
          <w:tcPr>
            <w:tcW w:w="1134" w:type="dxa"/>
          </w:tcPr>
          <w:p w14:paraId="1C97744B">
            <w:pPr>
              <w:spacing w:before="40" w:after="40" w:line="240" w:lineRule="auto"/>
              <w:jc w:val="center"/>
            </w:pPr>
            <w:r>
              <w:rPr>
                <w:rFonts w:ascii="宋体" w:hAnsi="宋体" w:eastAsia="宋体"/>
                <w:b w:val="0"/>
                <w:sz w:val="18"/>
              </w:rPr>
              <w:t>3.05%</w:t>
            </w:r>
          </w:p>
        </w:tc>
        <w:tc>
          <w:tcPr>
            <w:tcW w:w="1134" w:type="dxa"/>
          </w:tcPr>
          <w:p w14:paraId="49F079B0">
            <w:pPr>
              <w:spacing w:before="40" w:after="40" w:line="240" w:lineRule="auto"/>
              <w:jc w:val="center"/>
            </w:pPr>
            <w:r>
              <w:rPr>
                <w:rFonts w:ascii="宋体" w:hAnsi="宋体" w:eastAsia="宋体"/>
                <w:b w:val="0"/>
                <w:sz w:val="18"/>
              </w:rPr>
              <w:t>0.9959</w:t>
            </w:r>
          </w:p>
        </w:tc>
        <w:tc>
          <w:tcPr>
            <w:tcW w:w="1134" w:type="dxa"/>
          </w:tcPr>
          <w:p w14:paraId="4A9D5C36">
            <w:pPr>
              <w:spacing w:before="40" w:after="40" w:line="240" w:lineRule="auto"/>
              <w:jc w:val="center"/>
            </w:pPr>
            <w:r>
              <w:rPr>
                <w:rFonts w:ascii="宋体" w:hAnsi="宋体" w:eastAsia="宋体"/>
                <w:b/>
                <w:sz w:val="18"/>
              </w:rPr>
              <w:t>42.96%</w:t>
            </w:r>
          </w:p>
        </w:tc>
        <w:tc>
          <w:tcPr>
            <w:tcW w:w="1134" w:type="dxa"/>
          </w:tcPr>
          <w:p w14:paraId="50A0E1A3">
            <w:pPr>
              <w:spacing w:before="40" w:after="40" w:line="240" w:lineRule="auto"/>
              <w:jc w:val="center"/>
            </w:pPr>
            <w:r>
              <w:rPr>
                <w:rFonts w:ascii="宋体" w:hAnsi="宋体" w:eastAsia="宋体"/>
                <w:b/>
                <w:sz w:val="18"/>
              </w:rPr>
              <w:t>25.49%</w:t>
            </w:r>
          </w:p>
        </w:tc>
        <w:tc>
          <w:tcPr>
            <w:tcW w:w="1134" w:type="dxa"/>
          </w:tcPr>
          <w:p w14:paraId="2F969798">
            <w:pPr>
              <w:spacing w:before="40" w:after="40" w:line="240" w:lineRule="auto"/>
              <w:jc w:val="center"/>
            </w:pPr>
            <w:r>
              <w:rPr>
                <w:rFonts w:ascii="宋体" w:hAnsi="宋体" w:eastAsia="宋体"/>
                <w:b w:val="0"/>
                <w:color w:val="C62828"/>
                <w:sz w:val="18"/>
              </w:rPr>
              <w:t>74.51%</w:t>
            </w:r>
          </w:p>
        </w:tc>
      </w:tr>
    </w:tbl>
    <w:p w14:paraId="155AE7F8">
      <w:pPr>
        <w:spacing w:before="80" w:after="160"/>
        <w:jc w:val="center"/>
      </w:pPr>
      <w:r>
        <w:rPr>
          <w:rFonts w:ascii="宋体" w:hAnsi="宋体" w:eastAsia="宋体"/>
          <w:b/>
          <w:sz w:val="21"/>
        </w:rPr>
        <w:t>表3  不同阈值配置下的三组设备拒识性能对比（同天测试）</w:t>
      </w:r>
    </w:p>
    <w:p w14:paraId="72D31703">
      <w:pPr>
        <w:spacing w:after="120" w:line="440" w:lineRule="exact"/>
        <w:jc w:val="left"/>
      </w:pPr>
    </w:p>
    <w:p w14:paraId="71B7299E">
      <w:pPr>
        <w:spacing w:after="120" w:line="440" w:lineRule="exact"/>
        <w:jc w:val="left"/>
      </w:pPr>
      <w:r>
        <w:rPr>
          <w:rFonts w:ascii="宋体" w:hAnsi="宋体" w:eastAsia="宋体"/>
          <w:b w:val="0"/>
          <w:sz w:val="24"/>
        </w:rPr>
        <w:t>趋势分析：</w:t>
      </w:r>
    </w:p>
    <w:p w14:paraId="2E6343E2">
      <w:pPr>
        <w:spacing w:after="120" w:line="440" w:lineRule="exact"/>
        <w:jc w:val="left"/>
      </w:pPr>
      <w:r>
        <w:rPr>
          <w:rFonts w:ascii="宋体" w:hAnsi="宋体" w:eastAsia="宋体"/>
          <w:b w:val="0"/>
          <w:sz w:val="24"/>
        </w:rPr>
        <w:t>(1) 8台未知设备（同芯片）的拒识率随阈值提升从5.18%增至42.96%，改善空间有限。</w:t>
      </w:r>
    </w:p>
    <w:p w14:paraId="1B6CFDBE">
      <w:pPr>
        <w:spacing w:after="120" w:line="440" w:lineRule="exact"/>
        <w:jc w:val="left"/>
      </w:pPr>
      <w:r>
        <w:rPr>
          <w:rFonts w:ascii="宋体" w:hAnsi="宋体" w:eastAsia="宋体"/>
          <w:b w:val="0"/>
          <w:sz w:val="24"/>
        </w:rPr>
        <w:t>(2) 18台未知设备（异芯片）在tau_1&lt;0.4时拒识率始终为0%，仅在极严格阈值（0.70/0.30）下才达到25.49%。这说明该批设备的特征被模型高度匹配到已有类别。</w:t>
      </w:r>
    </w:p>
    <w:p w14:paraId="0A9CD088">
      <w:pPr>
        <w:spacing w:after="120" w:line="440" w:lineRule="exact"/>
        <w:jc w:val="left"/>
      </w:pPr>
      <w:r>
        <w:rPr>
          <w:rFonts w:ascii="宋体" w:hAnsi="宋体" w:eastAsia="宋体"/>
          <w:b w:val="0"/>
          <w:sz w:val="24"/>
        </w:rPr>
        <w:t>(3) 两组未知设备的拒识难度呈现反直觉的差异：芯片不同的18台设备反而比同芯片的8台设备更难拒识，说明芯片差异并不直接对应特征空间的距离，射频指纹的特征分布受多种硬件因素共同影响。</w:t>
      </w:r>
    </w:p>
    <w:p w14:paraId="58454FEB">
      <w:pPr>
        <w:pStyle w:val="3"/>
      </w:pPr>
      <w:r>
        <w:rPr>
          <w:rFonts w:ascii="黑体" w:hAnsi="黑体" w:eastAsia="黑体"/>
        </w:rPr>
        <w:t>五、结论与改进方向</w:t>
      </w:r>
    </w:p>
    <w:p w14:paraId="56E90BFF">
      <w:pPr>
        <w:spacing w:after="120" w:line="440" w:lineRule="exact"/>
        <w:jc w:val="left"/>
      </w:pPr>
      <w:r>
        <w:rPr>
          <w:rFonts w:ascii="宋体" w:hAnsi="宋体" w:eastAsia="宋体"/>
          <w:b w:val="0"/>
          <w:sz w:val="24"/>
        </w:rPr>
        <w:t>(1) 双阈值拒识机制对已知设备表现优异（拒识率&lt;1%），不影响正常识别性能。</w:t>
      </w:r>
    </w:p>
    <w:p w14:paraId="526BB2D8">
      <w:pPr>
        <w:spacing w:after="120" w:line="440" w:lineRule="exact"/>
        <w:jc w:val="left"/>
      </w:pPr>
      <w:r>
        <w:rPr>
          <w:rFonts w:ascii="宋体" w:hAnsi="宋体" w:eastAsia="宋体"/>
          <w:b w:val="0"/>
          <w:sz w:val="24"/>
        </w:rPr>
        <w:t>(2) 对未知设备的拒识能力不足：同芯片8台设备误接受率86%，异芯片18台设备误接受率接近100%。后验概率拒识机制的根本局限在于——当未知设备特征恰好落入已知类别的高密度区域时，无论如何调整阈值均无法有效拒识。</w:t>
      </w:r>
    </w:p>
    <w:p w14:paraId="01B133B6">
      <w:pPr>
        <w:spacing w:after="120" w:line="440" w:lineRule="exact"/>
        <w:jc w:val="left"/>
      </w:pPr>
      <w:r>
        <w:rPr>
          <w:rFonts w:ascii="宋体" w:hAnsi="宋体" w:eastAsia="宋体"/>
          <w:b w:val="0"/>
          <w:sz w:val="24"/>
        </w:rPr>
        <w:t>(3) 18台设备（LLCC68芯片）的CFO范围（-1~-6 Hz）与30台设备（SX1262芯片）的CFO分布在归一化后可能存在高度重叠，导致模型无法通过现有特征区分已知与未知设备。</w:t>
      </w:r>
    </w:p>
    <w:p w14:paraId="7F2614F1">
      <w:pPr>
        <w:spacing w:after="120" w:line="440" w:lineRule="exact"/>
        <w:jc w:val="left"/>
      </w:pPr>
      <w:r>
        <w:rPr>
          <w:rFonts w:ascii="宋体" w:hAnsi="宋体" w:eastAsia="宋体"/>
          <w:b w:val="0"/>
          <w:sz w:val="24"/>
        </w:rPr>
        <w:t>改进方向：</w:t>
      </w:r>
    </w:p>
    <w:p w14:paraId="1886058F">
      <w:pPr>
        <w:spacing w:after="120" w:line="440" w:lineRule="exact"/>
        <w:jc w:val="left"/>
      </w:pPr>
      <w:r>
        <w:rPr>
          <w:rFonts w:ascii="宋体" w:hAnsi="宋体" w:eastAsia="宋体"/>
          <w:b w:val="0"/>
          <w:sz w:val="24"/>
        </w:rPr>
        <w:t xml:space="preserve">  - 引入基于特征空间距离的拒识策略（马氏距离、LOF异常检测），    在后验概率之外增加特征分布一致性检验。</w:t>
      </w:r>
    </w:p>
    <w:p w14:paraId="52C8AFC6">
      <w:pPr>
        <w:spacing w:after="120" w:line="440" w:lineRule="exact"/>
        <w:jc w:val="left"/>
      </w:pPr>
      <w:r>
        <w:rPr>
          <w:rFonts w:ascii="宋体" w:hAnsi="宋体" w:eastAsia="宋体"/>
          <w:b w:val="0"/>
          <w:sz w:val="24"/>
        </w:rPr>
        <w:t xml:space="preserve">  - 构建设备指纹嵌入空间（如Triplet Loss或ArcFace），    使已知设备在嵌入空间中形成紧致聚类，未知设备自然落在聚类之外。</w:t>
      </w:r>
    </w:p>
    <w:p w14:paraId="316E76B0">
      <w:pPr>
        <w:spacing w:after="120" w:line="440" w:lineRule="exact"/>
        <w:jc w:val="left"/>
      </w:pPr>
      <w:r>
        <w:rPr>
          <w:rFonts w:ascii="宋体" w:hAnsi="宋体" w:eastAsia="宋体"/>
          <w:b w:val="0"/>
          <w:sz w:val="24"/>
        </w:rPr>
        <w:t xml:space="preserve">  - 引入开集识别算法（如OpenMax），替代闭集softmax概率作为拒识依据。</w:t>
      </w:r>
    </w:p>
    <w:p w14:paraId="674281A3">
      <w:pPr>
        <w:spacing w:after="120" w:line="440" w:lineRule="exact"/>
        <w:jc w:val="left"/>
      </w:pPr>
      <w:r>
        <w:rPr>
          <w:rFonts w:ascii="宋体" w:hAnsi="宋体" w:eastAsia="宋体"/>
          <w:b w:val="0"/>
          <w:sz w:val="24"/>
        </w:rPr>
        <w:t xml:space="preserve">  - 增加设备特有的辅助特征（如IQ不平衡系数、功放非线性特征），    增强不同芯片类型设备在特征空间中的可区分性。</w:t>
      </w:r>
      <w:bookmarkStart w:id="0" w:name="_GoBack"/>
      <w:bookmarkEnd w:id="0"/>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2B0E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1890</Words>
  <Characters>2707</Characters>
  <Lines>0</Lines>
  <Paragraphs>0</Paragraphs>
  <TotalTime>2</TotalTime>
  <ScaleCrop>false</ScaleCrop>
  <LinksUpToDate>false</LinksUpToDate>
  <CharactersWithSpaces>2777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赵子辰</cp:lastModifiedBy>
  <dcterms:modified xsi:type="dcterms:W3CDTF">2026-04-13T13:38:35Z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eyJoZGlkIjoiOGU3OTBmZjk0ZDc0MWNmZTViMTQ1YTlmOGVmMjlkNWMiLCJ1c2VySWQiOiIxNTM2NDY5NzI0In0=</vt:lpwstr>
  </property>
  <property fmtid="{D5CDD505-2E9C-101B-9397-08002B2CF9AE}" pid="3" name="KSOProductBuildVer">
    <vt:lpwstr>2052-12.1.0.23542</vt:lpwstr>
  </property>
  <property fmtid="{D5CDD505-2E9C-101B-9397-08002B2CF9AE}" pid="4" name="ICV">
    <vt:lpwstr>AD8B14E2421B494A8C3F1DBFEC1923D1_12</vt:lpwstr>
  </property>
</Properties>
</file>