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黑体" w:hAnsi="黑体" w:eastAsia="黑体"/>
          <w:b/>
          <w:sz w:val="24"/>
        </w:rPr>
        <w:t>表2  训练集和测试集在同一天的识别结果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835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特征组合</w:t>
            </w:r>
          </w:p>
        </w:tc>
        <w:tc>
          <w:tcPr>
            <w:tcW w:type="dxa" w:w="1134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XGBoost</w:t>
            </w:r>
          </w:p>
        </w:tc>
        <w:tc>
          <w:tcPr>
            <w:tcW w:type="dxa" w:w="1134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随机森林</w:t>
            </w:r>
          </w:p>
        </w:tc>
        <w:tc>
          <w:tcPr>
            <w:tcW w:type="dxa" w:w="1020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SVM</w:t>
            </w:r>
          </w:p>
        </w:tc>
        <w:tc>
          <w:tcPr>
            <w:tcW w:type="dxa" w:w="1020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KNN</w:t>
            </w:r>
          </w:p>
        </w:tc>
        <w:tc>
          <w:tcPr>
            <w:tcW w:type="dxa" w:w="1134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集成学习</w:t>
            </w:r>
          </w:p>
        </w:tc>
        <w:tc>
          <w:tcPr>
            <w:tcW w:type="dxa" w:w="1247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最大正确率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连续双帧差分相位+CFO（Base）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99.4%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99.8%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98.0%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81.9%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99.7%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99.8%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连续双帧差分相位+CFO 均值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99.5%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99.6%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95.0%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77.7%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99.4%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99.6%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只用CFO特征（连续双帧下的）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99.4%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99.4%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99.9%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99.7%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99.8%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99.9%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只用RSSI特征（连续双帧下的）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52.5%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53.6%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59.2%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55.4%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57.3%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59.2%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只用IQ特征（连续双帧下的）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50.8%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50.9%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53.1%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51.8%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52.9%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53.1%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只用单帧相位特征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34.0%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36.4%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29.7%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31.0%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35.4%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36.4%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只用双帧相位特征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41.5%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44.4%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38.1%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36.0%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42.2%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44.4%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双帧相位特征+CFO 特征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99.4%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99.8%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99.0%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89.9%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99.9%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99.9%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单帧相位特征+CFO 特征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99.4%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99.7%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99.8%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96.5%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99.8%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99.8%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Base+STFT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99.1%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99.7%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99.6%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93.9%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99.9%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99.9%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Base+EMD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92.8%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92.9%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88.1%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73.4%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88.8%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92.9%</w:t>
            </w:r>
          </w:p>
        </w:tc>
      </w:tr>
    </w:tbl>
    <w:p/>
    <w:p>
      <w:pPr>
        <w:spacing w:before="240" w:after="160"/>
        <w:jc w:val="center"/>
      </w:pPr>
      <w:r>
        <w:rPr>
          <w:rFonts w:ascii="黑体" w:hAnsi="黑体" w:eastAsia="黑体"/>
          <w:b/>
          <w:sz w:val="24"/>
        </w:rPr>
        <w:t>表3  训练集和测试集在不同天的识别结果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835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特征组合</w:t>
            </w:r>
          </w:p>
        </w:tc>
        <w:tc>
          <w:tcPr>
            <w:tcW w:type="dxa" w:w="1134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XGBoost</w:t>
            </w:r>
          </w:p>
        </w:tc>
        <w:tc>
          <w:tcPr>
            <w:tcW w:type="dxa" w:w="1134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随机森林</w:t>
            </w:r>
          </w:p>
        </w:tc>
        <w:tc>
          <w:tcPr>
            <w:tcW w:type="dxa" w:w="1020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SVM</w:t>
            </w:r>
          </w:p>
        </w:tc>
        <w:tc>
          <w:tcPr>
            <w:tcW w:type="dxa" w:w="1020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KNN</w:t>
            </w:r>
          </w:p>
        </w:tc>
        <w:tc>
          <w:tcPr>
            <w:tcW w:type="dxa" w:w="1134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集成学习</w:t>
            </w:r>
          </w:p>
        </w:tc>
        <w:tc>
          <w:tcPr>
            <w:tcW w:type="dxa" w:w="1247"/>
            <w:shd w:val="clear" w:color="auto" w:fill="2E5A3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最大正确率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连续双帧差分相位+CFO（Base）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78.5%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93.0%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90.2%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61.7%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96.0%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96.0%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连续双帧差分相位+CFO 均值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95.5%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95.3%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85.1%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53.7%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95.0%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95.5%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只用CFO特征（连续双帧下的）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83.5%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95.4%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95.2%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94.7%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95.8%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95.8%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只用RSSI特征（连续双帧下的）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16.0%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14.4%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17.7%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15.0%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15.9%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17.7%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只用IQ特征（连续双帧下的）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17.6%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16.7%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19.4%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20.9%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20.4%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20.9%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只用单帧相位特征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13.9%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13.1%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16.9%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16.3%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15.2%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16.9%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只用双帧相位特征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14.6%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15.9%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18.4%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17.1%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17.7%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18.4%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双帧相位特征+CFO 特征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83.5%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95.7%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92.0%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70.1%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96.6%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96.6%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单帧相位特征+CFO 特征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95.1%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95.7%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95.2%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87.0%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96.6%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96.6%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Base+STFT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58.2%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38.2%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37.2%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31.1%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48.5%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58.2%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Base+EMD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63.5%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86.0%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69.7%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42.3%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85.0%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86.0%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