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2E74B5"/>
          <w:sz w:val="44"/>
        </w:rPr>
        <w:t>知枢 KnowHub 智能知识库产品方案</w:t>
      </w:r>
    </w:p>
    <w:p>
      <w:pPr>
        <w:spacing w:after="360"/>
        <w:jc w:val="center"/>
      </w:pPr>
      <w:r>
        <w:t>面试演示用产品资料｜2026 年 8 月</w:t>
      </w:r>
    </w:p>
    <w:p>
      <w:pPr>
        <w:spacing w:before="200" w:after="80"/>
      </w:pPr>
      <w:r>
        <w:rPr>
          <w:b/>
          <w:color w:val="2E74B5"/>
          <w:sz w:val="28"/>
        </w:rPr>
        <w:t>一、产品定位</w:t>
      </w:r>
    </w:p>
    <w:p>
      <w:pPr>
        <w:spacing w:after="160" w:line="276" w:lineRule="auto"/>
      </w:pPr>
      <w:r>
        <w:t>知枢 KnowHub 是面向企业内部知识管理的 RAG 平台。它支持 Word、PDF、Markdown、TXT 与图片 OCR 上传，并通过混合检索、重排序和引用溯源回答问题。</w:t>
      </w:r>
    </w:p>
    <w:p>
      <w:pPr>
        <w:spacing w:before="200" w:after="80"/>
      </w:pPr>
      <w:r>
        <w:rPr>
          <w:b/>
          <w:color w:val="2E74B5"/>
          <w:sz w:val="28"/>
        </w:rPr>
        <w:t>二、核心能力</w:t>
      </w:r>
    </w:p>
    <w:p>
      <w:pPr>
        <w:spacing w:after="160" w:line="276" w:lineRule="auto"/>
      </w:pPr>
      <w:r>
        <w:t>1. 文档解析与知识入库：上传后自动清洗、切分并生成向量索引。</w:t>
        <w:br/>
        <w:t>2. 混合检索：结合 BM25 关键词检索与向量语义检索，再用 RRF 融合结果。</w:t>
        <w:br/>
        <w:t>3. 多 Agent：Planner 识别检索、计算和日期工具需求；Retriever 实际执行工具；Reviewer 审查结果。</w:t>
        <w:br/>
        <w:t>4. 流式回答：以 SSE 实时返回答案、引用来源和 Agent 执行轨迹。</w:t>
      </w:r>
    </w:p>
    <w:p>
      <w:pPr>
        <w:spacing w:before="200" w:after="80"/>
      </w:pPr>
      <w:r>
        <w:rPr>
          <w:b/>
          <w:color w:val="2E74B5"/>
          <w:sz w:val="28"/>
        </w:rPr>
        <w:t>三、商务规则</w:t>
      </w:r>
    </w:p>
    <w:p>
      <w:pPr>
        <w:spacing w:after="160" w:line="276" w:lineRule="auto"/>
      </w:pPr>
      <w:r>
        <w:t>企业版年费为 1280 元。年度促销活动按原价的 85% 收费；如客户购买 20 个账号，则总价等于折后单价乘以账号数量。</w:t>
      </w:r>
    </w:p>
    <w:p>
      <w:pPr>
        <w:spacing w:before="200" w:after="80"/>
      </w:pPr>
      <w:r>
        <w:rPr>
          <w:b/>
          <w:color w:val="2E74B5"/>
          <w:sz w:val="28"/>
        </w:rPr>
        <w:t>四、实施建议</w:t>
      </w:r>
    </w:p>
    <w:p>
      <w:pPr>
        <w:spacing w:after="160" w:line="276" w:lineRule="auto"/>
      </w:pPr>
      <w:r>
        <w:t>建议先导入制度、产品手册与常见问答，再通过带引用的问答验证检索质量。涉及价格计算时，必须调用 calculator 工具，避免由语言模型直接心算。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