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Sprint 2: Data Quality Report</w:t>
      </w:r>
    </w:p>
    <w:p>
      <w:pPr>
        <w:jc w:val="center"/>
      </w:pPr>
      <w:r>
        <w:t>Data Quality Analysis | Cleaning and Standardization | Validation</w:t>
      </w:r>
    </w:p>
    <w:p>
      <w:r>
        <w:t>Generated on: 10 October 2026 00:41</w:t>
      </w:r>
    </w:p>
    <w:p>
      <w:pPr>
        <w:pStyle w:val="Heading1"/>
      </w:pPr>
      <w:r>
        <w:t>1. Executive Summary</w:t>
      </w:r>
    </w:p>
    <w:p>
      <w:r>
        <w:t>This report covers five workforce datasets: access, attendance, hrms, leave, and performance. It summarizes data cleaning, standardization, and validation performed on their PostgreSQL tables.</w:t>
      </w:r>
    </w:p>
    <w:p>
      <w:r>
        <w:t>The standardized tables contain 97,684 rows and 288,376 SQL NULL cells. Dataset-level validation results are presented below.</w:t>
      </w:r>
    </w:p>
    <w:p>
      <w:pPr>
        <w:pStyle w:val="Heading1"/>
      </w:pPr>
      <w:r>
        <w:t>2. Scope and Database Tables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F4E78"/>
          </w:tcPr>
          <w:p>
            <w:r>
              <w:rPr>
                <w:b/>
                <w:color w:val="FFFFFF"/>
                <w:sz w:val="16"/>
              </w:rPr>
              <w:t>Dataset</w:t>
            </w:r>
          </w:p>
        </w:tc>
        <w:tc>
          <w:tcPr>
            <w:tcW w:type="dxa" w:w="3408"/>
            <w:shd w:fill="1F4E78"/>
          </w:tcPr>
          <w:p>
            <w:r>
              <w:rPr>
                <w:b/>
                <w:color w:val="FFFFFF"/>
                <w:sz w:val="16"/>
              </w:rPr>
              <w:t>Cleaned table</w:t>
            </w:r>
          </w:p>
        </w:tc>
        <w:tc>
          <w:tcPr>
            <w:tcW w:type="dxa" w:w="3408"/>
            <w:shd w:fill="1F4E78"/>
          </w:tcPr>
          <w:p>
            <w:r>
              <w:rPr>
                <w:b/>
                <w:color w:val="FFFFFF"/>
                <w:sz w:val="16"/>
              </w:rPr>
              <w:t>Standardized table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access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cleaned.access_clean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standardized.access_standardized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attendance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cleaned.attendance_clean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standardized.attendance_standardized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hrms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cleaned.hrms_clean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standardized.hrms_standardized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leave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cleaned.leave_clean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standardized.leave_standardized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performance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cleaned.performance_clean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standardized.performance_standardized</w:t>
            </w:r>
          </w:p>
        </w:tc>
      </w:tr>
    </w:tbl>
    <w:p>
      <w:pPr>
        <w:pStyle w:val="Heading1"/>
      </w:pPr>
      <w:r>
        <w:t>3. Cleaning and Standardization</w:t>
      </w:r>
    </w:p>
    <w:p>
      <w:r>
        <w:t>The cleaning process created copies of the staging data and removed fully empty rows and exact duplicate rows according to the cleaning script. Staging source tables were not modified.</w:t>
      </w:r>
    </w:p>
    <w:p>
      <w:r>
        <w:t>The standardization process created standardized copies, normalized text whitespace, and converted blank text strings to SQL NULL where applicable. A successful run does not prove that all business rules or field formats are consistent.</w:t>
      </w:r>
    </w:p>
    <w:p>
      <w:pPr>
        <w:pStyle w:val="Heading1"/>
      </w:pPr>
      <w:r>
        <w:t>4. Validation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c>
          <w:tcPr>
            <w:tcW w:type="dxa" w:w="1278"/>
            <w:shd w:fill="1F4E78"/>
          </w:tcPr>
          <w:p>
            <w:r>
              <w:rPr>
                <w:b/>
                <w:color w:val="FFFFFF"/>
                <w:sz w:val="16"/>
              </w:rPr>
              <w:t>Dataset</w:t>
            </w:r>
          </w:p>
        </w:tc>
        <w:tc>
          <w:tcPr>
            <w:tcW w:type="dxa" w:w="1278"/>
            <w:shd w:fill="1F4E78"/>
          </w:tcPr>
          <w:p>
            <w:r>
              <w:rPr>
                <w:b/>
                <w:color w:val="FFFFFF"/>
                <w:sz w:val="16"/>
              </w:rPr>
              <w:t>Rows</w:t>
            </w:r>
          </w:p>
        </w:tc>
        <w:tc>
          <w:tcPr>
            <w:tcW w:type="dxa" w:w="1278"/>
            <w:shd w:fill="1F4E78"/>
          </w:tcPr>
          <w:p>
            <w:r>
              <w:rPr>
                <w:b/>
                <w:color w:val="FFFFFF"/>
                <w:sz w:val="16"/>
              </w:rPr>
              <w:t>Columns</w:t>
            </w:r>
          </w:p>
        </w:tc>
        <w:tc>
          <w:tcPr>
            <w:tcW w:type="dxa" w:w="1278"/>
            <w:shd w:fill="1F4E78"/>
          </w:tcPr>
          <w:p>
            <w:r>
              <w:rPr>
                <w:b/>
                <w:color w:val="FFFFFF"/>
                <w:sz w:val="16"/>
              </w:rPr>
              <w:t>Rows match</w:t>
            </w:r>
          </w:p>
        </w:tc>
        <w:tc>
          <w:tcPr>
            <w:tcW w:type="dxa" w:w="1278"/>
            <w:shd w:fill="1F4E78"/>
          </w:tcPr>
          <w:p>
            <w:r>
              <w:rPr>
                <w:b/>
                <w:color w:val="FFFFFF"/>
                <w:sz w:val="16"/>
              </w:rPr>
              <w:t>Columns match</w:t>
            </w:r>
          </w:p>
        </w:tc>
        <w:tc>
          <w:tcPr>
            <w:tcW w:type="dxa" w:w="1278"/>
            <w:shd w:fill="1F4E78"/>
          </w:tcPr>
          <w:p>
            <w:r>
              <w:rPr>
                <w:b/>
                <w:color w:val="FFFFFF"/>
                <w:sz w:val="16"/>
              </w:rPr>
              <w:t>Duplicate rows</w:t>
            </w:r>
          </w:p>
        </w:tc>
        <w:tc>
          <w:tcPr>
            <w:tcW w:type="dxa" w:w="1278"/>
            <w:shd w:fill="1F4E78"/>
          </w:tcPr>
          <w:p>
            <w:r>
              <w:rPr>
                <w:b/>
                <w:color w:val="FFFFFF"/>
                <w:sz w:val="16"/>
              </w:rPr>
              <w:t>Empty rows</w:t>
            </w:r>
          </w:p>
        </w:tc>
        <w:tc>
          <w:tcPr>
            <w:tcW w:type="dxa" w:w="1278"/>
            <w:shd w:fill="1F4E78"/>
          </w:tcPr>
          <w:p>
            <w:r>
              <w:rPr>
                <w:b/>
                <w:color w:val="FFFFFF"/>
                <w:sz w:val="16"/>
              </w:rPr>
              <w:t>Missing cells</w:t>
            </w:r>
          </w:p>
        </w:tc>
      </w:tr>
      <w:tr>
        <w:tc>
          <w:tcPr>
            <w:tcW w:type="dxa" w:w="1278"/>
          </w:tcPr>
          <w:p>
            <w:r>
              <w:rPr>
                <w:sz w:val="16"/>
              </w:rPr>
              <w:t>access</w:t>
            </w:r>
          </w:p>
        </w:tc>
        <w:tc>
          <w:tcPr>
            <w:tcW w:type="dxa" w:w="1278"/>
          </w:tcPr>
          <w:p>
            <w:r>
              <w:rPr>
                <w:sz w:val="16"/>
              </w:rPr>
              <w:t>32,769</w:t>
            </w:r>
          </w:p>
        </w:tc>
        <w:tc>
          <w:tcPr>
            <w:tcW w:type="dxa" w:w="1278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278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278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278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78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78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1278"/>
          </w:tcPr>
          <w:p>
            <w:r>
              <w:rPr>
                <w:sz w:val="16"/>
              </w:rPr>
              <w:t>attendance</w:t>
            </w:r>
          </w:p>
        </w:tc>
        <w:tc>
          <w:tcPr>
            <w:tcW w:type="dxa" w:w="1278"/>
          </w:tcPr>
          <w:p>
            <w:r>
              <w:rPr>
                <w:sz w:val="16"/>
              </w:rPr>
              <w:t>48,177</w:t>
            </w:r>
          </w:p>
        </w:tc>
        <w:tc>
          <w:tcPr>
            <w:tcW w:type="dxa" w:w="1278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278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278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278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78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78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1278"/>
          </w:tcPr>
          <w:p>
            <w:r>
              <w:rPr>
                <w:sz w:val="16"/>
              </w:rPr>
              <w:t>hrms</w:t>
            </w:r>
          </w:p>
        </w:tc>
        <w:tc>
          <w:tcPr>
            <w:tcW w:type="dxa" w:w="1278"/>
          </w:tcPr>
          <w:p>
            <w:r>
              <w:rPr>
                <w:sz w:val="16"/>
              </w:rPr>
              <w:t>9,729</w:t>
            </w:r>
          </w:p>
        </w:tc>
        <w:tc>
          <w:tcPr>
            <w:tcW w:type="dxa" w:w="1278"/>
          </w:tcPr>
          <w:p>
            <w:r>
              <w:rPr>
                <w:sz w:val="16"/>
              </w:rPr>
              <w:t>38</w:t>
            </w:r>
          </w:p>
        </w:tc>
        <w:tc>
          <w:tcPr>
            <w:tcW w:type="dxa" w:w="1278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278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278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78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78"/>
          </w:tcPr>
          <w:p>
            <w:r>
              <w:rPr>
                <w:sz w:val="16"/>
              </w:rPr>
              <w:t>288,376</w:t>
            </w:r>
          </w:p>
        </w:tc>
      </w:tr>
      <w:tr>
        <w:tc>
          <w:tcPr>
            <w:tcW w:type="dxa" w:w="1278"/>
          </w:tcPr>
          <w:p>
            <w:r>
              <w:rPr>
                <w:sz w:val="16"/>
              </w:rPr>
              <w:t>leave</w:t>
            </w:r>
          </w:p>
        </w:tc>
        <w:tc>
          <w:tcPr>
            <w:tcW w:type="dxa" w:w="1278"/>
          </w:tcPr>
          <w:p>
            <w:r>
              <w:rPr>
                <w:sz w:val="16"/>
              </w:rPr>
              <w:t>300</w:t>
            </w:r>
          </w:p>
        </w:tc>
        <w:tc>
          <w:tcPr>
            <w:tcW w:type="dxa" w:w="1278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278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278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278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78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78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1278"/>
          </w:tcPr>
          <w:p>
            <w:r>
              <w:rPr>
                <w:sz w:val="16"/>
              </w:rPr>
              <w:t>performance</w:t>
            </w:r>
          </w:p>
        </w:tc>
        <w:tc>
          <w:tcPr>
            <w:tcW w:type="dxa" w:w="1278"/>
          </w:tcPr>
          <w:p>
            <w:r>
              <w:rPr>
                <w:sz w:val="16"/>
              </w:rPr>
              <w:t>6,709</w:t>
            </w:r>
          </w:p>
        </w:tc>
        <w:tc>
          <w:tcPr>
            <w:tcW w:type="dxa" w:w="1278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278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278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278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78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78"/>
          </w:tcPr>
          <w:p>
            <w:r>
              <w:rPr>
                <w:sz w:val="16"/>
              </w:rPr>
              <w:t>0</w:t>
            </w:r>
          </w:p>
        </w:tc>
      </w:tr>
    </w:tbl>
    <w:p>
      <w:r>
        <w:t>Matching row and column counts indicate that standardization preserved the cleaned table shape. Duplicate and empty-row checks cover exact duplicates and rows containing SQL NULL in every column; they do not establish complete semantic validity.</w:t>
      </w:r>
    </w:p>
    <w:p>
      <w:pPr>
        <w:pStyle w:val="Heading1"/>
      </w:pPr>
      <w:r>
        <w:t>5. Missing-Data Findings</w:t>
      </w:r>
    </w:p>
    <w:p>
      <w:r>
        <w:t>The standardized HRMS table has 288,376 SQL NULL cells. Existing diagnostics identified high missingness in fields including manager_id, last_promotion_date, termination_date, and last_training_date. Investigate the source and ingestion process before deciding whether values should be filled.</w:t>
      </w:r>
    </w:p>
    <w:p>
      <w:r>
        <w:t>Missing-cell counts refer to SQL NULL values. Empty strings or placeholder text may require separate checks.</w:t>
      </w:r>
    </w:p>
    <w:p>
      <w:pPr>
        <w:pStyle w:val="Heading1"/>
      </w:pPr>
      <w:r>
        <w:t>6. Limitations</w:t>
      </w:r>
    </w:p>
    <w:p>
      <w:pPr>
        <w:pStyle w:val="ListBullet"/>
      </w:pPr>
      <w:r>
        <w:t>Exact duplicate checks do not identify near-duplicate employee records.</w:t>
      </w:r>
    </w:p>
    <w:p>
      <w:pPr>
        <w:pStyle w:val="ListBullet"/>
      </w:pPr>
      <w:r>
        <w:t>SQL NULL counts do not automatically identify empty strings or placeholder values.</w:t>
      </w:r>
    </w:p>
    <w:p>
      <w:pPr>
        <w:pStyle w:val="ListBullet"/>
      </w:pPr>
      <w:r>
        <w:t>Matching row counts do not prove every field value is correct.</w:t>
      </w:r>
    </w:p>
    <w:p>
      <w:pPr>
        <w:pStyle w:val="ListBullet"/>
      </w:pPr>
      <w:r>
        <w:t>Whitespace normalization does not validate all dates, categories, IDs, or numeric ranges.</w:t>
      </w:r>
    </w:p>
    <w:p>
      <w:pPr>
        <w:pStyle w:val="ListBullet"/>
      </w:pPr>
      <w:r>
        <w:t>HRMS missingness remains unresolved; its cause has not been confirmed.</w:t>
      </w:r>
    </w:p>
    <w:p>
      <w:pPr>
        <w:pStyle w:val="Heading1"/>
      </w:pPr>
      <w:r>
        <w:t>7. Recommendations</w:t>
      </w:r>
    </w:p>
    <w:p>
      <w:pPr>
        <w:pStyle w:val="ListNumber"/>
      </w:pPr>
      <w:r>
        <w:t>Investigate HRMS source completeness and ingestion patterns.</w:t>
      </w:r>
    </w:p>
    <w:p>
      <w:pPr>
        <w:pStyle w:val="ListNumber"/>
      </w:pPr>
      <w:r>
        <w:t>Confirm whether highly incomplete HRMS fields are expected.</w:t>
      </w:r>
    </w:p>
    <w:p>
      <w:pPr>
        <w:pStyle w:val="ListNumber"/>
      </w:pPr>
      <w:r>
        <w:t>Define field-level checks for dates, categories, identifiers, and numeric ranges.</w:t>
      </w:r>
    </w:p>
    <w:p>
      <w:pPr>
        <w:pStyle w:val="ListNumber"/>
      </w:pPr>
      <w:r>
        <w:t>Do not invent missing values or fill business-critical fields without an approved rule.</w:t>
      </w:r>
    </w:p>
    <w:p>
      <w:pPr>
        <w:pStyle w:val="ListNumber"/>
      </w:pPr>
      <w:r>
        <w:t>Retain the existing analysis, cleaning, and validation evidence.</w:t>
      </w:r>
    </w:p>
    <w:p>
      <w:pPr>
        <w:pStyle w:val="Heading1"/>
      </w:pPr>
      <w:r>
        <w:t>8. Evidence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8"/>
          </w:tcPr>
          <w:p>
            <w:r>
              <w:rPr>
                <w:b/>
                <w:color w:val="FFFFFF"/>
                <w:sz w:val="16"/>
              </w:rPr>
              <w:t>Evidence file</w:t>
            </w:r>
          </w:p>
        </w:tc>
        <w:tc>
          <w:tcPr>
            <w:tcW w:type="dxa" w:w="5112"/>
            <w:shd w:fill="1F4E78"/>
          </w:tcPr>
          <w:p>
            <w:r>
              <w:rPr>
                <w:b/>
                <w:color w:val="FFFFFF"/>
                <w:sz w:val="16"/>
              </w:rPr>
              <w:t>Status in data_quality_output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EHCMDP_Data_Quality_Analysis.xlsx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Not found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Staging_Diagnostic_Report.xlsx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Not found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Cleaned_Data_Validation.xlsx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Not found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Standardization_Evidence.xlsx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Not found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Standardized_Data_Validation.xlsx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Not found</w:t>
            </w:r>
          </w:p>
        </w:tc>
      </w:tr>
    </w:tbl>
    <w:p>
      <w:r>
        <w:t>Assigned deliverables: Data Quality Report, cleaned/standardized data, and validation evidence.</w:t>
      </w:r>
    </w:p>
    <w:p>
      <w:pPr>
        <w:pStyle w:val="Heading1"/>
      </w:pPr>
      <w:r>
        <w:t>9. Conclusion</w:t>
      </w:r>
    </w:p>
    <w:p>
      <w:r>
        <w:t>The five datasets have been processed through the assigned cleaning, standardization, and validation workflow. The validation results describe the checks performed, while the missing-data issue in HRMS remains a priority for investigation. The report does not claim that all possible data quality issues have been eliminated.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