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Bdr>
          <w:bottom w:val="single" w:sz="8" w:space="1" w:color="1F3A5F"/>
        </w:pBdr>
      </w:pPr>
      <w:r>
        <w:rPr>
          <w:rFonts w:ascii="游ゴシック" w:hAnsi="游ゴシック" w:eastAsia="游ゴシック"/>
          <w:b/>
          <w:color w:val="1F3A5F"/>
          <w:sz w:val="32"/>
        </w:rPr>
        <w:t>個別支援経過報告書</w:t>
      </w:r>
    </w:p>
    <w:tbl>
      <w:tblPr>
        <w:tblStyle w:val="TableGrid"/>
        <w:tblW w:type="auto" w:w="0"/>
        <w:tblLook w:firstColumn="1" w:firstRow="1" w:lastColumn="0" w:lastRow="0" w:noHBand="0" w:noVBand="1" w:val="04A0"/>
      </w:tblPr>
      <w:tblGrid>
        <w:gridCol w:w="4819"/>
        <w:gridCol w:w="4819"/>
      </w:tblGrid>
      <w:tr>
        <w:tc>
          <w:tcPr>
            <w:tcW w:type="dxa" w:w="1701"/>
            <w:shd w:val="clear" w:fill="EAF1F8"/>
          </w:tcPr>
          <w:p>
            <w:r/>
            <w:r>
              <w:rPr>
                <w:rFonts w:ascii="游ゴシック" w:hAnsi="游ゴシック" w:eastAsia="游ゴシック"/>
                <w:b/>
              </w:rPr>
              <w:t>会社名</w:t>
            </w:r>
          </w:p>
        </w:tc>
        <w:tc>
          <w:tcPr>
            <w:tcW w:type="dxa" w:w="7937"/>
          </w:tcPr>
          <w:p>
            <w:r/>
            <w:r>
              <w:rPr>
                <w:rFonts w:ascii="游ゴシック" w:hAnsi="游ゴシック" w:eastAsia="游ゴシック"/>
                <w:b w:val="0"/>
              </w:rPr>
              <w:t>株式会社orb</w:t>
            </w:r>
          </w:p>
        </w:tc>
      </w:tr>
      <w:tr>
        <w:tc>
          <w:tcPr>
            <w:tcW w:type="dxa" w:w="1701"/>
            <w:shd w:val="clear" w:fill="EAF1F8"/>
          </w:tcPr>
          <w:p>
            <w:r/>
            <w:r>
              <w:rPr>
                <w:rFonts w:ascii="游ゴシック" w:hAnsi="游ゴシック" w:eastAsia="游ゴシック"/>
                <w:b/>
              </w:rPr>
              <w:t>対象者</w:t>
            </w:r>
          </w:p>
        </w:tc>
        <w:tc>
          <w:tcPr>
            <w:tcW w:type="dxa" w:w="7937"/>
          </w:tcPr>
          <w:p>
            <w:r/>
            <w:r>
              <w:rPr>
                <w:rFonts w:ascii="游ゴシック" w:hAnsi="游ゴシック" w:eastAsia="游ゴシック"/>
                <w:b w:val="0"/>
              </w:rPr>
              <w:t>奥田 尊子 様</w:t>
            </w:r>
          </w:p>
        </w:tc>
      </w:tr>
      <w:tr>
        <w:tc>
          <w:tcPr>
            <w:tcW w:type="dxa" w:w="1701"/>
            <w:shd w:val="clear" w:fill="EAF1F8"/>
          </w:tcPr>
          <w:p>
            <w:r/>
            <w:r>
              <w:rPr>
                <w:rFonts w:ascii="游ゴシック" w:hAnsi="游ゴシック" w:eastAsia="游ゴシック"/>
                <w:b/>
              </w:rPr>
              <w:t>報告日</w:t>
            </w:r>
          </w:p>
        </w:tc>
        <w:tc>
          <w:tcPr>
            <w:tcW w:type="dxa" w:w="7937"/>
          </w:tcPr>
          <w:p>
            <w:r/>
            <w:r>
              <w:rPr>
                <w:rFonts w:ascii="游ゴシック" w:hAnsi="游ゴシック" w:eastAsia="游ゴシック"/>
                <w:b w:val="0"/>
              </w:rPr>
              <w:t>2026年10月14日</w:t>
            </w:r>
          </w:p>
        </w:tc>
      </w:tr>
      <w:tr>
        <w:tc>
          <w:tcPr>
            <w:tcW w:type="dxa" w:w="1701"/>
            <w:shd w:val="clear" w:fill="EAF1F8"/>
          </w:tcPr>
          <w:p>
            <w:r/>
            <w:r>
              <w:rPr>
                <w:rFonts w:ascii="游ゴシック" w:hAnsi="游ゴシック" w:eastAsia="游ゴシック"/>
                <w:b/>
              </w:rPr>
              <w:t>報告者</w:t>
            </w:r>
          </w:p>
        </w:tc>
        <w:tc>
          <w:tcPr>
            <w:tcW w:type="dxa" w:w="7937"/>
          </w:tcPr>
          <w:p>
            <w:r/>
            <w:r>
              <w:rPr>
                <w:rFonts w:ascii="游ゴシック" w:hAnsi="游ゴシック" w:eastAsia="游ゴシック"/>
                <w:b w:val="0"/>
              </w:rPr>
              <w:t>企業のオンライン保健室　髙橋由香</w:t>
            </w:r>
          </w:p>
        </w:tc>
      </w:tr>
    </w:tbl>
    <w:p>
      <w:pPr>
        <w:spacing w:before="180" w:after="60"/>
        <w:pBdr>
          <w:bottom w:val="single" w:sz="4" w:space="1" w:color="9DB4CC"/>
        </w:pBdr>
      </w:pPr>
      <w:r>
        <w:rPr>
          <w:rFonts w:ascii="游ゴシック" w:hAnsi="游ゴシック" w:eastAsia="游ゴシック"/>
          <w:b/>
          <w:color w:val="1F3A5F"/>
          <w:sz w:val="23"/>
        </w:rPr>
        <w:t>1. 支援の目的</w:t>
      </w:r>
    </w:p>
    <w:p>
      <w:pPr>
        <w:ind w:left="0"/>
      </w:pPr>
      <w:r>
        <w:rPr>
          <w:rFonts w:ascii="游ゴシック" w:hAnsi="游ゴシック" w:eastAsia="游ゴシック"/>
          <w:b w:val="0"/>
        </w:rPr>
        <w:t>貴社より、休職中の社員について、再休職を防ぎ、安定した就業につなげるための個別支援のご依頼をいただきました。あわせて、休職に至った背景を理解し、他の社員も含めた職場環境の改善や予防策につなげたいとのご意向を伺っています。</w:t>
      </w:r>
    </w:p>
    <w:p>
      <w:pPr>
        <w:ind w:left="0"/>
      </w:pPr>
      <w:r>
        <w:rPr>
          <w:rFonts w:ascii="游ゴシック" w:hAnsi="游ゴシック" w:eastAsia="游ゴシック"/>
          <w:b w:val="0"/>
        </w:rPr>
        <w:t>オンライン保健室では、予防医学の問診票、プロファイリング、個別面談を組み合わせ、本人の自己理解と健康管理を支援する計画としました。</w:t>
      </w:r>
    </w:p>
    <w:p>
      <w:pPr>
        <w:spacing w:before="180" w:after="60"/>
        <w:pBdr>
          <w:bottom w:val="single" w:sz="4" w:space="1" w:color="9DB4CC"/>
        </w:pBdr>
      </w:pPr>
      <w:r>
        <w:rPr>
          <w:rFonts w:ascii="游ゴシック" w:hAnsi="游ゴシック" w:eastAsia="游ゴシック"/>
          <w:b/>
          <w:color w:val="1F3A5F"/>
          <w:sz w:val="23"/>
        </w:rPr>
        <w:t>2. 支援の実施状況</w:t>
      </w:r>
    </w:p>
    <w:p>
      <w:pPr>
        <w:spacing w:before="60"/>
        <w:ind w:left="113"/>
      </w:pPr>
      <w:r>
        <w:rPr>
          <w:rFonts w:ascii="游ゴシック" w:hAnsi="游ゴシック" w:eastAsia="游ゴシック"/>
          <w:b/>
          <w:color w:val="1F3A5F"/>
        </w:rPr>
        <w:t>【実施済み】</w:t>
      </w:r>
    </w:p>
    <w:p>
      <w:pPr>
        <w:ind w:left="454" w:hanging="227"/>
      </w:pPr>
      <w:r>
        <w:rPr>
          <w:rFonts w:ascii="游ゴシック" w:hAnsi="游ゴシック" w:eastAsia="游ゴシック"/>
          <w:b w:val="0"/>
        </w:rPr>
        <w:t>・</w:t>
      </w:r>
      <w:r>
        <w:rPr>
          <w:rFonts w:ascii="游ゴシック" w:hAnsi="游ゴシック" w:eastAsia="游ゴシック"/>
          <w:b w:val="0"/>
        </w:rPr>
        <w:t>本人への支援内容のご案内と連絡調整（10月5日〜）</w:t>
      </w:r>
    </w:p>
    <w:p>
      <w:pPr>
        <w:ind w:left="454" w:hanging="227"/>
      </w:pPr>
      <w:r>
        <w:rPr>
          <w:rFonts w:ascii="游ゴシック" w:hAnsi="游ゴシック" w:eastAsia="游ゴシック"/>
          <w:b w:val="0"/>
        </w:rPr>
        <w:t>・</w:t>
      </w:r>
      <w:r>
        <w:rPr>
          <w:rFonts w:ascii="游ゴシック" w:hAnsi="游ゴシック" w:eastAsia="游ゴシック"/>
          <w:b w:val="0"/>
        </w:rPr>
        <w:t>予防医学の問診票の実施（10月5日回答）</w:t>
      </w:r>
    </w:p>
    <w:p>
      <w:pPr>
        <w:ind w:left="454" w:hanging="227"/>
      </w:pPr>
      <w:r>
        <w:rPr>
          <w:rFonts w:ascii="游ゴシック" w:hAnsi="游ゴシック" w:eastAsia="游ゴシック"/>
          <w:b w:val="0"/>
        </w:rPr>
        <w:t>・</w:t>
      </w:r>
      <w:r>
        <w:rPr>
          <w:rFonts w:ascii="游ゴシック" w:hAnsi="游ゴシック" w:eastAsia="游ゴシック"/>
          <w:b w:val="0"/>
        </w:rPr>
        <w:t>プロファイリング分析の実施（10月8日）</w:t>
      </w:r>
    </w:p>
    <w:p>
      <w:pPr>
        <w:ind w:left="454" w:hanging="227"/>
      </w:pPr>
      <w:r>
        <w:rPr>
          <w:rFonts w:ascii="游ゴシック" w:hAnsi="游ゴシック" w:eastAsia="游ゴシック"/>
          <w:b w:val="0"/>
        </w:rPr>
        <w:t>・</w:t>
      </w:r>
      <w:r>
        <w:rPr>
          <w:rFonts w:ascii="游ゴシック" w:hAnsi="游ゴシック" w:eastAsia="游ゴシック"/>
          <w:b w:val="0"/>
        </w:rPr>
        <w:t>個別面談の日程調整（10月9日、本人が10月11日の面談を予約）</w:t>
      </w:r>
    </w:p>
    <w:p>
      <w:pPr>
        <w:ind w:left="454" w:hanging="227"/>
      </w:pPr>
      <w:r>
        <w:rPr>
          <w:rFonts w:ascii="游ゴシック" w:hAnsi="游ゴシック" w:eastAsia="游ゴシック"/>
          <w:b w:val="0"/>
        </w:rPr>
        <w:t>・</w:t>
      </w:r>
      <w:r>
        <w:rPr>
          <w:rFonts w:ascii="游ゴシック" w:hAnsi="游ゴシック" w:eastAsia="游ゴシック"/>
          <w:b w:val="0"/>
        </w:rPr>
        <w:t>LINEによる文章でのやり取り（10月9日以降）：体調の確認と健康相談を行い、主治医への相談を継続するよう促しました</w:t>
      </w:r>
    </w:p>
    <w:p>
      <w:pPr>
        <w:spacing w:before="60"/>
        <w:ind w:left="113"/>
      </w:pPr>
      <w:r>
        <w:rPr>
          <w:rFonts w:ascii="游ゴシック" w:hAnsi="游ゴシック" w:eastAsia="游ゴシック"/>
          <w:b/>
          <w:color w:val="1F3A5F"/>
        </w:rPr>
        <w:t>【未実施】</w:t>
      </w:r>
    </w:p>
    <w:p>
      <w:pPr>
        <w:ind w:left="454" w:hanging="227"/>
      </w:pPr>
      <w:r>
        <w:rPr>
          <w:rFonts w:ascii="游ゴシック" w:hAnsi="游ゴシック" w:eastAsia="游ゴシック"/>
          <w:b w:val="0"/>
        </w:rPr>
        <w:t>・</w:t>
      </w:r>
      <w:r>
        <w:rPr>
          <w:rFonts w:ascii="游ゴシック" w:hAnsi="游ゴシック" w:eastAsia="游ゴシック"/>
          <w:b w:val="0"/>
        </w:rPr>
        <w:t>個別面談（本人から「今は話すのが難しい」との申し出があり、10月11日の予定を中止）</w:t>
      </w:r>
    </w:p>
    <w:p>
      <w:pPr>
        <w:ind w:left="454" w:hanging="227"/>
      </w:pPr>
      <w:r>
        <w:rPr>
          <w:rFonts w:ascii="游ゴシック" w:hAnsi="游ゴシック" w:eastAsia="游ゴシック"/>
          <w:b w:val="0"/>
        </w:rPr>
        <w:t>・</w:t>
      </w:r>
      <w:r>
        <w:rPr>
          <w:rFonts w:ascii="游ゴシック" w:hAnsi="游ゴシック" w:eastAsia="游ゴシック"/>
          <w:b w:val="0"/>
        </w:rPr>
        <w:t>問診票・プロファイリング分析結果の本人への説明</w:t>
      </w:r>
    </w:p>
    <w:p>
      <w:pPr>
        <w:ind w:left="454" w:hanging="227"/>
      </w:pPr>
      <w:r>
        <w:rPr>
          <w:rFonts w:ascii="游ゴシック" w:hAnsi="游ゴシック" w:eastAsia="游ゴシック"/>
          <w:b w:val="0"/>
        </w:rPr>
        <w:t>・</w:t>
      </w:r>
      <w:r>
        <w:rPr>
          <w:rFonts w:ascii="游ゴシック" w:hAnsi="游ゴシック" w:eastAsia="游ゴシック"/>
          <w:b w:val="0"/>
        </w:rPr>
        <w:t>仕事に対する思いや、休職に至った背景の聞き取り</w:t>
      </w:r>
    </w:p>
    <w:p>
      <w:pPr>
        <w:ind w:left="454" w:hanging="227"/>
      </w:pPr>
      <w:r>
        <w:rPr>
          <w:rFonts w:ascii="游ゴシック" w:hAnsi="游ゴシック" w:eastAsia="游ゴシック"/>
          <w:b w:val="0"/>
        </w:rPr>
        <w:t>・</w:t>
      </w:r>
      <w:r>
        <w:rPr>
          <w:rFonts w:ascii="游ゴシック" w:hAnsi="游ゴシック" w:eastAsia="游ゴシック"/>
          <w:b w:val="0"/>
        </w:rPr>
        <w:t>再休職予防策の具体的な検討</w:t>
      </w:r>
    </w:p>
    <w:p>
      <w:pPr>
        <w:spacing w:before="180" w:after="60"/>
        <w:pBdr>
          <w:bottom w:val="single" w:sz="4" w:space="1" w:color="9DB4CC"/>
        </w:pBdr>
      </w:pPr>
      <w:r>
        <w:rPr>
          <w:rFonts w:ascii="游ゴシック" w:hAnsi="游ゴシック" w:eastAsia="游ゴシック"/>
          <w:b/>
          <w:color w:val="1F3A5F"/>
          <w:sz w:val="23"/>
        </w:rPr>
        <w:t>3. 現時点での評価</w:t>
      </w:r>
    </w:p>
    <w:p>
      <w:pPr>
        <w:ind w:left="454" w:hanging="227"/>
      </w:pPr>
      <w:r>
        <w:rPr>
          <w:rFonts w:ascii="游ゴシック" w:hAnsi="游ゴシック" w:eastAsia="游ゴシック"/>
          <w:b w:val="0"/>
        </w:rPr>
        <w:t>・</w:t>
      </w:r>
      <w:r>
        <w:rPr>
          <w:rFonts w:ascii="游ゴシック" w:hAnsi="游ゴシック" w:eastAsia="游ゴシック"/>
          <w:b w:val="0"/>
        </w:rPr>
        <w:t>当初、本人は支援への参加意思を示し、自ら面談を予約していました。</w:t>
      </w:r>
    </w:p>
    <w:p>
      <w:pPr>
        <w:ind w:left="454" w:hanging="227"/>
      </w:pPr>
      <w:r>
        <w:rPr>
          <w:rFonts w:ascii="游ゴシック" w:hAnsi="游ゴシック" w:eastAsia="游ゴシック"/>
          <w:b w:val="0"/>
        </w:rPr>
        <w:t>・</w:t>
      </w:r>
      <w:r>
        <w:rPr>
          <w:rFonts w:ascii="游ゴシック" w:hAnsi="游ゴシック" w:eastAsia="游ゴシック"/>
          <w:b w:val="0"/>
        </w:rPr>
        <w:t>問診票とプロファイリング分析は完了しています。</w:t>
      </w:r>
    </w:p>
    <w:p>
      <w:pPr>
        <w:ind w:left="454" w:hanging="227"/>
      </w:pPr>
      <w:r>
        <w:rPr>
          <w:rFonts w:ascii="游ゴシック" w:hAnsi="游ゴシック" w:eastAsia="游ゴシック"/>
          <w:b w:val="0"/>
        </w:rPr>
        <w:t>・</w:t>
      </w:r>
      <w:r>
        <w:rPr>
          <w:rFonts w:ascii="游ゴシック" w:hAnsi="游ゴシック" w:eastAsia="游ゴシック"/>
          <w:b w:val="0"/>
        </w:rPr>
        <w:t>個別面談は、本人の体調面の事情により実施に至っていません。面談が難しくなった後は、本人の提案により文章でのやり取りに切り替え、体調確認と健康相談を続けました。</w:t>
      </w:r>
    </w:p>
    <w:p>
      <w:pPr>
        <w:ind w:left="454" w:hanging="227"/>
      </w:pPr>
      <w:r>
        <w:rPr>
          <w:rFonts w:ascii="游ゴシック" w:hAnsi="游ゴシック" w:eastAsia="游ゴシック"/>
          <w:b w:val="0"/>
        </w:rPr>
        <w:t>・</w:t>
      </w:r>
      <w:r>
        <w:rPr>
          <w:rFonts w:ascii="游ゴシック" w:hAnsi="游ゴシック" w:eastAsia="游ゴシック"/>
          <w:b w:val="0"/>
        </w:rPr>
        <w:t>10月13日、本人から「友人の誘いで運動を始め、少し前向きになってきている」との報告がありました。ただし、これをもって健康状態が回復したと判断できるものではありません。</w:t>
      </w:r>
    </w:p>
    <w:p>
      <w:pPr>
        <w:ind w:left="454" w:hanging="227"/>
      </w:pPr>
      <w:r>
        <w:rPr>
          <w:rFonts w:ascii="游ゴシック" w:hAnsi="游ゴシック" w:eastAsia="游ゴシック"/>
          <w:b w:val="0"/>
        </w:rPr>
        <w:t>・</w:t>
      </w:r>
      <w:r>
        <w:rPr>
          <w:rFonts w:ascii="游ゴシック" w:hAnsi="游ゴシック" w:eastAsia="游ゴシック"/>
          <w:b w:val="0"/>
        </w:rPr>
        <w:t>仕事への復帰や安定就業の可否について、オンライン保健室として判断できるだけの情報は得られていません。</w:t>
      </w:r>
    </w:p>
    <w:p>
      <w:pPr>
        <w:ind w:left="454" w:hanging="227"/>
      </w:pPr>
      <w:r>
        <w:rPr>
          <w:rFonts w:ascii="游ゴシック" w:hAnsi="游ゴシック" w:eastAsia="游ゴシック"/>
          <w:b w:val="0"/>
        </w:rPr>
        <w:t>・</w:t>
      </w:r>
      <w:r>
        <w:rPr>
          <w:rFonts w:ascii="游ゴシック" w:hAnsi="游ゴシック" w:eastAsia="游ゴシック"/>
          <w:b w:val="0"/>
        </w:rPr>
        <w:t>休職に至った背景や再休職の要因については、十分な面談ができていないため、特定には至っていません。</w:t>
      </w:r>
    </w:p>
    <w:p>
      <w:pPr>
        <w:spacing w:before="180" w:after="60"/>
        <w:pBdr>
          <w:bottom w:val="single" w:sz="4" w:space="1" w:color="9DB4CC"/>
        </w:pBdr>
      </w:pPr>
      <w:r>
        <w:rPr>
          <w:rFonts w:ascii="游ゴシック" w:hAnsi="游ゴシック" w:eastAsia="游ゴシック"/>
          <w:b/>
          <w:color w:val="1F3A5F"/>
          <w:sz w:val="23"/>
        </w:rPr>
        <w:t>4. 未実施となった支援と今後の可能性</w:t>
      </w:r>
    </w:p>
    <w:p>
      <w:pPr>
        <w:ind w:left="0"/>
      </w:pPr>
      <w:r>
        <w:rPr>
          <w:rFonts w:ascii="游ゴシック" w:hAnsi="游ゴシック" w:eastAsia="游ゴシック"/>
          <w:b w:val="0"/>
        </w:rPr>
        <w:t>今回実施した分析結果には、本人が自身の心身の状態や特徴を理解するための参考情報が含まれています。本来は面談を通じて結果をお伝えし、本人の実感と照らし合わせながら、今後の健康管理や働き方を一緒に考える予定でしたが、その機会には至っていません。</w:t>
      </w:r>
    </w:p>
    <w:p>
      <w:pPr>
        <w:ind w:left="0"/>
      </w:pPr>
      <w:r>
        <w:rPr>
          <w:rFonts w:ascii="游ゴシック" w:hAnsi="游ゴシック" w:eastAsia="游ゴシック"/>
          <w:b w:val="0"/>
        </w:rPr>
        <w:t>今回実施した分析結果については、本人が自身の心身の状態や特徴を理解するための参考情報として、本人に直接説明する機会を設ける意義があると考えます。今後、本人が面談可能な状態となり、説明を希望した場合には、改めて実施を検討いたします。</w:t>
      </w:r>
    </w:p>
    <w:p>
      <w:pPr>
        <w:ind w:left="0"/>
      </w:pPr>
      <w:r>
        <w:rPr>
          <w:rFonts w:ascii="游ゴシック" w:hAnsi="游ゴシック" w:eastAsia="游ゴシック"/>
          <w:b w:val="0"/>
        </w:rPr>
        <w:t>なお、面談は本人に強制するものではありません。実施の時期・内容・範囲は、本人の希望と貴社との協議により、改めて決定いたします。</w:t>
      </w:r>
    </w:p>
    <w:p>
      <w:pPr>
        <w:ind w:left="0"/>
      </w:pPr>
      <w:r>
        <w:rPr>
          <w:rFonts w:ascii="游ゴシック" w:hAnsi="游ゴシック" w:eastAsia="游ゴシック"/>
          <w:b w:val="0"/>
          <w:color w:val="555555"/>
          <w:sz w:val="18"/>
        </w:rPr>
        <w:t>※問診票・プロファイリングの個別の結果は、本人への支援に用いる情報のため、本報告書には記載していません。また、問診票の結果は医学的な診断ではありません。</w:t>
      </w:r>
    </w:p>
    <w:p>
      <w:pPr>
        <w:spacing w:before="180" w:after="60"/>
        <w:pBdr>
          <w:bottom w:val="single" w:sz="4" w:space="1" w:color="9DB4CC"/>
        </w:pBdr>
      </w:pPr>
      <w:r>
        <w:rPr>
          <w:rFonts w:ascii="游ゴシック" w:hAnsi="游ゴシック" w:eastAsia="游ゴシック"/>
          <w:b/>
          <w:color w:val="1F3A5F"/>
          <w:sz w:val="23"/>
        </w:rPr>
        <w:t>5. 会社への提案</w:t>
      </w:r>
    </w:p>
    <w:p>
      <w:pPr>
        <w:ind w:left="454" w:hanging="227"/>
      </w:pPr>
      <w:r>
        <w:rPr>
          <w:rFonts w:ascii="游ゴシック" w:hAnsi="游ゴシック" w:eastAsia="游ゴシック"/>
          <w:b w:val="0"/>
        </w:rPr>
        <w:t>・</w:t>
      </w:r>
      <w:r>
        <w:rPr>
          <w:rFonts w:ascii="游ゴシック" w:hAnsi="游ゴシック" w:eastAsia="游ゴシック"/>
          <w:b/>
        </w:rPr>
        <w:t>① 健康状態と就業上の判断：</w:t>
      </w:r>
      <w:r>
        <w:rPr>
          <w:rFonts w:ascii="游ゴシック" w:hAnsi="游ゴシック" w:eastAsia="游ゴシック"/>
          <w:b w:val="0"/>
        </w:rPr>
        <w:t>本人の健康状態や就業上の配慮については、本人の同意と適切な手続きのもとで主治医の意見を確認し、必要に応じて産業医等の専門職と連携してご判断ください。</w:t>
      </w:r>
    </w:p>
    <w:p>
      <w:pPr>
        <w:ind w:left="454" w:hanging="227"/>
      </w:pPr>
      <w:r>
        <w:rPr>
          <w:rFonts w:ascii="游ゴシック" w:hAnsi="游ゴシック" w:eastAsia="游ゴシック"/>
          <w:b w:val="0"/>
        </w:rPr>
        <w:t>・</w:t>
      </w:r>
      <w:r>
        <w:rPr>
          <w:rFonts w:ascii="游ゴシック" w:hAnsi="游ゴシック" w:eastAsia="游ゴシック"/>
          <w:b/>
        </w:rPr>
        <w:t>② 休職・復職に関する労務対応：</w:t>
      </w:r>
      <w:r>
        <w:rPr>
          <w:rFonts w:ascii="游ゴシック" w:hAnsi="游ゴシック" w:eastAsia="游ゴシック"/>
          <w:b w:val="0"/>
        </w:rPr>
        <w:t>休職・復職・勤務上の配慮については、就業規則や医師の意見を踏まえ、必要に応じて社会保険労務士等にご相談のうえ、貴社としてご判断ください。</w:t>
      </w:r>
    </w:p>
    <w:p>
      <w:pPr>
        <w:ind w:left="454" w:hanging="227"/>
      </w:pPr>
      <w:r>
        <w:rPr>
          <w:rFonts w:ascii="游ゴシック" w:hAnsi="游ゴシック" w:eastAsia="游ゴシック"/>
          <w:b w:val="0"/>
        </w:rPr>
        <w:t>・</w:t>
      </w:r>
      <w:r>
        <w:rPr>
          <w:rFonts w:ascii="游ゴシック" w:hAnsi="游ゴシック" w:eastAsia="游ゴシック"/>
          <w:b/>
        </w:rPr>
        <w:t>③ 再休職予防のための要因把握：</w:t>
      </w:r>
      <w:r>
        <w:rPr>
          <w:rFonts w:ascii="游ゴシック" w:hAnsi="游ゴシック" w:eastAsia="游ゴシック"/>
          <w:b w:val="0"/>
        </w:rPr>
        <w:t>本人が面談できる状態となり、希望した場合には、仕事上の負担、職場環境、本人が感じている困りごと、今後の希望などを整理いたします。</w:t>
      </w:r>
    </w:p>
    <w:p>
      <w:pPr>
        <w:ind w:left="454" w:hanging="227"/>
      </w:pPr>
      <w:r>
        <w:rPr>
          <w:rFonts w:ascii="游ゴシック" w:hAnsi="游ゴシック" w:eastAsia="游ゴシック"/>
          <w:b w:val="0"/>
        </w:rPr>
        <w:t>・</w:t>
      </w:r>
      <w:r>
        <w:rPr>
          <w:rFonts w:ascii="游ゴシック" w:hAnsi="游ゴシック" w:eastAsia="游ゴシック"/>
          <w:b/>
        </w:rPr>
        <w:t>④ 他の社員も含めた予防的対応：</w:t>
      </w:r>
      <w:r>
        <w:rPr>
          <w:rFonts w:ascii="游ゴシック" w:hAnsi="游ゴシック" w:eastAsia="游ゴシック"/>
          <w:b w:val="0"/>
        </w:rPr>
        <w:t>今回の個別事例だけで職場全体の課題を断定せず、必要に応じてストレスチェック結果、職場の相談体制、業務負担、管理職による声かけなどを確認し、職場環境の改善をご検討ください。なお、個別の健康情報を職場全体の施策に転用することはいたしません。</w:t>
      </w:r>
    </w:p>
    <w:p>
      <w:pPr>
        <w:spacing w:before="180" w:after="60"/>
        <w:pBdr>
          <w:bottom w:val="single" w:sz="4" w:space="1" w:color="9DB4CC"/>
        </w:pBdr>
      </w:pPr>
      <w:r>
        <w:rPr>
          <w:rFonts w:ascii="游ゴシック" w:hAnsi="游ゴシック" w:eastAsia="游ゴシック"/>
          <w:b/>
          <w:color w:val="1F3A5F"/>
          <w:sz w:val="23"/>
        </w:rPr>
        <w:t>6. 今後の支援方針</w:t>
      </w:r>
    </w:p>
    <w:p>
      <w:pPr>
        <w:ind w:left="454" w:hanging="227"/>
      </w:pPr>
      <w:r>
        <w:rPr>
          <w:rFonts w:ascii="游ゴシック" w:hAnsi="游ゴシック" w:eastAsia="游ゴシック"/>
          <w:b w:val="0"/>
        </w:rPr>
        <w:t>・</w:t>
      </w:r>
      <w:r>
        <w:rPr>
          <w:rFonts w:ascii="游ゴシック" w:hAnsi="游ゴシック" w:eastAsia="游ゴシック"/>
          <w:b w:val="0"/>
        </w:rPr>
        <w:t>予定していた個別支援が、現時点で計画どおりに進んでいないため、本報告書をもとに今後の対応を貴社と協議させていただきたいと考えます。</w:t>
      </w:r>
    </w:p>
    <w:p>
      <w:pPr>
        <w:ind w:left="454" w:hanging="227"/>
      </w:pPr>
      <w:r>
        <w:rPr>
          <w:rFonts w:ascii="游ゴシック" w:hAnsi="游ゴシック" w:eastAsia="游ゴシック"/>
          <w:b w:val="0"/>
        </w:rPr>
        <w:t>・</w:t>
      </w:r>
      <w:r>
        <w:rPr>
          <w:rFonts w:ascii="游ゴシック" w:hAnsi="游ゴシック" w:eastAsia="游ゴシック"/>
          <w:b w:val="0"/>
        </w:rPr>
        <w:t>本報告をもって、今後の支援を一切行わないと決定するものではありません。追加の支援は、本人の希望と貴社との協議を前提に、内容と条件を改めて確認したうえで実施いたします。</w:t>
      </w:r>
    </w:p>
    <w:p>
      <w:pPr>
        <w:spacing w:before="160"/>
        <w:ind w:left="454" w:hanging="227"/>
      </w:pPr>
      <w:r>
        <w:rPr>
          <w:rFonts w:ascii="游ゴシック" w:hAnsi="游ゴシック" w:eastAsia="游ゴシック"/>
          <w:b w:val="0"/>
        </w:rPr>
        <w:t>・</w:t>
      </w:r>
      <w:r>
        <w:rPr>
          <w:rFonts w:ascii="游ゴシック" w:hAnsi="游ゴシック" w:eastAsia="游ゴシック"/>
          <w:b w:val="0"/>
        </w:rPr>
        <w:t>ご相談したい事項：①当面の本人への関わり方（連絡の窓口・頻度）　②分析結果を説明する機会の扱い　③個別支援の今後の進め方</w:t>
      </w:r>
    </w:p>
    <w:tbl>
      <w:tblPr>
        <w:tblStyle w:val="TableGrid"/>
        <w:tblW w:type="auto" w:w="0"/>
        <w:tblLook w:firstColumn="1" w:firstRow="1" w:lastColumn="0" w:lastRow="0" w:noHBand="0" w:noVBand="1" w:val="04A0"/>
      </w:tblPr>
      <w:tblGrid>
        <w:gridCol w:w="9638"/>
      </w:tblGrid>
      <w:tr>
        <w:tc>
          <w:tcPr>
            <w:tcW w:type="dxa" w:w="9638"/>
            <w:shd w:val="clear" w:fill="F4F6F8"/>
          </w:tcPr>
          <w:p>
            <w:r/>
            <w:r>
              <w:rPr>
                <w:rFonts w:ascii="游ゴシック" w:hAnsi="游ゴシック" w:eastAsia="游ゴシック"/>
                <w:b/>
                <w:color w:val="1F3A5F"/>
                <w:sz w:val="18"/>
              </w:rPr>
              <w:t xml:space="preserve">本報告書の位置づけ　</w:t>
            </w:r>
            <w:r>
              <w:rPr>
                <w:rFonts w:ascii="游ゴシック" w:hAnsi="游ゴシック" w:eastAsia="游ゴシック"/>
                <w:b w:val="0"/>
                <w:sz w:val="18"/>
              </w:rPr>
              <w:t>本報告書は、現時点までの支援経過と今後の検討事項を整理したものです。医学的診断、就業可否の判定、休職原因の確定を行うものではありません。</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88" w:lineRule="auto"/>
    </w:pPr>
    <w:rPr>
      <w:rFonts w:ascii="游ゴシック" w:hAnsi="游ゴシック" w:eastAsia="游ゴシック"/>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