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Yhtenäisyys ja samankaltaisuus</w:t>
      </w:r>
    </w:p>
    <w:p>
      <w:pPr>
        <w:bidi w:val="0"/>
      </w:pPr>
      <w:r>
        <w:rPr>
          <w:b/>
          <w:sz w:val="28"/>
        </w:rPr>
        <w:t>Tammikuun 21.</w:t>
      </w:r>
    </w:p>
    <w:p>
      <w:pPr>
        <w:bidi w:val="0"/>
      </w:pPr>
      <w:r>
        <w:t/>
      </w:r>
    </w:p>
    <w:p>
      <w:pPr>
        <w:bidi w:val="0"/>
      </w:pPr>
      <w:r>
        <w:rPr>
          <w:i/>
          <w:sz w:val="28"/>
        </w:rPr>
        <w:t>”Yhtenäisyys on NA:n elinehto.”</w:t>
      </w:r>
    </w:p>
    <w:p>
      <w:pPr>
        <w:bidi w:val="0"/>
      </w:pPr>
      <w:r>
        <w:rPr>
          <w:b/>
          <w:sz w:val="28"/>
        </w:rPr>
        <w:t>Perusteksti s. 68</w:t>
      </w:r>
    </w:p>
    <w:p>
      <w:pPr>
        <w:jc w:val="right"/>
        <w:bidi w:val="0"/>
      </w:pPr>
      <w:r>
        <w:t/>
      </w:r>
    </w:p>
    <w:p>
      <w:pPr>
        <w:jc w:val="right"/>
        <w:bidi w:val="0"/>
      </w:pPr>
      <w:r>
        <w:t/>
      </w:r>
    </w:p>
    <w:p>
      <w:pPr>
        <w:bidi w:val="0"/>
      </w:pPr>
      <w:r>
        <w:rPr>
          <w:sz w:val="28"/>
        </w:rPr>
        <w:t>Yhtenäisyys ei ole samankaltaisuutta. Yhtenäisyys lähtee siitä tosiasiasta, että meillä on yhteinen päämäärä – toipua itse ja auttaa muita pääsemään irti huumeista. Ja monesti me huomaamme, että vaikka ponnistelemme kohti samaa tavoitetta, keinomme ja tapamme voivat olla hyvinkin erilaisia. Emme voi tyrkyttää omia ajatuksiamme yhtenäisyydestä toisille, emmekä saa sekoittaa yhtenäisyyttä samankaltaisuuteen. Tosiasiassa NA:n ohjelman suuri viehätys on juuri sen samankaltaisuuden puute. Yhtenäisyys on meidän yhteisessä tavoitteessamme, ei yksittäisten hyvää tarkoittavien jäsenten tyrkyttämissä normeissa. Ryhmä, jonka yhtenäisyys lähtee jäsentensä rakastavista sydämistä, sallii jokaisen addiktin levittää sanomaa omalla ainutlaatuisella tavallaan.</w:t>
      </w:r>
    </w:p>
    <w:p>
      <w:pPr>
        <w:bidi w:val="0"/>
      </w:pPr>
      <w:r>
        <w:t/>
      </w:r>
    </w:p>
    <w:p>
      <w:pPr>
        <w:bidi w:val="0"/>
      </w:pPr>
      <w:r>
        <w:rPr>
          <w:sz w:val="28"/>
        </w:rPr>
        <w:t>Kun olemme toistemme kanssa tekemisissä NA:ssa, olemme välillä asioista kovastikin eri mieltä. Meidän tulee kuitenkin muistaa, että yksityiskohdat miten asiat saadaan tehdyiksi, eivät välttämättä ole tärkeitä niin kauan kuin keskitymme ryhmän yhteiseen tavoitteeseen. Saamme nähdä sellaisten jäsenten, jotka ovat kiihkeästi eri mieltä arkipäiväisistä asioista, puhaltavan yhteen hiileen, kun uusi tulokas hakee apua. Joku oli paikalla meitä varten silloin kun me saavuimme NA:han. Nyt on meidän vuoromme olla paikalla muita varten. Tarvitsemme yhtenäisyyttä osoittaaksemme uudelle tulokkaalle, että tämä elämäntapa toimii.</w:t>
      </w:r>
    </w:p>
    <w:p>
      <w:pPr>
        <w:bidi w:val="0"/>
      </w:pPr>
      <w:r>
        <w:t/>
      </w:r>
    </w:p>
    <w:p>
      <w:pPr>
        <w:bidi w:val="0"/>
      </w:pPr>
      <w:r>
        <w:t/>
      </w:r>
    </w:p>
    <w:p>
      <w:pPr>
        <w:bidi w:val="0"/>
      </w:pPr>
      <w:r>
        <w:rPr>
          <w:b/>
          <w:sz w:val="28"/>
        </w:rPr>
        <w:t>Juuri tänään</w:t>
      </w:r>
      <w:r>
        <w:rPr>
          <w:sz w:val="28"/>
        </w:rPr>
        <w:t>: Ponnistelen ollakseni osa toveriseuraa. Tiedän, että yhtenäisyys ei ole samankaltaisuutta.</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