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Toipuminen</w:t>
      </w:r>
    </w:p>
    <w:p>
      <w:pPr>
        <w:bidi w:val="0"/>
      </w:pPr>
      <w:r>
        <w:rPr>
          <w:b/>
          <w:sz w:val="28"/>
        </w:rPr>
        <w:t>Tammikuun 7.</w:t>
      </w:r>
    </w:p>
    <w:p>
      <w:pPr>
        <w:bidi w:val="0"/>
      </w:pPr>
      <w:r>
        <w:t/>
      </w:r>
    </w:p>
    <w:p>
      <w:pPr>
        <w:bidi w:val="0"/>
      </w:pPr>
      <w:r>
        <w:rPr>
          <w:i/>
          <w:sz w:val="28"/>
        </w:rPr>
        <w:t>”Nimettömät Narkomaanit tarjoaa addikteille toipumisohjelman, joka on enemmän kuin pelkkä elämä ilman huumeita. Tämä elämäntapa ei ole ainoastaan parempi kuin helvetti, jossa elimme, vaan se on parempi kuin mikään koskaan tuntemamme elämä.”</w:t>
      </w:r>
    </w:p>
    <w:p>
      <w:pPr>
        <w:bidi w:val="0"/>
      </w:pPr>
      <w:r>
        <w:rPr>
          <w:b/>
          <w:sz w:val="28"/>
        </w:rPr>
        <w:t>Perusteksti s. 117</w:t>
      </w:r>
    </w:p>
    <w:p>
      <w:pPr>
        <w:bidi w:val="0"/>
      </w:pPr>
      <w:r>
        <w:t/>
      </w:r>
    </w:p>
    <w:p>
      <w:pPr>
        <w:bidi w:val="0"/>
      </w:pPr>
      <w:r>
        <w:t/>
      </w:r>
    </w:p>
    <w:p>
      <w:pPr>
        <w:bidi w:val="0"/>
      </w:pPr>
      <w:r>
        <w:rPr>
          <w:sz w:val="28"/>
        </w:rPr>
        <w:t xml:space="preserve">Harvat meistä ovat kiinnostuneita ”toipumisesta”, jota meillä oli ennen kuin aloimme käyttää. Monet meistä kärsivät vakavista ruumiillisista, seksuaalisista ja tunne-elämän väärinkäytöistä. Huumeiden tuoma unohdus ja siinä tilassa pysyminen tuntui ainoalta mahdollisuudelta selviytyä sellaisesta tilanteesta. Jotkut ovat kärsineet vähemmän silmiinpistävillä, mutta aivan yhtä tuskallisilla tavoilla ennen kuin joutuivat huumekierteeseen. Meiltä puuttui suunta ja tarkoitus. Olimme hengellisesti tyhjiä. Tunsimme olevamme eristyksissä, kykenemättömiä myötäelämiseen muiden ihmisten kanssa. Meillä ei ollut mitään niistä asioista, jotka antavat elämälle sen tarkoituksen ja arvon. Turhaan yritimme huumeilla täyttää sisäistä tyhjyyttämme. Useimmat meistä eivät </w:t>
      </w:r>
      <w:r>
        <w:rPr>
          <w:i/>
          <w:sz w:val="28"/>
        </w:rPr>
        <w:t>haluaisi</w:t>
      </w:r>
      <w:r>
        <w:rPr>
          <w:sz w:val="28"/>
        </w:rPr>
        <w:t xml:space="preserve"> ”toipua” siihen, mitä olimme ennen huumeita.</w:t>
      </w:r>
    </w:p>
    <w:p>
      <w:pPr>
        <w:bidi w:val="0"/>
      </w:pPr>
      <w:r>
        <w:t/>
      </w:r>
    </w:p>
    <w:p>
      <w:pPr>
        <w:bidi w:val="0"/>
      </w:pPr>
      <w:r>
        <w:rPr>
          <w:sz w:val="28"/>
        </w:rPr>
        <w:t>NA:ssa toipuminen on tosiaankin jotain aivan muuta: mahdollisuus uuteen elämään. Meille annetaan työkalut, joilla voimme korjata elämämme haaksirikon. Saamme tukea jatkaaksemme rohkeasti uudella tiellä. Ja saamme lahjaksi jatkuvan yhteyden itseämme suurempaan voimaan, joka tarjoaa meille sisäisen voiman ja suunnan, joka aikaisemmin elämästämme puuttui.</w:t>
      </w:r>
    </w:p>
    <w:p>
      <w:pPr>
        <w:bidi w:val="0"/>
      </w:pPr>
      <w:r>
        <w:t/>
      </w:r>
    </w:p>
    <w:p>
      <w:pPr>
        <w:bidi w:val="0"/>
      </w:pPr>
      <w:r>
        <w:rPr>
          <w:sz w:val="28"/>
        </w:rPr>
        <w:t>Toipuminen? Kyllä, kaikin tavoin. Toivumme uudenlaiseen elämään, parempaan kuin olemme osanneet edes uneksia. Olemme kiitollisia.</w:t>
      </w:r>
    </w:p>
    <w:p>
      <w:pPr>
        <w:bidi w:val="0"/>
      </w:pPr>
      <w:r>
        <w:t/>
      </w:r>
    </w:p>
    <w:p>
      <w:pPr>
        <w:bidi w:val="0"/>
      </w:pPr>
      <w:r>
        <w:t/>
      </w:r>
    </w:p>
    <w:p>
      <w:pPr>
        <w:bidi w:val="0"/>
      </w:pPr>
      <w:r>
        <w:rPr>
          <w:b/>
          <w:sz w:val="28"/>
        </w:rPr>
        <w:t>Juuri tänään</w:t>
      </w:r>
      <w:r>
        <w:rPr>
          <w:sz w:val="28"/>
        </w:rPr>
        <w:t>: Olen saanut jotain, mitä minulta on aina puuttunut, mistä en osannut edes uneksia; toipuvan addiktin elämän. Kiitos, korkeammat voimat, enemmän kuin sanat voivat ilmaista.</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9" w:footer="566"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