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Kasvaminen</w:t>
      </w:r>
    </w:p>
    <w:p>
      <w:pPr>
        <w:bidi w:val="0"/>
      </w:pPr>
      <w:r>
        <w:rPr>
          <w:b/>
          <w:sz w:val="28"/>
        </w:rPr>
        <w:t xml:space="preserve">Tammikuun 8. </w:t>
      </w:r>
    </w:p>
    <w:p>
      <w:pPr>
        <w:bidi w:val="0"/>
      </w:pPr>
      <w:r>
        <w:t/>
      </w:r>
    </w:p>
    <w:p>
      <w:pPr>
        <w:bidi w:val="0"/>
      </w:pPr>
      <w:r>
        <w:rPr>
          <w:i/>
          <w:sz w:val="28"/>
        </w:rPr>
        <w:t>”Henkinen vireemme on menestyksellisen toipumisen perusta, joka tarjoaa mahdollisuuden rajattomaan kasvuun.”</w:t>
      </w:r>
    </w:p>
    <w:p>
      <w:pPr>
        <w:bidi w:val="0"/>
      </w:pPr>
      <w:r>
        <w:rPr>
          <w:b/>
          <w:sz w:val="28"/>
        </w:rPr>
        <w:t>Perusteksti s. 48</w:t>
      </w:r>
    </w:p>
    <w:p>
      <w:pPr>
        <w:bidi w:val="0"/>
      </w:pPr>
      <w:r>
        <w:t/>
      </w:r>
    </w:p>
    <w:p>
      <w:pPr>
        <w:bidi w:val="0"/>
      </w:pPr>
      <w:r>
        <w:t/>
      </w:r>
    </w:p>
    <w:p>
      <w:pPr>
        <w:bidi w:val="0"/>
      </w:pPr>
      <w:r>
        <w:rPr>
          <w:sz w:val="28"/>
        </w:rPr>
        <w:t xml:space="preserve">Kun jäsenemme juhlivat puhtaana olemisensa vuosipäiviään, he sanovat usein ”kasvaneensa” NA:ssa. ”Mitähän tuo tarkoittaa?”, me mietimme. Alamme ihmetellä, olemmeko aikuisia. Tarkastelemme elämäämme ja kyllä, kaikki aikuisuuden merkit löytyvät: shekkivihko, lapset, työpaikka, velvollisuudet. Kuitenkin sisimmissämme tunnemme itsemme lapsiksi. Yhä edelleen elämä useinkin hämmentää meitä. Emme aina tiedä mitä tehdä. Ihmettelemme joskus, olimmeko todella aikuisia, vaiko lapsia, jotka vain jotenkin ovat joutuneet aikuisen ruumiiseen ja saaneet aikuisen velvollisuudet. </w:t>
      </w:r>
    </w:p>
    <w:p>
      <w:pPr>
        <w:bidi w:val="0"/>
      </w:pPr>
      <w:r>
        <w:t/>
      </w:r>
    </w:p>
    <w:p>
      <w:pPr>
        <w:bidi w:val="0"/>
      </w:pPr>
      <w:r>
        <w:rPr>
          <w:sz w:val="28"/>
        </w:rPr>
        <w:t xml:space="preserve">Kasvua ei voi kunnolla mitata fyysisellä iällä, eikä velvollisuuksien laajuudella. Paras kasvun mitta on henkinen kuntomme, toipumisemme perusta. Jos yhä olemme riippuvaisia muiden ihmisten, paikkojen ja asioiden tuottamasta tyydytyksestä niin kuin pieni lapsi on kaikessa riippuvainen vanhemmistaan, meillä todellakin on kasvun varaa. Mutta jos voimme olla varmoja henkisen pohjamme hyvästä kunnosta ja pidämme siitä huolehtimisesta tärkeimpänä velvollisuutenamme, voimme kasvaa aikuisuuteen. Tältä perustalta mahdollisuutemme kasvuun on rajaton.  </w:t>
      </w:r>
    </w:p>
    <w:p>
      <w:pPr>
        <w:bidi w:val="0"/>
      </w:pPr>
      <w:r>
        <w:t/>
      </w:r>
    </w:p>
    <w:p>
      <w:pPr>
        <w:bidi w:val="0"/>
      </w:pPr>
      <w:r>
        <w:rPr>
          <w:b/>
          <w:sz w:val="28"/>
        </w:rPr>
        <w:t>Juuri tänään</w:t>
      </w:r>
      <w:r>
        <w:rPr>
          <w:sz w:val="28"/>
        </w:rPr>
        <w:t>: Kypsyyteni mitta on se, missä määrin kannan vastuuta oman henkisen kuntoni huoltamisesta. Tänään se on elämässäni etusijalla.</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