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BDD7D3" w14:textId="5D0D77D7" w:rsidR="00BC747D" w:rsidRDefault="00D4576C" w:rsidP="00BC747D">
      <w:pPr>
        <w:pStyle w:val="Heading1"/>
        <w:jc w:val="center"/>
      </w:pPr>
      <w:r w:rsidRPr="00D4576C">
        <w:rPr>
          <w:lang w:val="en-PH"/>
        </w:rPr>
        <w:t>Enterprise-Kiosk Vanguard</w:t>
      </w:r>
      <w:r w:rsidRPr="00D4576C">
        <w:rPr>
          <w:lang w:val="en-PH"/>
        </w:rPr>
        <w:t xml:space="preserve"> </w:t>
      </w:r>
      <w:r w:rsidRPr="00D4576C">
        <w:t>RATIONALE</w:t>
      </w:r>
    </w:p>
    <w:p w14:paraId="78E4BF25" w14:textId="77777777" w:rsidR="00BC747D" w:rsidRPr="00BC747D" w:rsidRDefault="00BC747D" w:rsidP="00BC747D"/>
    <w:p w14:paraId="60EDF21B" w14:textId="2CF1E815" w:rsidR="00D4576C" w:rsidRPr="00D4576C" w:rsidRDefault="00D4576C" w:rsidP="00D4576C">
      <w:pPr>
        <w:rPr>
          <w:b/>
          <w:bCs/>
          <w:lang w:val="en-PH"/>
        </w:rPr>
      </w:pPr>
      <w:r w:rsidRPr="00D4576C">
        <w:rPr>
          <w:b/>
          <w:bCs/>
          <w:lang w:val="en-PH"/>
        </w:rPr>
        <w:t>Data Flow Diagram</w:t>
      </w:r>
    </w:p>
    <w:p w14:paraId="236DF184" w14:textId="77777777" w:rsidR="00D4576C" w:rsidRPr="00D4576C" w:rsidRDefault="00D4576C" w:rsidP="00D4576C">
      <w:pPr>
        <w:rPr>
          <w:lang w:val="en-PH"/>
        </w:rPr>
      </w:pPr>
      <w:r w:rsidRPr="00D4576C">
        <w:rPr>
          <w:lang w:val="en-PH"/>
        </w:rPr>
        <w:t>The Data Flow Diagram was designed to clearly represent the major operations and information flows of the Enterprise-Kiosk Vanguard ATM. The Level 0 DFD identifies the Customer, Core Banking System, and Fleet Operations Center as the main external entities interacting with the ATM system. The Level 1 DFD divides the system into four major processes: Authenticate User, Process Transaction, Monitor ATM Resources, and Protect ATM Session. Separating these functions makes the system easier to understand and shows how authentication, banking transactions, ATM monitoring, and security are handled independently.</w:t>
      </w:r>
    </w:p>
    <w:p w14:paraId="4BD72A85" w14:textId="77777777" w:rsidR="00D4576C" w:rsidRPr="00D4576C" w:rsidRDefault="00D4576C" w:rsidP="00D4576C">
      <w:pPr>
        <w:rPr>
          <w:lang w:val="en-PH"/>
        </w:rPr>
      </w:pPr>
      <w:r w:rsidRPr="00D4576C">
        <w:rPr>
          <w:lang w:val="en-PH"/>
        </w:rPr>
        <w:t>The Authenticate User process supports the proposed biometric authentication feature, reducing dependence on traditional card-and-PIN authentication. The Process Transaction process handles customer requests, account information, transaction processing, and transaction results. Monitor ATM Resources supports cash inventory, telemetry, and maintenance monitoring, while Protect ATM Session provides an additional process for security and privacy-related actions.</w:t>
      </w:r>
    </w:p>
    <w:p w14:paraId="18871ACB" w14:textId="461FE4E2" w:rsidR="00D4576C" w:rsidRPr="00D4576C" w:rsidRDefault="00D4576C" w:rsidP="00D4576C">
      <w:pPr>
        <w:rPr>
          <w:b/>
          <w:bCs/>
          <w:lang w:val="en-PH"/>
        </w:rPr>
      </w:pPr>
      <w:r w:rsidRPr="00D4576C">
        <w:rPr>
          <w:b/>
          <w:bCs/>
          <w:lang w:val="en-PH"/>
        </w:rPr>
        <w:t>Entity Relationship Diagram</w:t>
      </w:r>
    </w:p>
    <w:p w14:paraId="121B957F" w14:textId="77777777" w:rsidR="00D4576C" w:rsidRPr="00D4576C" w:rsidRDefault="00D4576C" w:rsidP="00D4576C">
      <w:pPr>
        <w:rPr>
          <w:lang w:val="en-PH"/>
        </w:rPr>
      </w:pPr>
      <w:r w:rsidRPr="00D4576C">
        <w:rPr>
          <w:lang w:val="en-PH"/>
        </w:rPr>
        <w:t xml:space="preserve">The database was structured into nine related tables to organize customer, biometric, banking, transaction, ATM, cash inventory, and maintenance information. The tables are </w:t>
      </w:r>
      <w:proofErr w:type="spellStart"/>
      <w:r w:rsidRPr="00D4576C">
        <w:rPr>
          <w:lang w:val="en-PH"/>
        </w:rPr>
        <w:t>tblCustomers</w:t>
      </w:r>
      <w:proofErr w:type="spellEnd"/>
      <w:r w:rsidRPr="00D4576C">
        <w:rPr>
          <w:lang w:val="en-PH"/>
        </w:rPr>
        <w:t xml:space="preserve">, </w:t>
      </w:r>
      <w:proofErr w:type="spellStart"/>
      <w:r w:rsidRPr="00D4576C">
        <w:rPr>
          <w:lang w:val="en-PH"/>
        </w:rPr>
        <w:t>tblBiometricProfiles</w:t>
      </w:r>
      <w:proofErr w:type="spellEnd"/>
      <w:r w:rsidRPr="00D4576C">
        <w:rPr>
          <w:lang w:val="en-PH"/>
        </w:rPr>
        <w:t xml:space="preserve">, </w:t>
      </w:r>
      <w:proofErr w:type="spellStart"/>
      <w:r w:rsidRPr="00D4576C">
        <w:rPr>
          <w:lang w:val="en-PH"/>
        </w:rPr>
        <w:t>tblBiometricTypes</w:t>
      </w:r>
      <w:proofErr w:type="spellEnd"/>
      <w:r w:rsidRPr="00D4576C">
        <w:rPr>
          <w:lang w:val="en-PH"/>
        </w:rPr>
        <w:t xml:space="preserve">, </w:t>
      </w:r>
      <w:proofErr w:type="spellStart"/>
      <w:r w:rsidRPr="00D4576C">
        <w:rPr>
          <w:lang w:val="en-PH"/>
        </w:rPr>
        <w:t>tblAccounts</w:t>
      </w:r>
      <w:proofErr w:type="spellEnd"/>
      <w:r w:rsidRPr="00D4576C">
        <w:rPr>
          <w:lang w:val="en-PH"/>
        </w:rPr>
        <w:t xml:space="preserve">, </w:t>
      </w:r>
      <w:proofErr w:type="spellStart"/>
      <w:r w:rsidRPr="00D4576C">
        <w:rPr>
          <w:lang w:val="en-PH"/>
        </w:rPr>
        <w:t>tblATMTransactions</w:t>
      </w:r>
      <w:proofErr w:type="spellEnd"/>
      <w:r w:rsidRPr="00D4576C">
        <w:rPr>
          <w:lang w:val="en-PH"/>
        </w:rPr>
        <w:t xml:space="preserve">, </w:t>
      </w:r>
      <w:proofErr w:type="spellStart"/>
      <w:r w:rsidRPr="00D4576C">
        <w:rPr>
          <w:lang w:val="en-PH"/>
        </w:rPr>
        <w:t>tblTransactionTypes</w:t>
      </w:r>
      <w:proofErr w:type="spellEnd"/>
      <w:r w:rsidRPr="00D4576C">
        <w:rPr>
          <w:lang w:val="en-PH"/>
        </w:rPr>
        <w:t xml:space="preserve">, </w:t>
      </w:r>
      <w:proofErr w:type="spellStart"/>
      <w:r w:rsidRPr="00D4576C">
        <w:rPr>
          <w:lang w:val="en-PH"/>
        </w:rPr>
        <w:t>tblATMTerminals</w:t>
      </w:r>
      <w:proofErr w:type="spellEnd"/>
      <w:r w:rsidRPr="00D4576C">
        <w:rPr>
          <w:lang w:val="en-PH"/>
        </w:rPr>
        <w:t xml:space="preserve">, </w:t>
      </w:r>
      <w:proofErr w:type="spellStart"/>
      <w:r w:rsidRPr="00D4576C">
        <w:rPr>
          <w:lang w:val="en-PH"/>
        </w:rPr>
        <w:t>tblCassetteInventory</w:t>
      </w:r>
      <w:proofErr w:type="spellEnd"/>
      <w:r w:rsidRPr="00D4576C">
        <w:rPr>
          <w:lang w:val="en-PH"/>
        </w:rPr>
        <w:t xml:space="preserve">, and </w:t>
      </w:r>
      <w:proofErr w:type="spellStart"/>
      <w:r w:rsidRPr="00D4576C">
        <w:rPr>
          <w:lang w:val="en-PH"/>
        </w:rPr>
        <w:t>tblMaintenanceRecords</w:t>
      </w:r>
      <w:proofErr w:type="spellEnd"/>
      <w:r w:rsidRPr="00D4576C">
        <w:rPr>
          <w:lang w:val="en-PH"/>
        </w:rPr>
        <w:t>.</w:t>
      </w:r>
    </w:p>
    <w:p w14:paraId="4742E202" w14:textId="77777777" w:rsidR="00D4576C" w:rsidRPr="00D4576C" w:rsidRDefault="00D4576C" w:rsidP="00D4576C">
      <w:pPr>
        <w:rPr>
          <w:lang w:val="en-PH"/>
        </w:rPr>
      </w:pPr>
      <w:r w:rsidRPr="00D4576C">
        <w:rPr>
          <w:lang w:val="en-PH"/>
        </w:rPr>
        <w:t>The relationships use primary keys and foreign keys to maintain data integrity. A customer may have multiple biometric profiles and accounts, while an account may have multiple ATM transactions. ATM terminals are connected to transactions, cassette inventory, and maintenance records. Separating biometric types, transaction types, cassette inventory, and maintenance records into their own tables reduces unnecessary duplication and allows the system to maintain organized historical records. The structure follows basic normalization principles by keeping attributes atomic and separating information with different purposes.</w:t>
      </w:r>
    </w:p>
    <w:p w14:paraId="6BE53B65" w14:textId="509C8DD0" w:rsidR="00D4576C" w:rsidRPr="00D4576C" w:rsidRDefault="00D4576C" w:rsidP="00D4576C">
      <w:pPr>
        <w:rPr>
          <w:b/>
          <w:bCs/>
          <w:lang w:val="en-PH"/>
        </w:rPr>
      </w:pPr>
      <w:r w:rsidRPr="00D4576C">
        <w:rPr>
          <w:b/>
          <w:bCs/>
          <w:lang w:val="en-PH"/>
        </w:rPr>
        <w:t xml:space="preserve">HCI and Usability </w:t>
      </w:r>
    </w:p>
    <w:p w14:paraId="15B3C158" w14:textId="16BEB15E" w:rsidR="00D4576C" w:rsidRPr="00D4576C" w:rsidRDefault="00D4576C" w:rsidP="00D4576C">
      <w:pPr>
        <w:rPr>
          <w:lang w:val="en-PH"/>
        </w:rPr>
      </w:pPr>
      <w:r w:rsidRPr="00D4576C">
        <w:rPr>
          <w:lang w:val="en-PH"/>
        </w:rPr>
        <w:t xml:space="preserve">The HCI prototype was designed around the proposed ATM features and basic usability principles. Screen A provides the idle/touchless approach interface, accessibility cues, raised tactile buttons, and smart privacy activation. Screen B presents facial liveness authentication, </w:t>
      </w:r>
      <w:r w:rsidRPr="00D4576C">
        <w:rPr>
          <w:lang w:val="en-PH"/>
        </w:rPr>
        <w:lastRenderedPageBreak/>
        <w:t>secure proximity credential detection, and the 1 m detection-zone indicator. Screen C provides the predictive 1-tap personalized dashboard, AI personal assistant, recent transactions, and frequently used transaction options. Screen D presents the real-time cash dispensing result and electronic receipt confirmation.</w:t>
      </w:r>
      <w:r>
        <w:rPr>
          <w:lang w:val="en-PH"/>
        </w:rPr>
        <w:t xml:space="preserve"> </w:t>
      </w:r>
      <w:r w:rsidRPr="00D4576C">
        <w:rPr>
          <w:lang w:val="en-PH"/>
        </w:rPr>
        <w:t>The design applies Fitts's Law by making important controls accessible and easy to target. It also applies Visibility of System Status by providing clear feedback during authentication and transactions, and Recognition Rather Than Recall by presenting visible transaction options and recent activity instead of requiring users to remember previous actions. The low-fidelity prototype allows the interface and interaction flow to be evaluated before full implementation.</w:t>
      </w:r>
    </w:p>
    <w:p w14:paraId="2C0D0850" w14:textId="5B87F3D1" w:rsidR="00D4576C" w:rsidRDefault="00D4576C" w:rsidP="00D4576C">
      <w:pPr>
        <w:rPr>
          <w:lang w:val="en-PH"/>
        </w:rPr>
      </w:pPr>
      <w:r w:rsidRPr="00D4576C">
        <w:rPr>
          <w:lang w:val="en-PH"/>
        </w:rPr>
        <w:t>Overall, the proposed design combines improved authentication, personalized interaction, privacy, accessibility, transaction efficiency, and predictive ATM monitoring into a structured system that addresses the identified limitations of traditional ATM services.</w:t>
      </w:r>
      <w:r w:rsidR="00992ED7">
        <w:rPr>
          <w:lang w:val="en-PH"/>
        </w:rPr>
        <w:br/>
      </w:r>
    </w:p>
    <w:p w14:paraId="46F0DD3D" w14:textId="324D9331" w:rsidR="00992ED7" w:rsidRPr="00992ED7" w:rsidRDefault="00992ED7" w:rsidP="00992ED7">
      <w:pPr>
        <w:jc w:val="right"/>
        <w:rPr>
          <w:lang w:val="en-PH"/>
        </w:rPr>
      </w:pPr>
      <w:r w:rsidRPr="00992ED7">
        <w:rPr>
          <w:lang w:val="en-PH"/>
        </w:rPr>
        <w:t>Members</w:t>
      </w:r>
      <w:r>
        <w:rPr>
          <w:lang w:val="en-PH"/>
        </w:rPr>
        <w:t xml:space="preserve"> </w:t>
      </w:r>
      <w:r w:rsidRPr="00992ED7">
        <w:rPr>
          <w:lang w:val="en-PH"/>
        </w:rPr>
        <w:t>group:</w:t>
      </w:r>
    </w:p>
    <w:p w14:paraId="3A675FAB" w14:textId="45D3704C" w:rsidR="00992ED7" w:rsidRPr="00992ED7" w:rsidRDefault="00992ED7" w:rsidP="00992ED7">
      <w:pPr>
        <w:jc w:val="right"/>
        <w:rPr>
          <w:lang w:val="en-PH"/>
        </w:rPr>
      </w:pPr>
      <w:r w:rsidRPr="00992ED7">
        <w:rPr>
          <w:lang w:val="en-PH"/>
        </w:rPr>
        <w:t>Beatrice Zundra Rivera</w:t>
      </w:r>
      <w:r>
        <w:rPr>
          <w:lang w:val="en-PH"/>
        </w:rPr>
        <w:br/>
        <w:t>Emmanuel Noel C. Sanguyo</w:t>
      </w:r>
      <w:r>
        <w:rPr>
          <w:lang w:val="en-PH"/>
        </w:rPr>
        <w:br/>
        <w:t>John Lloyd Sagadraca</w:t>
      </w:r>
      <w:r>
        <w:rPr>
          <w:lang w:val="en-PH"/>
        </w:rPr>
        <w:br/>
      </w:r>
    </w:p>
    <w:p w14:paraId="1E02739A" w14:textId="77777777" w:rsidR="00992ED7" w:rsidRPr="00D4576C" w:rsidRDefault="00992ED7" w:rsidP="00D4576C">
      <w:pPr>
        <w:rPr>
          <w:lang w:val="en-PH"/>
        </w:rPr>
      </w:pPr>
    </w:p>
    <w:p w14:paraId="5BAEAA97" w14:textId="77777777" w:rsidR="00D4576C" w:rsidRPr="00D4576C" w:rsidRDefault="00D4576C" w:rsidP="00D4576C">
      <w:pPr>
        <w:rPr>
          <w:lang w:val="en-PH"/>
        </w:rPr>
      </w:pPr>
    </w:p>
    <w:sectPr w:rsidR="00D4576C" w:rsidRPr="00D4576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8CB316" w14:textId="77777777" w:rsidR="00190336" w:rsidRDefault="00190336" w:rsidP="007568BF">
      <w:pPr>
        <w:spacing w:after="0" w:line="240" w:lineRule="auto"/>
      </w:pPr>
      <w:r>
        <w:separator/>
      </w:r>
    </w:p>
  </w:endnote>
  <w:endnote w:type="continuationSeparator" w:id="0">
    <w:p w14:paraId="386393CE" w14:textId="77777777" w:rsidR="00190336" w:rsidRDefault="00190336" w:rsidP="007568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3E75F8" w14:textId="77777777" w:rsidR="00190336" w:rsidRDefault="00190336" w:rsidP="007568BF">
      <w:pPr>
        <w:spacing w:after="0" w:line="240" w:lineRule="auto"/>
      </w:pPr>
      <w:r>
        <w:separator/>
      </w:r>
    </w:p>
  </w:footnote>
  <w:footnote w:type="continuationSeparator" w:id="0">
    <w:p w14:paraId="2FA215AB" w14:textId="77777777" w:rsidR="00190336" w:rsidRDefault="00190336" w:rsidP="007568B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61875"/>
    <w:multiLevelType w:val="multilevel"/>
    <w:tmpl w:val="0DCEEC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067145"/>
    <w:multiLevelType w:val="multilevel"/>
    <w:tmpl w:val="467EB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3944676"/>
    <w:multiLevelType w:val="multilevel"/>
    <w:tmpl w:val="C9764F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3E32861"/>
    <w:multiLevelType w:val="multilevel"/>
    <w:tmpl w:val="A76681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7F1793F"/>
    <w:multiLevelType w:val="multilevel"/>
    <w:tmpl w:val="61AC7F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38345C6"/>
    <w:multiLevelType w:val="multilevel"/>
    <w:tmpl w:val="147E82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72031046">
    <w:abstractNumId w:val="1"/>
  </w:num>
  <w:num w:numId="2" w16cid:durableId="523447914">
    <w:abstractNumId w:val="5"/>
  </w:num>
  <w:num w:numId="3" w16cid:durableId="600993931">
    <w:abstractNumId w:val="4"/>
  </w:num>
  <w:num w:numId="4" w16cid:durableId="1476752378">
    <w:abstractNumId w:val="2"/>
  </w:num>
  <w:num w:numId="5" w16cid:durableId="1878852822">
    <w:abstractNumId w:val="0"/>
  </w:num>
  <w:num w:numId="6" w16cid:durableId="111440098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553A"/>
    <w:rsid w:val="00045C45"/>
    <w:rsid w:val="000D0A95"/>
    <w:rsid w:val="00190336"/>
    <w:rsid w:val="00384EA3"/>
    <w:rsid w:val="004F7F8C"/>
    <w:rsid w:val="007568BF"/>
    <w:rsid w:val="00781944"/>
    <w:rsid w:val="00992ED7"/>
    <w:rsid w:val="00A00258"/>
    <w:rsid w:val="00AA1A1A"/>
    <w:rsid w:val="00BC747D"/>
    <w:rsid w:val="00D4576C"/>
    <w:rsid w:val="00D5395A"/>
    <w:rsid w:val="00F40FB4"/>
    <w:rsid w:val="00F555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BA90F6"/>
  <w15:chartTrackingRefBased/>
  <w15:docId w15:val="{A9DDBA50-0D01-417C-8B95-1D1CDB2FB3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553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5553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5553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5553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5553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555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55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55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55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553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5553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5553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5553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5553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555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55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55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553A"/>
    <w:rPr>
      <w:rFonts w:eastAsiaTheme="majorEastAsia" w:cstheme="majorBidi"/>
      <w:color w:val="272727" w:themeColor="text1" w:themeTint="D8"/>
    </w:rPr>
  </w:style>
  <w:style w:type="paragraph" w:styleId="Title">
    <w:name w:val="Title"/>
    <w:basedOn w:val="Normal"/>
    <w:next w:val="Normal"/>
    <w:link w:val="TitleChar"/>
    <w:uiPriority w:val="10"/>
    <w:qFormat/>
    <w:rsid w:val="00F555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55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55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55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553A"/>
    <w:pPr>
      <w:spacing w:before="160"/>
      <w:jc w:val="center"/>
    </w:pPr>
    <w:rPr>
      <w:i/>
      <w:iCs/>
      <w:color w:val="404040" w:themeColor="text1" w:themeTint="BF"/>
    </w:rPr>
  </w:style>
  <w:style w:type="character" w:customStyle="1" w:styleId="QuoteChar">
    <w:name w:val="Quote Char"/>
    <w:basedOn w:val="DefaultParagraphFont"/>
    <w:link w:val="Quote"/>
    <w:uiPriority w:val="29"/>
    <w:rsid w:val="00F5553A"/>
    <w:rPr>
      <w:i/>
      <w:iCs/>
      <w:color w:val="404040" w:themeColor="text1" w:themeTint="BF"/>
    </w:rPr>
  </w:style>
  <w:style w:type="paragraph" w:styleId="ListParagraph">
    <w:name w:val="List Paragraph"/>
    <w:basedOn w:val="Normal"/>
    <w:uiPriority w:val="34"/>
    <w:qFormat/>
    <w:rsid w:val="00F5553A"/>
    <w:pPr>
      <w:ind w:left="720"/>
      <w:contextualSpacing/>
    </w:pPr>
  </w:style>
  <w:style w:type="character" w:styleId="IntenseEmphasis">
    <w:name w:val="Intense Emphasis"/>
    <w:basedOn w:val="DefaultParagraphFont"/>
    <w:uiPriority w:val="21"/>
    <w:qFormat/>
    <w:rsid w:val="00F5553A"/>
    <w:rPr>
      <w:i/>
      <w:iCs/>
      <w:color w:val="2F5496" w:themeColor="accent1" w:themeShade="BF"/>
    </w:rPr>
  </w:style>
  <w:style w:type="paragraph" w:styleId="IntenseQuote">
    <w:name w:val="Intense Quote"/>
    <w:basedOn w:val="Normal"/>
    <w:next w:val="Normal"/>
    <w:link w:val="IntenseQuoteChar"/>
    <w:uiPriority w:val="30"/>
    <w:qFormat/>
    <w:rsid w:val="00F5553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5553A"/>
    <w:rPr>
      <w:i/>
      <w:iCs/>
      <w:color w:val="2F5496" w:themeColor="accent1" w:themeShade="BF"/>
    </w:rPr>
  </w:style>
  <w:style w:type="character" w:styleId="IntenseReference">
    <w:name w:val="Intense Reference"/>
    <w:basedOn w:val="DefaultParagraphFont"/>
    <w:uiPriority w:val="32"/>
    <w:qFormat/>
    <w:rsid w:val="00F5553A"/>
    <w:rPr>
      <w:b/>
      <w:bCs/>
      <w:smallCaps/>
      <w:color w:val="2F5496" w:themeColor="accent1" w:themeShade="BF"/>
      <w:spacing w:val="5"/>
    </w:rPr>
  </w:style>
  <w:style w:type="paragraph" w:styleId="Header">
    <w:name w:val="header"/>
    <w:basedOn w:val="Normal"/>
    <w:link w:val="HeaderChar"/>
    <w:uiPriority w:val="99"/>
    <w:unhideWhenUsed/>
    <w:rsid w:val="00756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7568BF"/>
  </w:style>
  <w:style w:type="paragraph" w:styleId="Footer">
    <w:name w:val="footer"/>
    <w:basedOn w:val="Normal"/>
    <w:link w:val="FooterChar"/>
    <w:uiPriority w:val="99"/>
    <w:unhideWhenUsed/>
    <w:rsid w:val="00756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7568B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2</Pages>
  <Words>532</Words>
  <Characters>3038</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Jhensen Foronda</dc:creator>
  <cp:keywords/>
  <dc:description/>
  <cp:lastModifiedBy>Emmanuel Noel C. Sanguyo</cp:lastModifiedBy>
  <cp:revision>7</cp:revision>
  <dcterms:created xsi:type="dcterms:W3CDTF">2026-09-25T04:07:00Z</dcterms:created>
  <dcterms:modified xsi:type="dcterms:W3CDTF">2026-09-28T11:30:00Z</dcterms:modified>
</cp:coreProperties>
</file>