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3ED9D" w14:textId="1FD2C068" w:rsidR="00C46499" w:rsidRPr="003B0FB0" w:rsidRDefault="00C46499" w:rsidP="00C46499">
      <w:r w:rsidRPr="003B0FB0">
        <w:t xml:space="preserve">The United States federal government has made several major interventions in public health and healthcare financing over the past century, but </w:t>
      </w:r>
      <w:r w:rsidR="00557FEF" w:rsidRPr="00557FEF">
        <w:t>these developments emerged in response to major historical challenges rather than through a continuous, coordinated reform process</w:t>
      </w:r>
      <w:r w:rsidRPr="003B0FB0">
        <w:t>.</w:t>
      </w:r>
    </w:p>
    <w:p w14:paraId="70AF94B2" w14:textId="77777777" w:rsidR="00C46499" w:rsidRPr="003B0FB0" w:rsidRDefault="00C46499" w:rsidP="00C46499">
      <w:r w:rsidRPr="003B0FB0">
        <w:t>Early public health reforms in the early 1900s, such as the Pure Food and Drug Act of 1906, addressed widespread issues of food and water contamination. These efforts, along with advances in sanitation, pasteurization, and refrigeration, contributed to significant reductions in infectious disease mortality and improved overall life expectancy.</w:t>
      </w:r>
      <w:r>
        <w:t xml:space="preserve"> [1,2]</w:t>
      </w:r>
    </w:p>
    <w:p w14:paraId="1AE869D3" w14:textId="77777777" w:rsidR="00C46499" w:rsidRPr="003B0FB0" w:rsidRDefault="00C46499" w:rsidP="00C46499">
      <w:r w:rsidRPr="003B0FB0">
        <w:t>The 1918 influenza pandemic revealed ongoing vulnerabilities in public health systems, causing an estimated tens of millions of deaths worldwide and highlighting the limits of existing medical infrastructure and coordinated federal response capacity at the time.</w:t>
      </w:r>
      <w:r>
        <w:t xml:space="preserve"> [1,2,3]</w:t>
      </w:r>
    </w:p>
    <w:p w14:paraId="6130928D" w14:textId="368BE387" w:rsidR="00C46499" w:rsidRPr="003B0FB0" w:rsidRDefault="00C46499" w:rsidP="00C46499">
      <w:r w:rsidRPr="003B0FB0">
        <w:t>During the Great Depression, economic hardship significantly reduced access to care and accelerated federal involvement in social welfare policy. The Social Security Act of 1935 established a foundation for federal social insurance programs, although it did not initially include direct healthcare coverage. Instead, it created a framework for later expansions in social protection.</w:t>
      </w:r>
      <w:r w:rsidR="00374A07">
        <w:t xml:space="preserve"> </w:t>
      </w:r>
      <w:r>
        <w:t>[4]</w:t>
      </w:r>
    </w:p>
    <w:p w14:paraId="70362C62" w14:textId="1E0C056C" w:rsidR="009C63EB" w:rsidRDefault="00E578DF">
      <w:r w:rsidRPr="00E578DF">
        <w:t>President Lyndon B. Johnson signed Medicare and Medicaid into law in 1965, building on policy initiatives developed during the Kennedy administration and ultimately enacted with broad public support despite opposition from the American Medical Association (AMA) and private insurers.</w:t>
      </w:r>
      <w:r w:rsidRPr="00E578DF">
        <w:t xml:space="preserve"> </w:t>
      </w:r>
      <w:proofErr w:type="gramStart"/>
      <w:r w:rsidR="00374A07">
        <w:t>[</w:t>
      </w:r>
      <w:proofErr w:type="gramEnd"/>
      <w:r w:rsidR="00A56DD4">
        <w:t>4,5</w:t>
      </w:r>
      <w:r w:rsidR="00845C48">
        <w:t>]</w:t>
      </w:r>
    </w:p>
    <w:p w14:paraId="6245A348" w14:textId="77777777" w:rsidR="00844311" w:rsidRPr="003B0FB0" w:rsidRDefault="00844311" w:rsidP="00844311">
      <w:r w:rsidRPr="003B0FB0">
        <w:t>Later reforms addressed administrative and insurance market issues. The Health Insurance Portability and Accountability Act of 1996 improved insurance portability and established national privacy standards for health information.</w:t>
      </w:r>
    </w:p>
    <w:p w14:paraId="014C4E60" w14:textId="3835A384" w:rsidR="00C80693" w:rsidRDefault="00EC429C">
      <w:r>
        <w:t xml:space="preserve">Then in Affordable Care Act </w:t>
      </w:r>
      <w:r w:rsidR="003E7471">
        <w:t xml:space="preserve">(ACA) </w:t>
      </w:r>
      <w:r>
        <w:t xml:space="preserve">was </w:t>
      </w:r>
      <w:r w:rsidR="005B785A">
        <w:t>established in 201</w:t>
      </w:r>
      <w:r w:rsidR="00844311">
        <w:t>0</w:t>
      </w:r>
      <w:r w:rsidR="005B785A">
        <w:t xml:space="preserve">. </w:t>
      </w:r>
      <w:r w:rsidR="00844311" w:rsidRPr="00844311">
        <w:t>The ACA prohibits denial of coverage based on pre-existing conditions and expands access through regulated insurance marketplaces, though premiums may still vary based on limited factors such as age and geography</w:t>
      </w:r>
      <w:r w:rsidR="00844311">
        <w:t xml:space="preserve">. </w:t>
      </w:r>
      <w:r w:rsidR="0004530F" w:rsidRPr="0004530F">
        <w:t>It regulated premium rating by limiting allowable factors and enforcing community rating requirements</w:t>
      </w:r>
      <w:r w:rsidR="003F3EF5" w:rsidRPr="003F3EF5">
        <w:t>, rather than directly controlling prices</w:t>
      </w:r>
      <w:r w:rsidR="003E7471">
        <w:t>.</w:t>
      </w:r>
      <w:r w:rsidR="00315DC0" w:rsidRPr="00315DC0">
        <w:t xml:space="preserve"> </w:t>
      </w:r>
      <w:r w:rsidR="0004530F" w:rsidRPr="0004530F">
        <w:t>These changes were associated with improved coverage access, particularly among low-income populations, although effects varied by state due to differences in Medicaid expansion decisions</w:t>
      </w:r>
      <w:r w:rsidR="00315DC0" w:rsidRPr="00F90CAA">
        <w:t xml:space="preserve">. </w:t>
      </w:r>
      <w:r w:rsidR="003E7471">
        <w:t>[7,8]</w:t>
      </w:r>
      <w:r w:rsidR="00315DC0">
        <w:br/>
      </w:r>
      <w:r>
        <w:br/>
      </w:r>
      <w:r w:rsidR="00374A07" w:rsidRPr="00374A07">
        <w:t xml:space="preserve">Following ACA </w:t>
      </w:r>
      <w:r w:rsidR="00374A07">
        <w:t>enactment</w:t>
      </w:r>
      <w:r w:rsidR="00374A07" w:rsidRPr="00374A07">
        <w:t>, large insurers such as UnitedHealth Group expanded through vertical integration, including growth in physician services, pharmacy benefit management, payment systems, and healthcare analytics through Optum Health.</w:t>
      </w:r>
      <w:r w:rsidR="00374A07">
        <w:t xml:space="preserve"> [</w:t>
      </w:r>
      <w:r w:rsidR="003E7471">
        <w:t xml:space="preserve">9] </w:t>
      </w:r>
    </w:p>
    <w:p w14:paraId="23FE0446" w14:textId="2E786AF8" w:rsidR="00FD4C06" w:rsidRDefault="00FC0C08">
      <w:r>
        <w:t>The</w:t>
      </w:r>
      <w:r w:rsidR="00844311" w:rsidRPr="003B0FB0">
        <w:t xml:space="preserve"> U.S. healthcare system continues to face challenges, including fragmented financing across public and private payers, variation in state-level implementation, and persistent cost growth driven by payment incentives, provider consolidation, and administrative complexity. These issues reflect broader structural features of the system rather than the effects of any single policy, making comprehensive reform difficult to implement consistently across the country.</w:t>
      </w:r>
      <w:r w:rsidR="00844311">
        <w:t xml:space="preserve"> </w:t>
      </w:r>
      <w:r w:rsidR="00FD4C06">
        <w:t>[</w:t>
      </w:r>
      <w:r w:rsidR="00C80693">
        <w:t>4,</w:t>
      </w:r>
      <w:r w:rsidR="00A56DD4">
        <w:t>7]</w:t>
      </w:r>
    </w:p>
    <w:p w14:paraId="5910CF3E" w14:textId="6D849887" w:rsidR="002B0E3E" w:rsidRDefault="00844311">
      <w:r>
        <w:t>As the</w:t>
      </w:r>
      <w:r w:rsidR="00315DC0">
        <w:t xml:space="preserve"> United States healthcare continues to </w:t>
      </w:r>
      <w:r w:rsidR="00F577C1">
        <w:t>face challenges</w:t>
      </w:r>
      <w:r w:rsidR="00315DC0">
        <w:t xml:space="preserve"> due to fragmented enforcement of policies between states and fee-for-service incentives</w:t>
      </w:r>
      <w:r w:rsidR="00F577C1">
        <w:t xml:space="preserve"> structure</w:t>
      </w:r>
      <w:r w:rsidR="002B0E3E">
        <w:t xml:space="preserve">. Additionally, many </w:t>
      </w:r>
      <w:r w:rsidR="00BC0BE3">
        <w:t>American</w:t>
      </w:r>
      <w:r w:rsidR="00481C98">
        <w:t>s</w:t>
      </w:r>
      <w:r w:rsidR="00BC0BE3">
        <w:t xml:space="preserve"> </w:t>
      </w:r>
      <w:r w:rsidR="002B0E3E">
        <w:lastRenderedPageBreak/>
        <w:t xml:space="preserve">participate in employer </w:t>
      </w:r>
      <w:r w:rsidR="00481C98">
        <w:t xml:space="preserve">sponsored </w:t>
      </w:r>
      <w:r w:rsidR="002B0E3E">
        <w:t xml:space="preserve">insurances </w:t>
      </w:r>
      <w:r w:rsidR="00BC0BE3">
        <w:t xml:space="preserve">owned by private insurers </w:t>
      </w:r>
      <w:r w:rsidR="002B0E3E">
        <w:t>and ACA subsid</w:t>
      </w:r>
      <w:r w:rsidR="00481C98">
        <w:t>i</w:t>
      </w:r>
      <w:r w:rsidR="002B0E3E">
        <w:t>es phase out at higher incomes</w:t>
      </w:r>
      <w:r w:rsidR="00BC0BE3">
        <w:t>.</w:t>
      </w:r>
    </w:p>
    <w:p w14:paraId="4DAFA7E9" w14:textId="61B9C72E" w:rsidR="00845C48" w:rsidRDefault="00F70845">
      <w:r w:rsidRPr="00F70845">
        <w:t xml:space="preserve">Addressing these structural challenges likely requires reforms that reduce payer fragmentation and standardize reimbursement methodologies across public and private insurers. Greater standardization could reduce administrative overhead associated with billing complexity and improve transparency in provider payment systems.  </w:t>
      </w:r>
      <w:r>
        <w:t>A</w:t>
      </w:r>
      <w:r w:rsidRPr="00F70845">
        <w:t>ligning reimbursement incentives toward preventive care and early intervention may improve population health outcomes while reducing long-term system costs.</w:t>
      </w:r>
      <w:r>
        <w:t xml:space="preserve"> </w:t>
      </w:r>
    </w:p>
    <w:p w14:paraId="7FAED98F" w14:textId="0FA146EA" w:rsidR="00F70845" w:rsidRDefault="00383820">
      <w:r w:rsidRPr="00383820">
        <w:t xml:space="preserve">Health information systems can automate reimbursement workflows through standardized claims processing, reducing administrative burden and accelerating claims settlement. This </w:t>
      </w:r>
      <w:r>
        <w:t>can</w:t>
      </w:r>
      <w:r w:rsidRPr="00383820">
        <w:t xml:space="preserve"> improve access to care and support greater equity in the U.S. healthcare system</w:t>
      </w:r>
      <w:r w:rsidR="00F70845" w:rsidRPr="00F70845">
        <w:t>.</w:t>
      </w:r>
    </w:p>
    <w:p w14:paraId="72621591" w14:textId="77777777" w:rsidR="00F70845" w:rsidRDefault="00F70845"/>
    <w:p w14:paraId="0C1D8D55" w14:textId="6A3D6E5D" w:rsidR="00845C48" w:rsidRDefault="00481C98" w:rsidP="00F70845">
      <w:pPr>
        <w:pStyle w:val="Heading2"/>
      </w:pPr>
      <w:r>
        <w:t>References</w:t>
      </w:r>
    </w:p>
    <w:p w14:paraId="26F379AC" w14:textId="77777777" w:rsidR="00A87C24" w:rsidRDefault="00A87C24"/>
    <w:p w14:paraId="56C23B88" w14:textId="2F26E897" w:rsidR="00012DEF" w:rsidRPr="00012DEF" w:rsidRDefault="00012DEF" w:rsidP="00012DEF">
      <w:pPr>
        <w:pStyle w:val="ListParagraph"/>
        <w:numPr>
          <w:ilvl w:val="0"/>
          <w:numId w:val="2"/>
        </w:numPr>
      </w:pPr>
      <w:r w:rsidRPr="00012DEF">
        <w:t xml:space="preserve">Centers for Disease Control and Prevention (CDC). Update: Foodborne disease outbreaks—United States, 1993–1997. </w:t>
      </w:r>
      <w:r w:rsidRPr="00012DEF">
        <w:rPr>
          <w:i/>
          <w:iCs/>
        </w:rPr>
        <w:t xml:space="preserve">MMWR </w:t>
      </w:r>
      <w:proofErr w:type="spellStart"/>
      <w:r w:rsidRPr="00012DEF">
        <w:rPr>
          <w:i/>
          <w:iCs/>
        </w:rPr>
        <w:t>Morb</w:t>
      </w:r>
      <w:proofErr w:type="spellEnd"/>
      <w:r w:rsidRPr="00012DEF">
        <w:rPr>
          <w:i/>
          <w:iCs/>
        </w:rPr>
        <w:t xml:space="preserve"> Mortal </w:t>
      </w:r>
      <w:proofErr w:type="spellStart"/>
      <w:r w:rsidRPr="00012DEF">
        <w:rPr>
          <w:i/>
          <w:iCs/>
        </w:rPr>
        <w:t>Wkly</w:t>
      </w:r>
      <w:proofErr w:type="spellEnd"/>
      <w:r w:rsidRPr="00012DEF">
        <w:rPr>
          <w:i/>
          <w:iCs/>
        </w:rPr>
        <w:t xml:space="preserve"> Rep.</w:t>
      </w:r>
      <w:r w:rsidRPr="00012DEF">
        <w:t xml:space="preserve"> 1999;48(40). Published October 15, 1999. Available from: </w:t>
      </w:r>
      <w:hyperlink r:id="rId5" w:tgtFrame="_new" w:history="1">
        <w:r w:rsidRPr="00012DEF">
          <w:rPr>
            <w:rStyle w:val="Hyperlink"/>
          </w:rPr>
          <w:t>https://www.cdc.gov/mmwr/preview/mmwrhtml/mm4840a1.htm</w:t>
        </w:r>
      </w:hyperlink>
      <w:r w:rsidRPr="00012DEF">
        <w:t xml:space="preserve"> </w:t>
      </w:r>
    </w:p>
    <w:p w14:paraId="7472BAA7" w14:textId="4A6356F3" w:rsidR="00012DEF" w:rsidRPr="00012DEF" w:rsidRDefault="00012DEF" w:rsidP="00012DEF">
      <w:pPr>
        <w:pStyle w:val="ListParagraph"/>
        <w:numPr>
          <w:ilvl w:val="0"/>
          <w:numId w:val="2"/>
        </w:numPr>
      </w:pPr>
      <w:r w:rsidRPr="00012DEF">
        <w:t xml:space="preserve">Centers for Disease Control and Prevention (CDC). Outbreaks of foodborne illness—United States, 1998–1999. </w:t>
      </w:r>
      <w:r w:rsidRPr="00012DEF">
        <w:rPr>
          <w:i/>
          <w:iCs/>
        </w:rPr>
        <w:t xml:space="preserve">MMWR </w:t>
      </w:r>
      <w:proofErr w:type="spellStart"/>
      <w:r w:rsidRPr="00012DEF">
        <w:rPr>
          <w:i/>
          <w:iCs/>
        </w:rPr>
        <w:t>Morb</w:t>
      </w:r>
      <w:proofErr w:type="spellEnd"/>
      <w:r w:rsidRPr="00012DEF">
        <w:rPr>
          <w:i/>
          <w:iCs/>
        </w:rPr>
        <w:t xml:space="preserve"> Mortal </w:t>
      </w:r>
      <w:proofErr w:type="spellStart"/>
      <w:r w:rsidRPr="00012DEF">
        <w:rPr>
          <w:i/>
          <w:iCs/>
        </w:rPr>
        <w:t>Wkly</w:t>
      </w:r>
      <w:proofErr w:type="spellEnd"/>
      <w:r w:rsidRPr="00012DEF">
        <w:rPr>
          <w:i/>
          <w:iCs/>
        </w:rPr>
        <w:t xml:space="preserve"> Rep.</w:t>
      </w:r>
      <w:r w:rsidRPr="00012DEF">
        <w:t xml:space="preserve"> 1999;48(29). Available from: </w:t>
      </w:r>
      <w:hyperlink r:id="rId6" w:tgtFrame="_new" w:history="1">
        <w:r w:rsidRPr="00012DEF">
          <w:rPr>
            <w:rStyle w:val="Hyperlink"/>
          </w:rPr>
          <w:t>https://www.cdc.gov/mmwr/preview/mmwrhtml/mm4829a1.htm</w:t>
        </w:r>
      </w:hyperlink>
      <w:r w:rsidRPr="00012DEF">
        <w:t xml:space="preserve"> </w:t>
      </w:r>
    </w:p>
    <w:p w14:paraId="706F883C" w14:textId="54CE7F5C" w:rsidR="00012DEF" w:rsidRPr="00012DEF" w:rsidRDefault="00012DEF" w:rsidP="00012DEF">
      <w:pPr>
        <w:pStyle w:val="ListParagraph"/>
        <w:numPr>
          <w:ilvl w:val="0"/>
          <w:numId w:val="2"/>
        </w:numPr>
      </w:pPr>
      <w:proofErr w:type="spellStart"/>
      <w:r w:rsidRPr="00012DEF">
        <w:t>Encyclopaedia</w:t>
      </w:r>
      <w:proofErr w:type="spellEnd"/>
      <w:r w:rsidRPr="00012DEF">
        <w:t xml:space="preserve"> Britannica. Causes of the Great Depression. Available from: </w:t>
      </w:r>
      <w:hyperlink r:id="rId7" w:tgtFrame="_new" w:history="1">
        <w:r w:rsidRPr="00012DEF">
          <w:rPr>
            <w:rStyle w:val="Hyperlink"/>
          </w:rPr>
          <w:t>https://www.britannica.com/story/causes-of-the-great-depression</w:t>
        </w:r>
      </w:hyperlink>
      <w:r w:rsidRPr="00012DEF">
        <w:t xml:space="preserve"> </w:t>
      </w:r>
    </w:p>
    <w:p w14:paraId="01CA5179" w14:textId="02035023" w:rsidR="00012DEF" w:rsidRPr="00012DEF" w:rsidRDefault="00012DEF" w:rsidP="00012DEF">
      <w:pPr>
        <w:pStyle w:val="ListParagraph"/>
        <w:numPr>
          <w:ilvl w:val="0"/>
          <w:numId w:val="2"/>
        </w:numPr>
      </w:pPr>
      <w:r w:rsidRPr="00012DEF">
        <w:t xml:space="preserve">Smith K. A brief history of health policy in the United States. </w:t>
      </w:r>
      <w:r w:rsidRPr="00012DEF">
        <w:rPr>
          <w:i/>
          <w:iCs/>
        </w:rPr>
        <w:t>Delaware Journal of Public Health.</w:t>
      </w:r>
      <w:r w:rsidRPr="00012DEF">
        <w:t xml:space="preserve"> 2023;9(5):6-10. Available from: </w:t>
      </w:r>
      <w:hyperlink r:id="rId8" w:tgtFrame="_new" w:history="1">
        <w:r w:rsidRPr="00012DEF">
          <w:rPr>
            <w:rStyle w:val="Hyperlink"/>
          </w:rPr>
          <w:t>https://pmc.ncbi.nlm.nih.gov/articles/PMC10810293</w:t>
        </w:r>
      </w:hyperlink>
      <w:r w:rsidRPr="00012DEF">
        <w:t xml:space="preserve"> </w:t>
      </w:r>
    </w:p>
    <w:p w14:paraId="1FA497F9" w14:textId="77777777" w:rsidR="00012DEF" w:rsidRDefault="00012DEF" w:rsidP="00012DEF">
      <w:pPr>
        <w:pStyle w:val="ListParagraph"/>
        <w:numPr>
          <w:ilvl w:val="0"/>
          <w:numId w:val="2"/>
        </w:numPr>
      </w:pPr>
      <w:proofErr w:type="spellStart"/>
      <w:r w:rsidRPr="00012DEF">
        <w:t>Manchikanti</w:t>
      </w:r>
      <w:proofErr w:type="spellEnd"/>
      <w:r w:rsidRPr="00012DEF">
        <w:t xml:space="preserve"> L, Boswell MV, Fellows B, et al. Comprehensive review of epidemiology, scope, and impact of spinal pain. </w:t>
      </w:r>
      <w:r w:rsidRPr="00012DEF">
        <w:rPr>
          <w:i/>
          <w:iCs/>
        </w:rPr>
        <w:t>Pain Physician.</w:t>
      </w:r>
      <w:r w:rsidRPr="00012DEF">
        <w:t xml:space="preserve"> 2009;12(4 Suppl</w:t>
      </w:r>
      <w:proofErr w:type="gramStart"/>
      <w:r w:rsidRPr="00012DEF">
        <w:t>):E</w:t>
      </w:r>
      <w:proofErr w:type="gramEnd"/>
      <w:r w:rsidRPr="00012DEF">
        <w:t xml:space="preserve">35–E70. Available from: </w:t>
      </w:r>
      <w:hyperlink r:id="rId9" w:tgtFrame="_new" w:history="1">
        <w:r w:rsidRPr="00012DEF">
          <w:rPr>
            <w:rStyle w:val="Hyperlink"/>
          </w:rPr>
          <w:t>https://www.painphysicianjournal.com/current/pdf/NDMwMQ%3D%3D/104</w:t>
        </w:r>
      </w:hyperlink>
      <w:r w:rsidRPr="00012DEF">
        <w:t xml:space="preserve"> </w:t>
      </w:r>
    </w:p>
    <w:p w14:paraId="3DB22CB5" w14:textId="3342AAF0" w:rsidR="00012DEF" w:rsidRPr="00012DEF" w:rsidRDefault="00012DEF" w:rsidP="00012DEF">
      <w:pPr>
        <w:pStyle w:val="ListParagraph"/>
        <w:numPr>
          <w:ilvl w:val="0"/>
          <w:numId w:val="2"/>
        </w:numPr>
      </w:pPr>
      <w:r w:rsidRPr="00012DEF">
        <w:t xml:space="preserve"> YouTube. Video: Medicare/health policy overview. Available from: </w:t>
      </w:r>
      <w:hyperlink r:id="rId10" w:tgtFrame="_new" w:history="1">
        <w:r w:rsidRPr="00012DEF">
          <w:rPr>
            <w:rStyle w:val="Hyperlink"/>
          </w:rPr>
          <w:t>https://www.youtube.com/watch?v=693XQSujAh8</w:t>
        </w:r>
      </w:hyperlink>
      <w:r w:rsidRPr="00012DEF">
        <w:t xml:space="preserve"> </w:t>
      </w:r>
    </w:p>
    <w:p w14:paraId="7769E2EF" w14:textId="63B3401E" w:rsidR="00012DEF" w:rsidRPr="00012DEF" w:rsidRDefault="00012DEF" w:rsidP="00012DEF">
      <w:pPr>
        <w:pStyle w:val="ListParagraph"/>
        <w:numPr>
          <w:ilvl w:val="0"/>
          <w:numId w:val="2"/>
        </w:numPr>
      </w:pPr>
      <w:r w:rsidRPr="00012DEF">
        <w:t xml:space="preserve">The Affordable Care Act and health policy implications. </w:t>
      </w:r>
      <w:r w:rsidRPr="00012DEF">
        <w:rPr>
          <w:i/>
          <w:iCs/>
        </w:rPr>
        <w:t>New England Journal of Medicine.</w:t>
      </w:r>
      <w:r w:rsidRPr="00012DEF">
        <w:t xml:space="preserve"> 2020. doi:10.1056/NEJMp2021701. Available from: </w:t>
      </w:r>
      <w:hyperlink r:id="rId11" w:tgtFrame="_new" w:history="1">
        <w:r w:rsidRPr="00012DEF">
          <w:rPr>
            <w:rStyle w:val="Hyperlink"/>
          </w:rPr>
          <w:t>https://www.nejm.org/doi/10.1056/NEJMp2021701</w:t>
        </w:r>
      </w:hyperlink>
      <w:r w:rsidRPr="00012DEF">
        <w:t xml:space="preserve"> </w:t>
      </w:r>
    </w:p>
    <w:p w14:paraId="3433DA18" w14:textId="08E4720F" w:rsidR="00012DEF" w:rsidRPr="00012DEF" w:rsidRDefault="00012DEF" w:rsidP="00012DEF">
      <w:pPr>
        <w:pStyle w:val="ListParagraph"/>
        <w:numPr>
          <w:ilvl w:val="0"/>
          <w:numId w:val="2"/>
        </w:numPr>
      </w:pPr>
      <w:r w:rsidRPr="00012DEF">
        <w:t xml:space="preserve">Decker SL, Kenney GM, Long SK. Characteristics of uninsured low-income adults in states expanding vs not expanding Medicaid. </w:t>
      </w:r>
      <w:r w:rsidRPr="00012DEF">
        <w:rPr>
          <w:i/>
          <w:iCs/>
        </w:rPr>
        <w:t>JAMA Internal Medicine.</w:t>
      </w:r>
      <w:r w:rsidRPr="00012DEF">
        <w:t xml:space="preserve"> 2014;174(6):988-989. doi:10.1001/jamainternmed.2014.518. Available from: </w:t>
      </w:r>
      <w:hyperlink r:id="rId12" w:tgtFrame="_new" w:history="1">
        <w:r w:rsidRPr="00012DEF">
          <w:rPr>
            <w:rStyle w:val="Hyperlink"/>
          </w:rPr>
          <w:t>https://pubmed.ncbi.nlm.nih.gov/25338761/</w:t>
        </w:r>
      </w:hyperlink>
      <w:r w:rsidRPr="00012DEF">
        <w:t xml:space="preserve"> </w:t>
      </w:r>
    </w:p>
    <w:p w14:paraId="44429A84" w14:textId="3EF85B0D" w:rsidR="00012DEF" w:rsidRPr="00012DEF" w:rsidRDefault="00012DEF" w:rsidP="00012DEF">
      <w:pPr>
        <w:pStyle w:val="ListParagraph"/>
        <w:numPr>
          <w:ilvl w:val="0"/>
          <w:numId w:val="2"/>
        </w:numPr>
      </w:pPr>
      <w:r w:rsidRPr="00012DEF">
        <w:t xml:space="preserve">YouTube. Video: UnitedHealth/Optum vertical integration discussion. Available from: </w:t>
      </w:r>
      <w:hyperlink r:id="rId13" w:tgtFrame="_new" w:history="1">
        <w:r w:rsidRPr="00012DEF">
          <w:rPr>
            <w:rStyle w:val="Hyperlink"/>
          </w:rPr>
          <w:t>https://www.youtube.com/watch?v=Buv_mijy82E</w:t>
        </w:r>
      </w:hyperlink>
      <w:r w:rsidRPr="00012DEF">
        <w:t xml:space="preserve"> </w:t>
      </w:r>
    </w:p>
    <w:p w14:paraId="0C50E923" w14:textId="58C9E500" w:rsidR="00F52C6D" w:rsidRDefault="00012DEF" w:rsidP="00012DEF">
      <w:pPr>
        <w:pStyle w:val="ListParagraph"/>
        <w:numPr>
          <w:ilvl w:val="0"/>
          <w:numId w:val="2"/>
        </w:numPr>
      </w:pPr>
      <w:r w:rsidRPr="00012DEF">
        <w:t xml:space="preserve">Soni A. The impact of the repeal of the federal individual insurance mandate on uninsurance. </w:t>
      </w:r>
      <w:r w:rsidRPr="00012DEF">
        <w:rPr>
          <w:i/>
          <w:iCs/>
        </w:rPr>
        <w:t>Health Economics Review.</w:t>
      </w:r>
      <w:r w:rsidRPr="00012DEF">
        <w:t xml:space="preserve"> 2022;12(1). doi:10.1007/s10754-022-09324-x. Available from: </w:t>
      </w:r>
      <w:hyperlink r:id="rId14" w:tgtFrame="_new" w:history="1">
        <w:r w:rsidRPr="00012DEF">
          <w:rPr>
            <w:rStyle w:val="Hyperlink"/>
          </w:rPr>
          <w:t>https://link.springer.com/article/10.1007/s10754-022-09324-x</w:t>
        </w:r>
      </w:hyperlink>
    </w:p>
    <w:sectPr w:rsidR="00F52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3B67"/>
    <w:multiLevelType w:val="hybridMultilevel"/>
    <w:tmpl w:val="48CC2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A056C87"/>
    <w:multiLevelType w:val="hybridMultilevel"/>
    <w:tmpl w:val="6838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7033">
    <w:abstractNumId w:val="1"/>
  </w:num>
  <w:num w:numId="2" w16cid:durableId="165880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7E"/>
    <w:rsid w:val="000052E6"/>
    <w:rsid w:val="00012DEF"/>
    <w:rsid w:val="0004530F"/>
    <w:rsid w:val="001528B5"/>
    <w:rsid w:val="00163305"/>
    <w:rsid w:val="001B09F3"/>
    <w:rsid w:val="002035C7"/>
    <w:rsid w:val="002B0E3E"/>
    <w:rsid w:val="00315DC0"/>
    <w:rsid w:val="00374A07"/>
    <w:rsid w:val="00383820"/>
    <w:rsid w:val="003D21FA"/>
    <w:rsid w:val="003E7471"/>
    <w:rsid w:val="003F3EF5"/>
    <w:rsid w:val="00481C98"/>
    <w:rsid w:val="0054736C"/>
    <w:rsid w:val="00557FEF"/>
    <w:rsid w:val="005B785A"/>
    <w:rsid w:val="006F2270"/>
    <w:rsid w:val="00742C46"/>
    <w:rsid w:val="007A2CD8"/>
    <w:rsid w:val="007B3501"/>
    <w:rsid w:val="00844311"/>
    <w:rsid w:val="00845C48"/>
    <w:rsid w:val="00935A32"/>
    <w:rsid w:val="009605D7"/>
    <w:rsid w:val="009C63EB"/>
    <w:rsid w:val="00A56DD4"/>
    <w:rsid w:val="00A87C24"/>
    <w:rsid w:val="00AA4E7E"/>
    <w:rsid w:val="00AA55F2"/>
    <w:rsid w:val="00BC0BE3"/>
    <w:rsid w:val="00BE26D9"/>
    <w:rsid w:val="00BF7CAB"/>
    <w:rsid w:val="00C46499"/>
    <w:rsid w:val="00C76DF9"/>
    <w:rsid w:val="00C80693"/>
    <w:rsid w:val="00D1787D"/>
    <w:rsid w:val="00D731FB"/>
    <w:rsid w:val="00E26008"/>
    <w:rsid w:val="00E30900"/>
    <w:rsid w:val="00E578DF"/>
    <w:rsid w:val="00E61C40"/>
    <w:rsid w:val="00EC429C"/>
    <w:rsid w:val="00EE19F8"/>
    <w:rsid w:val="00F52C6D"/>
    <w:rsid w:val="00F577C1"/>
    <w:rsid w:val="00F70845"/>
    <w:rsid w:val="00F90CAA"/>
    <w:rsid w:val="00FC0C08"/>
    <w:rsid w:val="00FD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3169"/>
  <w15:chartTrackingRefBased/>
  <w15:docId w15:val="{86105C86-B7AA-4B3E-BD0A-D24B749F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A4E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4E7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4E7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4E7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4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7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A4E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4E7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4E7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4E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4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7E"/>
    <w:rPr>
      <w:rFonts w:eastAsiaTheme="majorEastAsia" w:cstheme="majorBidi"/>
      <w:color w:val="272727" w:themeColor="text1" w:themeTint="D8"/>
    </w:rPr>
  </w:style>
  <w:style w:type="paragraph" w:styleId="Title">
    <w:name w:val="Title"/>
    <w:basedOn w:val="Normal"/>
    <w:next w:val="Normal"/>
    <w:link w:val="TitleChar"/>
    <w:uiPriority w:val="10"/>
    <w:qFormat/>
    <w:rsid w:val="00AA4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7E"/>
    <w:pPr>
      <w:spacing w:before="160"/>
      <w:jc w:val="center"/>
    </w:pPr>
    <w:rPr>
      <w:i/>
      <w:iCs/>
      <w:color w:val="404040" w:themeColor="text1" w:themeTint="BF"/>
    </w:rPr>
  </w:style>
  <w:style w:type="character" w:customStyle="1" w:styleId="QuoteChar">
    <w:name w:val="Quote Char"/>
    <w:basedOn w:val="DefaultParagraphFont"/>
    <w:link w:val="Quote"/>
    <w:uiPriority w:val="29"/>
    <w:rsid w:val="00AA4E7E"/>
    <w:rPr>
      <w:i/>
      <w:iCs/>
      <w:color w:val="404040" w:themeColor="text1" w:themeTint="BF"/>
    </w:rPr>
  </w:style>
  <w:style w:type="paragraph" w:styleId="ListParagraph">
    <w:name w:val="List Paragraph"/>
    <w:basedOn w:val="Normal"/>
    <w:uiPriority w:val="34"/>
    <w:qFormat/>
    <w:rsid w:val="00AA4E7E"/>
    <w:pPr>
      <w:ind w:left="720"/>
      <w:contextualSpacing/>
    </w:pPr>
  </w:style>
  <w:style w:type="character" w:styleId="IntenseEmphasis">
    <w:name w:val="Intense Emphasis"/>
    <w:basedOn w:val="DefaultParagraphFont"/>
    <w:uiPriority w:val="21"/>
    <w:qFormat/>
    <w:rsid w:val="00AA4E7E"/>
    <w:rPr>
      <w:i/>
      <w:iCs/>
      <w:color w:val="2E74B5" w:themeColor="accent1" w:themeShade="BF"/>
    </w:rPr>
  </w:style>
  <w:style w:type="paragraph" w:styleId="IntenseQuote">
    <w:name w:val="Intense Quote"/>
    <w:basedOn w:val="Normal"/>
    <w:next w:val="Normal"/>
    <w:link w:val="IntenseQuoteChar"/>
    <w:uiPriority w:val="30"/>
    <w:qFormat/>
    <w:rsid w:val="00AA4E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4E7E"/>
    <w:rPr>
      <w:i/>
      <w:iCs/>
      <w:color w:val="2E74B5" w:themeColor="accent1" w:themeShade="BF"/>
    </w:rPr>
  </w:style>
  <w:style w:type="character" w:styleId="IntenseReference">
    <w:name w:val="Intense Reference"/>
    <w:basedOn w:val="DefaultParagraphFont"/>
    <w:uiPriority w:val="32"/>
    <w:qFormat/>
    <w:rsid w:val="00AA4E7E"/>
    <w:rPr>
      <w:b/>
      <w:bCs/>
      <w:smallCaps/>
      <w:color w:val="2E74B5" w:themeColor="accent1" w:themeShade="BF"/>
      <w:spacing w:val="5"/>
    </w:rPr>
  </w:style>
  <w:style w:type="character" w:styleId="Hyperlink">
    <w:name w:val="Hyperlink"/>
    <w:basedOn w:val="DefaultParagraphFont"/>
    <w:uiPriority w:val="99"/>
    <w:unhideWhenUsed/>
    <w:rsid w:val="00F52C6D"/>
    <w:rPr>
      <w:color w:val="0563C1" w:themeColor="hyperlink"/>
      <w:u w:val="single"/>
    </w:rPr>
  </w:style>
  <w:style w:type="character" w:styleId="UnresolvedMention">
    <w:name w:val="Unresolved Mention"/>
    <w:basedOn w:val="DefaultParagraphFont"/>
    <w:uiPriority w:val="99"/>
    <w:semiHidden/>
    <w:unhideWhenUsed/>
    <w:rsid w:val="00F52C6D"/>
    <w:rPr>
      <w:color w:val="605E5C"/>
      <w:shd w:val="clear" w:color="auto" w:fill="E1DFDD"/>
    </w:rPr>
  </w:style>
  <w:style w:type="character" w:styleId="FollowedHyperlink">
    <w:name w:val="FollowedHyperlink"/>
    <w:basedOn w:val="DefaultParagraphFont"/>
    <w:uiPriority w:val="99"/>
    <w:semiHidden/>
    <w:unhideWhenUsed/>
    <w:rsid w:val="009C63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430792">
      <w:bodyDiv w:val="1"/>
      <w:marLeft w:val="0"/>
      <w:marRight w:val="0"/>
      <w:marTop w:val="0"/>
      <w:marBottom w:val="0"/>
      <w:divBdr>
        <w:top w:val="none" w:sz="0" w:space="0" w:color="auto"/>
        <w:left w:val="none" w:sz="0" w:space="0" w:color="auto"/>
        <w:bottom w:val="none" w:sz="0" w:space="0" w:color="auto"/>
        <w:right w:val="none" w:sz="0" w:space="0" w:color="auto"/>
      </w:divBdr>
    </w:div>
    <w:div w:id="1151676754">
      <w:bodyDiv w:val="1"/>
      <w:marLeft w:val="0"/>
      <w:marRight w:val="0"/>
      <w:marTop w:val="0"/>
      <w:marBottom w:val="0"/>
      <w:divBdr>
        <w:top w:val="none" w:sz="0" w:space="0" w:color="auto"/>
        <w:left w:val="none" w:sz="0" w:space="0" w:color="auto"/>
        <w:bottom w:val="none" w:sz="0" w:space="0" w:color="auto"/>
        <w:right w:val="none" w:sz="0" w:space="0" w:color="auto"/>
      </w:divBdr>
    </w:div>
    <w:div w:id="1748068998">
      <w:bodyDiv w:val="1"/>
      <w:marLeft w:val="0"/>
      <w:marRight w:val="0"/>
      <w:marTop w:val="0"/>
      <w:marBottom w:val="0"/>
      <w:divBdr>
        <w:top w:val="none" w:sz="0" w:space="0" w:color="auto"/>
        <w:left w:val="none" w:sz="0" w:space="0" w:color="auto"/>
        <w:bottom w:val="none" w:sz="0" w:space="0" w:color="auto"/>
        <w:right w:val="none" w:sz="0" w:space="0" w:color="auto"/>
      </w:divBdr>
    </w:div>
    <w:div w:id="181910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810293" TargetMode="External"/><Relationship Id="rId13" Type="http://schemas.openxmlformats.org/officeDocument/2006/relationships/hyperlink" Target="https://www.youtube.com/watch?v=Buv_mijy82E" TargetMode="External"/><Relationship Id="rId3" Type="http://schemas.openxmlformats.org/officeDocument/2006/relationships/settings" Target="settings.xml"/><Relationship Id="rId7" Type="http://schemas.openxmlformats.org/officeDocument/2006/relationships/hyperlink" Target="https://www.britannica.com/story/causes-of-the-great-depression" TargetMode="External"/><Relationship Id="rId12" Type="http://schemas.openxmlformats.org/officeDocument/2006/relationships/hyperlink" Target="https://pubmed.ncbi.nlm.nih.gov/2533876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dc.gov/mmwr/preview/mmwrhtml/mm4829a1.htm" TargetMode="External"/><Relationship Id="rId11" Type="http://schemas.openxmlformats.org/officeDocument/2006/relationships/hyperlink" Target="https://www.nejm.org/doi/10.1056/NEJMp2021701" TargetMode="External"/><Relationship Id="rId5" Type="http://schemas.openxmlformats.org/officeDocument/2006/relationships/hyperlink" Target="https://www.cdc.gov/mmwr/preview/mmwrhtml/mm4840a1.htm" TargetMode="External"/><Relationship Id="rId15" Type="http://schemas.openxmlformats.org/officeDocument/2006/relationships/fontTable" Target="fontTable.xml"/><Relationship Id="rId10" Type="http://schemas.openxmlformats.org/officeDocument/2006/relationships/hyperlink" Target="https://www.youtube.com/watch?v=693XQSujAh8" TargetMode="External"/><Relationship Id="rId4" Type="http://schemas.openxmlformats.org/officeDocument/2006/relationships/webSettings" Target="webSettings.xml"/><Relationship Id="rId9" Type="http://schemas.openxmlformats.org/officeDocument/2006/relationships/hyperlink" Target="https://www.painphysicianjournal.com/current/pdf/NDMwMQ%3D%3D/104" TargetMode="External"/><Relationship Id="rId14" Type="http://schemas.openxmlformats.org/officeDocument/2006/relationships/hyperlink" Target="https://link.springer.com/article/10.1007/s10754-022-0932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18</cp:revision>
  <dcterms:created xsi:type="dcterms:W3CDTF">2026-06-14T19:43:00Z</dcterms:created>
  <dcterms:modified xsi:type="dcterms:W3CDTF">2026-06-15T01:42:00Z</dcterms:modified>
</cp:coreProperties>
</file>