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F30F7" w14:textId="6981CF51" w:rsidR="003B0FB0" w:rsidRPr="003B0FB0" w:rsidRDefault="003B0FB0" w:rsidP="003B0FB0">
      <w:r w:rsidRPr="003B0FB0">
        <w:t xml:space="preserve">The United States federal government has made several major interventions in public health and healthcare financing over the past century, but these developments occurred through </w:t>
      </w:r>
      <w:r>
        <w:t>reactive</w:t>
      </w:r>
      <w:r w:rsidRPr="003B0FB0">
        <w:t xml:space="preserve"> policy pathways </w:t>
      </w:r>
      <w:r>
        <w:t xml:space="preserve">instead of a </w:t>
      </w:r>
      <w:r w:rsidRPr="003B0FB0">
        <w:t>continuous reform process.</w:t>
      </w:r>
      <w:r>
        <w:t>[1]</w:t>
      </w:r>
    </w:p>
    <w:p w14:paraId="072656B7" w14:textId="204E7B10" w:rsidR="003B0FB0" w:rsidRPr="003B0FB0" w:rsidRDefault="003B0FB0" w:rsidP="003B0FB0">
      <w:r w:rsidRPr="003B0FB0">
        <w:t>Early public health reforms in the early 1900s, such as the Pure Food and Drug Act of 1906, addressed widespread issues of food and water contamination. These efforts, along with advances in sanitation, pasteurization, and refrigeration, contributed to significant reductions in infectious disease mortality and improved overall life expectancy.</w:t>
      </w:r>
      <w:r>
        <w:t xml:space="preserve"> </w:t>
      </w:r>
      <w:proofErr w:type="gramStart"/>
      <w:r>
        <w:t>[</w:t>
      </w:r>
      <w:proofErr w:type="gramEnd"/>
      <w:r>
        <w:t>1,2]</w:t>
      </w:r>
    </w:p>
    <w:p w14:paraId="64D95BEE" w14:textId="629C46A1" w:rsidR="003B0FB0" w:rsidRPr="003B0FB0" w:rsidRDefault="003B0FB0" w:rsidP="003B0FB0">
      <w:r w:rsidRPr="003B0FB0">
        <w:t>The 1918 influenza pandemic revealed ongoing vulnerabilities in public health systems, causing an estimated tens of millions of deaths worldwide and highlighting the limits of existing medical infrastructure and coordinated federal response capacity at the time.</w:t>
      </w:r>
      <w:r>
        <w:t xml:space="preserve"> </w:t>
      </w:r>
      <w:proofErr w:type="gramStart"/>
      <w:r>
        <w:t>[</w:t>
      </w:r>
      <w:proofErr w:type="gramEnd"/>
      <w:r>
        <w:t>1,2,3]</w:t>
      </w:r>
    </w:p>
    <w:p w14:paraId="01A8B52C" w14:textId="5EF93801" w:rsidR="003B0FB0" w:rsidRPr="003B0FB0" w:rsidRDefault="003B0FB0" w:rsidP="003B0FB0">
      <w:r w:rsidRPr="003B0FB0">
        <w:t>During the Great Depression, economic hardship significantly reduced access to care and accelerated federal involvement in social welfare policy. The Social Security Act of 1935 established a foundation for federal social insurance programs, although it did not initially include direct healthcare coverage. Instead, it created a framework for later expansions in social protection.</w:t>
      </w:r>
      <w:r>
        <w:t>[4]</w:t>
      </w:r>
    </w:p>
    <w:p w14:paraId="403B0831" w14:textId="77777777" w:rsidR="003B0FB0" w:rsidRPr="003B0FB0" w:rsidRDefault="003B0FB0" w:rsidP="003B0FB0">
      <w:r w:rsidRPr="003B0FB0">
        <w:t>Post–World War II reforms expanded federal involvement in health insurance, particularly through programs for specific populations. The Medicare and Medicaid establishment (1965) created nationwide health insurance coverage for older adults and low-income populations, representing a major expansion of federal healthcare financing. Medicare</w:t>
      </w:r>
      <w:proofErr w:type="gramStart"/>
      <w:r w:rsidRPr="003B0FB0">
        <w:t>, in particular, became</w:t>
      </w:r>
      <w:proofErr w:type="gramEnd"/>
      <w:r w:rsidRPr="003B0FB0">
        <w:t xml:space="preserve"> a central pillar of retirement security by guaranteeing access to hospital and physician services for seniors regardless of income or medical history.</w:t>
      </w:r>
    </w:p>
    <w:p w14:paraId="33B603EA" w14:textId="77777777" w:rsidR="003B0FB0" w:rsidRPr="003B0FB0" w:rsidRDefault="003B0FB0" w:rsidP="003B0FB0">
      <w:r w:rsidRPr="003B0FB0">
        <w:t>In the following decades, the U.S. healthcare system increasingly relied on employer-sponsored insurance and private insurance markets, which shaped the structure of care delivery and payment. Rising costs and administrative complexity led to the growth of managed care models and various cost-control mechanisms, though these reforms often had mixed results in controlling long-term spending growth.</w:t>
      </w:r>
    </w:p>
    <w:p w14:paraId="68C0EB37" w14:textId="77777777" w:rsidR="003B0FB0" w:rsidRPr="003B0FB0" w:rsidRDefault="003B0FB0" w:rsidP="003B0FB0">
      <w:r w:rsidRPr="003B0FB0">
        <w:t>Later reforms addressed administrative and insurance market issues. The Health Insurance Portability and Accountability Act of 1996 improved insurance portability and established national privacy standards for health information.</w:t>
      </w:r>
    </w:p>
    <w:p w14:paraId="4C0C9A8F" w14:textId="77777777" w:rsidR="003B0FB0" w:rsidRPr="003B0FB0" w:rsidRDefault="003B0FB0" w:rsidP="003B0FB0">
      <w:r w:rsidRPr="003B0FB0">
        <w:t>The Affordable Care Act of 2010 significantly expanded insurance coverage through marketplaces, subsidies, and expanded Medicaid eligibility, while prohibiting pre-existing condition exclusions. It also reshaped insurance regulation by setting baseline coverage standards and increasing federal oversight of private insurers.</w:t>
      </w:r>
    </w:p>
    <w:p w14:paraId="1A924A46" w14:textId="77777777" w:rsidR="003B0FB0" w:rsidRPr="003B0FB0" w:rsidRDefault="003B0FB0" w:rsidP="003B0FB0">
      <w:r w:rsidRPr="003B0FB0">
        <w:t>Despite these expansions, the U.S. healthcare system continues to face structural challenges, including fragmented financing across public and private payers, variation in state-level implementation, and persistent cost growth driven by payment incentives, provider consolidation, and administrative complexity. These issues reflect broader structural features of the system rather than the effects of any single policy, making comprehensive reform difficult to implement consistently across the country.</w:t>
      </w:r>
    </w:p>
    <w:p w14:paraId="6B4B523F" w14:textId="77777777" w:rsidR="002035C7" w:rsidRPr="003B0FB0" w:rsidRDefault="002035C7" w:rsidP="003B0FB0"/>
    <w:sectPr w:rsidR="002035C7" w:rsidRPr="003B0FB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FB0"/>
    <w:rsid w:val="002035C7"/>
    <w:rsid w:val="003B0FB0"/>
    <w:rsid w:val="0092360F"/>
    <w:rsid w:val="00AA55F2"/>
    <w:rsid w:val="00EE19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2A095"/>
  <w15:chartTrackingRefBased/>
  <w15:docId w15:val="{53122BAE-50F5-4EC2-B86F-5D0ED9D7D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FB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B0FB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B0FB0"/>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B0FB0"/>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B0FB0"/>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B0F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F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F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F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FB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B0FB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B0FB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B0FB0"/>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B0FB0"/>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B0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FB0"/>
    <w:rPr>
      <w:rFonts w:eastAsiaTheme="majorEastAsia" w:cstheme="majorBidi"/>
      <w:color w:val="272727" w:themeColor="text1" w:themeTint="D8"/>
    </w:rPr>
  </w:style>
  <w:style w:type="paragraph" w:styleId="Title">
    <w:name w:val="Title"/>
    <w:basedOn w:val="Normal"/>
    <w:next w:val="Normal"/>
    <w:link w:val="TitleChar"/>
    <w:uiPriority w:val="10"/>
    <w:qFormat/>
    <w:rsid w:val="003B0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F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FB0"/>
    <w:pPr>
      <w:spacing w:before="160"/>
      <w:jc w:val="center"/>
    </w:pPr>
    <w:rPr>
      <w:i/>
      <w:iCs/>
      <w:color w:val="404040" w:themeColor="text1" w:themeTint="BF"/>
    </w:rPr>
  </w:style>
  <w:style w:type="character" w:customStyle="1" w:styleId="QuoteChar">
    <w:name w:val="Quote Char"/>
    <w:basedOn w:val="DefaultParagraphFont"/>
    <w:link w:val="Quote"/>
    <w:uiPriority w:val="29"/>
    <w:rsid w:val="003B0FB0"/>
    <w:rPr>
      <w:i/>
      <w:iCs/>
      <w:color w:val="404040" w:themeColor="text1" w:themeTint="BF"/>
    </w:rPr>
  </w:style>
  <w:style w:type="paragraph" w:styleId="ListParagraph">
    <w:name w:val="List Paragraph"/>
    <w:basedOn w:val="Normal"/>
    <w:uiPriority w:val="34"/>
    <w:qFormat/>
    <w:rsid w:val="003B0FB0"/>
    <w:pPr>
      <w:ind w:left="720"/>
      <w:contextualSpacing/>
    </w:pPr>
  </w:style>
  <w:style w:type="character" w:styleId="IntenseEmphasis">
    <w:name w:val="Intense Emphasis"/>
    <w:basedOn w:val="DefaultParagraphFont"/>
    <w:uiPriority w:val="21"/>
    <w:qFormat/>
    <w:rsid w:val="003B0FB0"/>
    <w:rPr>
      <w:i/>
      <w:iCs/>
      <w:color w:val="2E74B5" w:themeColor="accent1" w:themeShade="BF"/>
    </w:rPr>
  </w:style>
  <w:style w:type="paragraph" w:styleId="IntenseQuote">
    <w:name w:val="Intense Quote"/>
    <w:basedOn w:val="Normal"/>
    <w:next w:val="Normal"/>
    <w:link w:val="IntenseQuoteChar"/>
    <w:uiPriority w:val="30"/>
    <w:qFormat/>
    <w:rsid w:val="003B0FB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B0FB0"/>
    <w:rPr>
      <w:i/>
      <w:iCs/>
      <w:color w:val="2E74B5" w:themeColor="accent1" w:themeShade="BF"/>
    </w:rPr>
  </w:style>
  <w:style w:type="character" w:styleId="IntenseReference">
    <w:name w:val="Intense Reference"/>
    <w:basedOn w:val="DefaultParagraphFont"/>
    <w:uiPriority w:val="32"/>
    <w:qFormat/>
    <w:rsid w:val="003B0FB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331772">
      <w:bodyDiv w:val="1"/>
      <w:marLeft w:val="0"/>
      <w:marRight w:val="0"/>
      <w:marTop w:val="0"/>
      <w:marBottom w:val="0"/>
      <w:divBdr>
        <w:top w:val="none" w:sz="0" w:space="0" w:color="auto"/>
        <w:left w:val="none" w:sz="0" w:space="0" w:color="auto"/>
        <w:bottom w:val="none" w:sz="0" w:space="0" w:color="auto"/>
        <w:right w:val="none" w:sz="0" w:space="0" w:color="auto"/>
      </w:divBdr>
    </w:div>
    <w:div w:id="1688291181">
      <w:bodyDiv w:val="1"/>
      <w:marLeft w:val="0"/>
      <w:marRight w:val="0"/>
      <w:marTop w:val="0"/>
      <w:marBottom w:val="0"/>
      <w:divBdr>
        <w:top w:val="none" w:sz="0" w:space="0" w:color="auto"/>
        <w:left w:val="none" w:sz="0" w:space="0" w:color="auto"/>
        <w:bottom w:val="none" w:sz="0" w:space="0" w:color="auto"/>
        <w:right w:val="none" w:sz="0" w:space="0" w:color="auto"/>
      </w:divBdr>
    </w:div>
    <w:div w:id="1811436549">
      <w:bodyDiv w:val="1"/>
      <w:marLeft w:val="0"/>
      <w:marRight w:val="0"/>
      <w:marTop w:val="0"/>
      <w:marBottom w:val="0"/>
      <w:divBdr>
        <w:top w:val="none" w:sz="0" w:space="0" w:color="auto"/>
        <w:left w:val="none" w:sz="0" w:space="0" w:color="auto"/>
        <w:bottom w:val="none" w:sz="0" w:space="0" w:color="auto"/>
        <w:right w:val="none" w:sz="0" w:space="0" w:color="auto"/>
      </w:divBdr>
    </w:div>
    <w:div w:id="2134404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211</TotalTime>
  <Pages>2</Pages>
  <Words>482</Words>
  <Characters>2753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Catholic Health Services - LI</Company>
  <LinksUpToDate>false</LinksUpToDate>
  <CharactersWithSpaces>3229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Yzut (Yatza)</dc:creator>
  <cp:keywords/>
  <dc:description/>
  <cp:lastModifiedBy>Lo, Yzut (Yatza)</cp:lastModifiedBy>
  <cp:revision>1</cp:revision>
  <dcterms:created xsi:type="dcterms:W3CDTF">2026-06-14T23:07:00Z</dcterms:created>
  <dcterms:modified xsi:type="dcterms:W3CDTF">2026-06-15T15:00:00Z</dcterms:modified>
</cp:coreProperties>
</file>