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FC2C" w14:textId="77777777" w:rsidR="00590D9E" w:rsidRPr="00590D9E" w:rsidRDefault="00590D9E" w:rsidP="00590D9E">
      <w:pPr>
        <w:rPr>
          <w:color w:val="FF0000"/>
        </w:rPr>
      </w:pPr>
      <w:r w:rsidRPr="00590D9E">
        <w:rPr>
          <w:color w:val="FF0000"/>
        </w:rPr>
        <w:t>Healthcare policy and public health are deeply interconnected, particularly when addressing equity and access.</w:t>
      </w:r>
    </w:p>
    <w:p w14:paraId="5399168D" w14:textId="77777777" w:rsidR="00590D9E" w:rsidRPr="00590D9E" w:rsidRDefault="00590D9E" w:rsidP="00590D9E">
      <w:pPr>
        <w:rPr>
          <w:color w:val="FF0000"/>
        </w:rPr>
      </w:pPr>
      <w:r w:rsidRPr="00590D9E">
        <w:rPr>
          <w:color w:val="FF0000"/>
        </w:rPr>
        <w:t>Choose one major US healthcare policy (e.g., ACA or another legislation) and evaluate its impact on health equity. Recommend one policy change or initiative that could better integrate healthcare delivery with public health goals. Also consider the role that a specific informatics or technology solution may play in addressing, affecting, or improving your chosen health issue / policy.</w:t>
      </w:r>
    </w:p>
    <w:p w14:paraId="3302EEB9" w14:textId="77777777" w:rsidR="00590D9E" w:rsidRPr="00590D9E" w:rsidRDefault="00590D9E" w:rsidP="00590D9E">
      <w:pPr>
        <w:rPr>
          <w:color w:val="FF0000"/>
        </w:rPr>
      </w:pPr>
      <w:r w:rsidRPr="00590D9E">
        <w:rPr>
          <w:b/>
          <w:bCs/>
          <w:color w:val="FF0000"/>
        </w:rPr>
        <w:t>After posting your initial thoughts, please reply to at least two classmates</w:t>
      </w:r>
      <w:r w:rsidRPr="00590D9E">
        <w:rPr>
          <w:color w:val="FF0000"/>
        </w:rPr>
        <w:t>. Try to complete your initial post by mid-week so you have a chance to review and respond to your classmates' posts.</w:t>
      </w:r>
    </w:p>
    <w:p w14:paraId="128CFE56" w14:textId="77777777" w:rsidR="00590D9E" w:rsidRPr="00590D9E" w:rsidRDefault="00590D9E" w:rsidP="00590D9E">
      <w:pPr>
        <w:rPr>
          <w:color w:val="FF0000"/>
        </w:rPr>
      </w:pPr>
      <w:r w:rsidRPr="00590D9E">
        <w:rPr>
          <w:color w:val="FF0000"/>
        </w:rPr>
        <w:t>As you discuss healthcare policy, public health, and health equity, look for shared ideas, differing viewpoints, real-world examples, and recurring themes related to access to care, policy effectiveness, healthcare disparities, and the role of informatics and technology in improving population health outcomes.</w:t>
      </w:r>
    </w:p>
    <w:p w14:paraId="4605D586" w14:textId="77777777" w:rsidR="00590D9E" w:rsidRPr="00590D9E" w:rsidRDefault="00590D9E" w:rsidP="00590D9E">
      <w:pPr>
        <w:rPr>
          <w:color w:val="FF0000"/>
        </w:rPr>
      </w:pPr>
      <w:r w:rsidRPr="00590D9E">
        <w:rPr>
          <w:color w:val="FF0000"/>
        </w:rPr>
        <w:t>Please keep your initial post to ~300–400 words and your responses to classmates to ~100-150 words each.</w:t>
      </w:r>
    </w:p>
    <w:p w14:paraId="3D1B17D7" w14:textId="77777777" w:rsidR="00590D9E" w:rsidRDefault="00590D9E" w:rsidP="00C46499"/>
    <w:p w14:paraId="06B2AB99" w14:textId="192DA729" w:rsidR="00975BFA" w:rsidRDefault="00975BFA">
      <w:r w:rsidRPr="00975BFA">
        <w:t xml:space="preserve">While the Affordable Care Act (ACA) expanded coverage to millions of Americans, it </w:t>
      </w:r>
      <w:r w:rsidR="00823DE8">
        <w:t xml:space="preserve">also </w:t>
      </w:r>
      <w:r>
        <w:t xml:space="preserve">uncovered a </w:t>
      </w:r>
      <w:r w:rsidRPr="00975BFA">
        <w:t xml:space="preserve">more fundamental </w:t>
      </w:r>
      <w:r w:rsidR="00823DE8">
        <w:t>problem</w:t>
      </w:r>
      <w:r w:rsidR="00B67299">
        <w:t xml:space="preserve">. </w:t>
      </w:r>
      <w:r w:rsidR="001E2B2E">
        <w:t xml:space="preserve">The </w:t>
      </w:r>
      <w:r w:rsidRPr="00975BFA">
        <w:t xml:space="preserve">U.S. healthcare operates through a fragmented </w:t>
      </w:r>
      <w:r w:rsidR="00BE754B">
        <w:t>revenue cycle</w:t>
      </w:r>
      <w:r w:rsidRPr="00975BFA">
        <w:t xml:space="preserve"> system that </w:t>
      </w:r>
      <w:r w:rsidR="00A318A6">
        <w:t xml:space="preserve">shifts </w:t>
      </w:r>
      <w:r w:rsidRPr="00975BFA">
        <w:t>healthcare insecurity across populations rather than addressing its structural causes.[1]</w:t>
      </w:r>
    </w:p>
    <w:p w14:paraId="1AF3DBB1" w14:textId="2A92CD9F" w:rsidR="00975BFA" w:rsidRDefault="00027A41">
      <w:r w:rsidRPr="00027A41">
        <w:t>The United States has gone through a series of major healthcare reforms over time, including the Medicare and Medicaid in 1965, the Health Insurance Portability and Accountability Act (HIPAA) of 1996, the Affordable Care Act (ACA) of 2010, and the American Rescue Plan Act (ARPA) of 2021. Each of these reforms addressed specific issues related to access, coverage, affordability, or administrative efficiency</w:t>
      </w:r>
      <w:r w:rsidR="00DF279A">
        <w:t>.</w:t>
      </w:r>
      <w:r w:rsidRPr="00027A41">
        <w:t xml:space="preserve"> [</w:t>
      </w:r>
      <w:r w:rsidR="00975BFA">
        <w:t>2,4,6</w:t>
      </w:r>
      <w:r w:rsidRPr="00027A41">
        <w:t xml:space="preserve">] </w:t>
      </w:r>
      <w:r w:rsidR="00983DA7" w:rsidRPr="00983DA7">
        <w:t>However,</w:t>
      </w:r>
      <w:r w:rsidR="00975BFA">
        <w:t xml:space="preserve"> the underlying structural issues of not having a unified payment model integrated across public and private insurers persist</w:t>
      </w:r>
      <w:r w:rsidR="00983DA7" w:rsidRPr="00983DA7">
        <w:t>.</w:t>
      </w:r>
      <w:r w:rsidR="00315DC0">
        <w:br/>
      </w:r>
      <w:r w:rsidR="00EC429C">
        <w:br/>
      </w:r>
      <w:r w:rsidR="00B67299" w:rsidRPr="00B67299">
        <w:t>The ACA's Medical Loss Ratio (MLR) requirement limited the percentag</w:t>
      </w:r>
      <w:r w:rsidR="00B67299">
        <w:t xml:space="preserve">e </w:t>
      </w:r>
      <w:r w:rsidR="00D76E53" w:rsidRPr="00D76E53">
        <w:t>of premiums insurers can spend on administrative costs and profits</w:t>
      </w:r>
      <w:r w:rsidR="00F467E4">
        <w:t xml:space="preserve">. This </w:t>
      </w:r>
      <w:r w:rsidR="00975BFA">
        <w:t xml:space="preserve">policy </w:t>
      </w:r>
      <w:r w:rsidR="00C60EAE">
        <w:t>m</w:t>
      </w:r>
      <w:r w:rsidR="00DF6F4E">
        <w:t>otivat</w:t>
      </w:r>
      <w:r w:rsidR="00F467E4">
        <w:t>e</w:t>
      </w:r>
      <w:r w:rsidR="00975BFA">
        <w:t>d</w:t>
      </w:r>
      <w:r w:rsidR="00D76E53" w:rsidRPr="00D76E53">
        <w:t xml:space="preserve"> insurers to reduce overhead and improve efficiency.</w:t>
      </w:r>
      <w:r w:rsidR="00D76E53">
        <w:t xml:space="preserve"> </w:t>
      </w:r>
      <w:r w:rsidR="00975BFA">
        <w:t>L</w:t>
      </w:r>
      <w:r w:rsidR="00CC378D" w:rsidRPr="00CC378D">
        <w:t xml:space="preserve">arge insurers such as UnitedHealth Group </w:t>
      </w:r>
      <w:r w:rsidR="00823DE8">
        <w:t>used</w:t>
      </w:r>
      <w:r w:rsidR="00975BFA">
        <w:t xml:space="preserve"> these rules to expand </w:t>
      </w:r>
      <w:r w:rsidR="00CC378D" w:rsidRPr="00CC378D">
        <w:t>vertical</w:t>
      </w:r>
      <w:r w:rsidR="007C1B9D">
        <w:t>ly</w:t>
      </w:r>
      <w:r w:rsidR="00CC378D" w:rsidRPr="00CC378D">
        <w:t xml:space="preserve"> into physician services, pharmacy benefit management, and healthcare analytics through Optum Health</w:t>
      </w:r>
      <w:r w:rsidR="00975BFA">
        <w:t xml:space="preserve"> and </w:t>
      </w:r>
      <w:r w:rsidR="00975BFA" w:rsidRPr="00CC378D">
        <w:t xml:space="preserve">payment </w:t>
      </w:r>
      <w:r w:rsidR="00975BFA">
        <w:t>clearinghouse systems</w:t>
      </w:r>
      <w:r w:rsidR="00975BFA">
        <w:t xml:space="preserve"> with Change Health</w:t>
      </w:r>
      <w:r w:rsidR="00DF279A">
        <w:t>.</w:t>
      </w:r>
      <w:r w:rsidR="00975BFA">
        <w:t xml:space="preserve"> [5]</w:t>
      </w:r>
      <w:r w:rsidR="00D76E53">
        <w:t xml:space="preserve"> </w:t>
      </w:r>
    </w:p>
    <w:p w14:paraId="7B26DA0B" w14:textId="5BAA9D7E" w:rsidR="00D511F4" w:rsidRDefault="00D511F4">
      <w:r w:rsidRPr="00D511F4">
        <w:t>However, this consolidation didn't solve the underlying problem. Instead, it created new inequities. By concentrating market power and limiting provider networks in underserved areas, it</w:t>
      </w:r>
      <w:r>
        <w:t xml:space="preserve"> inadvertently worsened </w:t>
      </w:r>
      <w:r w:rsidRPr="00D511F4">
        <w:t>care coordination. [1]</w:t>
      </w:r>
    </w:p>
    <w:p w14:paraId="5B66C1BE" w14:textId="4A46047C" w:rsidR="007C1B9D" w:rsidRDefault="00620A5B">
      <w:r w:rsidRPr="00620A5B">
        <w:t>I experienced this firsthand when I lost my health insurance after being laid off while recovering from a serious car acci</w:t>
      </w:r>
      <w:r w:rsidR="00DF279A">
        <w:t>dent</w:t>
      </w:r>
      <w:r w:rsidRPr="00620A5B">
        <w:t xml:space="preserve">. </w:t>
      </w:r>
      <w:r w:rsidR="001A68BA">
        <w:t>My</w:t>
      </w:r>
      <w:r w:rsidR="00DF279A">
        <w:t xml:space="preserve"> access to care was determined not by </w:t>
      </w:r>
      <w:r w:rsidR="006F5228">
        <w:t>medical</w:t>
      </w:r>
      <w:r w:rsidR="00DF279A">
        <w:t xml:space="preserve"> need</w:t>
      </w:r>
      <w:r w:rsidR="006F5228">
        <w:t>s</w:t>
      </w:r>
      <w:r w:rsidR="00DF279A">
        <w:t xml:space="preserve"> b</w:t>
      </w:r>
      <w:r w:rsidR="006F5228">
        <w:t>ut by</w:t>
      </w:r>
      <w:r w:rsidR="00DF279A">
        <w:t xml:space="preserve"> employment status</w:t>
      </w:r>
      <w:r w:rsidRPr="00620A5B">
        <w:t>.</w:t>
      </w:r>
      <w:r w:rsidR="00DF279A">
        <w:t xml:space="preserve"> This represents design failure in the American health system.</w:t>
      </w:r>
      <w:r w:rsidR="00C10087">
        <w:t xml:space="preserve"> </w:t>
      </w:r>
      <w:r w:rsidR="00DF279A">
        <w:t xml:space="preserve">The ACA expanded coverage eligibility but does not address employment insurance gaps, state-level </w:t>
      </w:r>
      <w:r w:rsidR="00DF279A">
        <w:lastRenderedPageBreak/>
        <w:t>Medicaid/Medicare coverage variations, [</w:t>
      </w:r>
      <w:r w:rsidR="006F5228">
        <w:t>3</w:t>
      </w:r>
      <w:r w:rsidR="00DF279A">
        <w:t>] or the underlying fee-for-service payment incentive structure.</w:t>
      </w:r>
    </w:p>
    <w:p w14:paraId="6C688E79" w14:textId="7C56ADB1" w:rsidR="0018097D" w:rsidRDefault="00D511F4" w:rsidP="00921FE3">
      <w:r>
        <w:t>The issue with f</w:t>
      </w:r>
      <w:r w:rsidR="0018097D" w:rsidRPr="0018097D">
        <w:t xml:space="preserve">ee-for-service reimbursement </w:t>
      </w:r>
      <w:r>
        <w:t xml:space="preserve">is </w:t>
      </w:r>
      <w:r w:rsidR="00096CBE">
        <w:t xml:space="preserve">that </w:t>
      </w:r>
      <w:r>
        <w:t xml:space="preserve">it </w:t>
      </w:r>
      <w:r w:rsidR="0018097D" w:rsidRPr="0018097D">
        <w:t>rewards service volume regardless of outcome, with incentive alignment varying by payer</w:t>
      </w:r>
      <w:r w:rsidR="0018097D">
        <w:t>s causing misalignments between Medicaid, Medicare, and private insurers</w:t>
      </w:r>
      <w:r w:rsidR="0018097D" w:rsidRPr="0018097D">
        <w:t>.</w:t>
      </w:r>
      <w:r w:rsidR="0018097D">
        <w:t xml:space="preserve"> </w:t>
      </w:r>
      <w:r w:rsidR="00096CBE">
        <w:t>State variations and options add to the complexity causing inconsistency and further f</w:t>
      </w:r>
      <w:r w:rsidR="0018097D">
        <w:t xml:space="preserve">ragmentation </w:t>
      </w:r>
      <w:r w:rsidR="00096CBE">
        <w:t xml:space="preserve">resulting in health </w:t>
      </w:r>
      <w:r w:rsidR="0018097D">
        <w:t xml:space="preserve">insecurity to transfer between different populations, </w:t>
      </w:r>
      <w:r w:rsidR="00096CBE">
        <w:t xml:space="preserve">from </w:t>
      </w:r>
      <w:r w:rsidR="0018097D">
        <w:t xml:space="preserve">the uninsured to low-income Medicaid recipients in non-expansion states. </w:t>
      </w:r>
      <w:r w:rsidR="00096CBE">
        <w:t xml:space="preserve">We need a unified reimbursement system to support the </w:t>
      </w:r>
      <w:r w:rsidR="0018097D">
        <w:t>implement</w:t>
      </w:r>
      <w:r w:rsidR="006F5228">
        <w:t>ation</w:t>
      </w:r>
      <w:r w:rsidR="0018097D">
        <w:t xml:space="preserve"> </w:t>
      </w:r>
      <w:r w:rsidR="00096CBE">
        <w:t xml:space="preserve">of </w:t>
      </w:r>
      <w:r w:rsidR="0018097D">
        <w:t>value-based care solution</w:t>
      </w:r>
      <w:r w:rsidR="00626F11">
        <w:t>s</w:t>
      </w:r>
      <w:r w:rsidR="00096CBE">
        <w:t>, otherwise fragmentation will continue to allow inequity to shift among different population groups.</w:t>
      </w:r>
    </w:p>
    <w:p w14:paraId="5DE7D3EE" w14:textId="2D4B3A4D" w:rsidR="00027A41" w:rsidRPr="00027A41" w:rsidRDefault="00823DE8" w:rsidP="001A68BA">
      <w:r w:rsidRPr="00823DE8">
        <w:t>We need a policy that promotes value-based care across both public and private insurers, with reimbursement aligned to preventive medicine and long-term outcomes. This would improve early intervention, strengthen chronic disease management, and reduce avoidable hospitalizations</w:t>
      </w:r>
      <w:r w:rsidR="001A68BA">
        <w:t xml:space="preserve"> and</w:t>
      </w:r>
      <w:r w:rsidR="002378C1">
        <w:t xml:space="preserve"> shift away from </w:t>
      </w:r>
      <w:r w:rsidR="00D511F4">
        <w:t xml:space="preserve">the current </w:t>
      </w:r>
      <w:r w:rsidR="002378C1">
        <w:t>fee-for-service based model</w:t>
      </w:r>
      <w:r w:rsidR="002378C1" w:rsidRPr="002378C1">
        <w:t>.[</w:t>
      </w:r>
      <w:r w:rsidR="00C10087">
        <w:t>7</w:t>
      </w:r>
      <w:r w:rsidR="002378C1" w:rsidRPr="002378C1">
        <w:t>] </w:t>
      </w:r>
    </w:p>
    <w:p w14:paraId="21BA3DE2" w14:textId="7A542130" w:rsidR="00027A41" w:rsidRPr="00027A41" w:rsidRDefault="001A68BA" w:rsidP="00027A41">
      <w:r>
        <w:t>We could also leverage h</w:t>
      </w:r>
      <w:r w:rsidR="00823DE8" w:rsidRPr="00823DE8">
        <w:t xml:space="preserve">ealth informatics tools like FHIR (Fast Healthcare Interoperability Resources) and TEFCA (Trusted Exchange Framework and Common Agreement) </w:t>
      </w:r>
      <w:r>
        <w:t xml:space="preserve">to </w:t>
      </w:r>
      <w:r w:rsidR="00823DE8" w:rsidRPr="00823DE8">
        <w:t xml:space="preserve">improve how electronic health </w:t>
      </w:r>
      <w:r>
        <w:t>information is</w:t>
      </w:r>
      <w:r w:rsidR="00823DE8" w:rsidRPr="00823DE8">
        <w:t xml:space="preserve"> shared across different systems. Exposome-based analysis can help identify geographic patterns in health disparities and social risk factors. </w:t>
      </w:r>
      <w:r w:rsidR="00BE754B">
        <w:t>B</w:t>
      </w:r>
      <w:r w:rsidR="00BE754B" w:rsidRPr="00BE754B">
        <w:t xml:space="preserve">y </w:t>
      </w:r>
      <w:r w:rsidR="00BE754B">
        <w:t xml:space="preserve">identifying </w:t>
      </w:r>
      <w:r w:rsidR="00BE754B" w:rsidRPr="00BE754B">
        <w:t xml:space="preserve">where fragmentation exists and where </w:t>
      </w:r>
      <w:r w:rsidR="00BE754B">
        <w:t>operational</w:t>
      </w:r>
      <w:r w:rsidR="00BE754B" w:rsidRPr="00BE754B">
        <w:t xml:space="preserve"> waste</w:t>
      </w:r>
      <w:r w:rsidR="00BE754B">
        <w:t xml:space="preserve"> occurs</w:t>
      </w:r>
      <w:r w:rsidR="00BE754B" w:rsidRPr="00BE754B">
        <w:t xml:space="preserve">, these tools </w:t>
      </w:r>
      <w:r w:rsidR="00BE754B">
        <w:t>help build</w:t>
      </w:r>
      <w:r w:rsidR="00BE754B" w:rsidRPr="00BE754B">
        <w:t xml:space="preserve"> real structural change instead of polic</w:t>
      </w:r>
      <w:r w:rsidR="00BE754B">
        <w:t>y patches</w:t>
      </w:r>
      <w:r w:rsidR="00BE754B" w:rsidRPr="00BE754B">
        <w:t>.</w:t>
      </w:r>
    </w:p>
    <w:p w14:paraId="26F379AC" w14:textId="3C2FA3B4" w:rsidR="00A87C24" w:rsidRDefault="00481C98" w:rsidP="00B02949">
      <w:pPr>
        <w:pStyle w:val="Heading1"/>
      </w:pPr>
      <w:r>
        <w:t>References</w:t>
      </w:r>
    </w:p>
    <w:p w14:paraId="488D00F3" w14:textId="77777777" w:rsidR="00983ACD" w:rsidRPr="00012DEF" w:rsidRDefault="00983ACD" w:rsidP="00983ACD">
      <w:pPr>
        <w:pStyle w:val="ListParagraph"/>
        <w:numPr>
          <w:ilvl w:val="0"/>
          <w:numId w:val="2"/>
        </w:numPr>
      </w:pPr>
      <w:r w:rsidRPr="00012DEF">
        <w:t xml:space="preserve">The Affordable Care Act and health policy implications. </w:t>
      </w:r>
      <w:r w:rsidRPr="00012DEF">
        <w:rPr>
          <w:i/>
          <w:iCs/>
        </w:rPr>
        <w:t>New England Journal of Medicine.</w:t>
      </w:r>
      <w:r w:rsidRPr="00012DEF">
        <w:t xml:space="preserve"> 2020. doi:10.1056/NEJMp2021701. Available from: </w:t>
      </w:r>
      <w:hyperlink r:id="rId5" w:tgtFrame="_new" w:history="1">
        <w:r w:rsidRPr="00012DEF">
          <w:rPr>
            <w:rStyle w:val="Hyperlink"/>
          </w:rPr>
          <w:t>https://www.nejm.org/</w:t>
        </w:r>
        <w:r w:rsidRPr="00012DEF">
          <w:rPr>
            <w:rStyle w:val="Hyperlink"/>
          </w:rPr>
          <w:t>d</w:t>
        </w:r>
        <w:r w:rsidRPr="00012DEF">
          <w:rPr>
            <w:rStyle w:val="Hyperlink"/>
          </w:rPr>
          <w:t>oi/10.1056/NEJMp2021701</w:t>
        </w:r>
      </w:hyperlink>
      <w:r w:rsidRPr="00012DEF">
        <w:t xml:space="preserve"> </w:t>
      </w:r>
    </w:p>
    <w:p w14:paraId="0E3E7AD9" w14:textId="69B0018D" w:rsidR="00983ACD" w:rsidRPr="00983ACD" w:rsidRDefault="00983ACD" w:rsidP="00983ACD">
      <w:pPr>
        <w:pStyle w:val="ListParagraph"/>
        <w:numPr>
          <w:ilvl w:val="0"/>
          <w:numId w:val="2"/>
        </w:numPr>
      </w:pPr>
      <w:r w:rsidRPr="00983ACD">
        <w:t xml:space="preserve">Doty, M. M., </w:t>
      </w:r>
      <w:proofErr w:type="spellStart"/>
      <w:r w:rsidRPr="00983ACD">
        <w:t>Tikkanen</w:t>
      </w:r>
      <w:proofErr w:type="spellEnd"/>
      <w:r w:rsidRPr="00983ACD">
        <w:t xml:space="preserve">, R., Shah, A., &amp; </w:t>
      </w:r>
      <w:proofErr w:type="spellStart"/>
      <w:r w:rsidRPr="00983ACD">
        <w:t>Pourat</w:t>
      </w:r>
      <w:proofErr w:type="spellEnd"/>
      <w:r w:rsidRPr="00983ACD">
        <w:t>, N. (2020). </w:t>
      </w:r>
      <w:r w:rsidRPr="00983ACD">
        <w:rPr>
          <w:i/>
          <w:iCs/>
        </w:rPr>
        <w:t>The Ties That Bind: Health Insurance Coverage Continuity and Access to Care</w:t>
      </w:r>
      <w:r w:rsidRPr="00983ACD">
        <w:t>. Commonwealth Fund. Retrieved from </w:t>
      </w:r>
      <w:hyperlink r:id="rId6" w:history="1">
        <w:r w:rsidRPr="00983ACD">
          <w:rPr>
            <w:rStyle w:val="Hyperlink"/>
          </w:rPr>
          <w:t>https://www.com</w:t>
        </w:r>
        <w:r w:rsidRPr="00983ACD">
          <w:rPr>
            <w:rStyle w:val="Hyperlink"/>
          </w:rPr>
          <w:t>m</w:t>
        </w:r>
        <w:r w:rsidRPr="00983ACD">
          <w:rPr>
            <w:rStyle w:val="Hyperlink"/>
          </w:rPr>
          <w:t>onwealthfund.org/publications/issue-briefs/2020/oct/ties-bind-health-insurance-coverage-continuity-and-access-care</w:t>
        </w:r>
      </w:hyperlink>
    </w:p>
    <w:p w14:paraId="2A028954" w14:textId="51F803A4" w:rsidR="006F5228" w:rsidRDefault="006F5228" w:rsidP="006F5228">
      <w:pPr>
        <w:pStyle w:val="ListParagraph"/>
        <w:numPr>
          <w:ilvl w:val="0"/>
          <w:numId w:val="2"/>
        </w:numPr>
      </w:pPr>
      <w:r w:rsidRPr="00983ACD">
        <w:t>Decker, S. L., Kenney, G. M., &amp; Long, S. K. (2014). Characteristics of uninsured low-income adults in states expanding vs not expanding Medicaid. </w:t>
      </w:r>
      <w:r w:rsidRPr="00983ACD">
        <w:rPr>
          <w:i/>
          <w:iCs/>
        </w:rPr>
        <w:t>JAMA Internal Medicine</w:t>
      </w:r>
      <w:r w:rsidRPr="00983ACD">
        <w:t>, 174(6), 988-989. </w:t>
      </w:r>
      <w:hyperlink r:id="rId7" w:history="1">
        <w:r w:rsidR="00C10087">
          <w:rPr>
            <w:rStyle w:val="Hyperlink"/>
          </w:rPr>
          <w:t>https://jamanetwo</w:t>
        </w:r>
        <w:r w:rsidR="00C10087">
          <w:rPr>
            <w:rStyle w:val="Hyperlink"/>
          </w:rPr>
          <w:t>r</w:t>
        </w:r>
        <w:r w:rsidR="00C10087">
          <w:rPr>
            <w:rStyle w:val="Hyperlink"/>
          </w:rPr>
          <w:t>k.com</w:t>
        </w:r>
        <w:r w:rsidR="00C10087">
          <w:rPr>
            <w:rStyle w:val="Hyperlink"/>
          </w:rPr>
          <w:t>/</w:t>
        </w:r>
        <w:r w:rsidR="00C10087">
          <w:rPr>
            <w:rStyle w:val="Hyperlink"/>
          </w:rPr>
          <w:t>journals/jamainternalmedicine/fullarticle/1857090</w:t>
        </w:r>
      </w:hyperlink>
    </w:p>
    <w:p w14:paraId="0734DC05" w14:textId="13BEF5C4" w:rsidR="00983ACD" w:rsidRPr="00983ACD" w:rsidRDefault="00983ACD" w:rsidP="00983ACD">
      <w:pPr>
        <w:pStyle w:val="ListParagraph"/>
        <w:numPr>
          <w:ilvl w:val="0"/>
          <w:numId w:val="2"/>
        </w:numPr>
      </w:pPr>
      <w:r w:rsidRPr="00983ACD">
        <w:t>Smith, K. (2023). A brief history of health policy in the United States. </w:t>
      </w:r>
      <w:r w:rsidRPr="00983ACD">
        <w:rPr>
          <w:i/>
          <w:iCs/>
        </w:rPr>
        <w:t>Delaware Journal of Public Health</w:t>
      </w:r>
      <w:r w:rsidRPr="00983ACD">
        <w:t>, 9(5), 6-10. Retrieved from </w:t>
      </w:r>
      <w:hyperlink r:id="rId8" w:history="1">
        <w:r w:rsidRPr="00983ACD">
          <w:rPr>
            <w:rStyle w:val="Hyperlink"/>
          </w:rPr>
          <w:t>https://pmc.ncbi.nlm.ni</w:t>
        </w:r>
        <w:r w:rsidRPr="00983ACD">
          <w:rPr>
            <w:rStyle w:val="Hyperlink"/>
          </w:rPr>
          <w:t>h</w:t>
        </w:r>
        <w:r w:rsidRPr="00983ACD">
          <w:rPr>
            <w:rStyle w:val="Hyperlink"/>
          </w:rPr>
          <w:t>.gov/articles/PMC10810293</w:t>
        </w:r>
      </w:hyperlink>
    </w:p>
    <w:p w14:paraId="11E961C5" w14:textId="0CB13E66" w:rsidR="00983ACD" w:rsidRPr="00983ACD" w:rsidRDefault="00983ACD" w:rsidP="00983ACD">
      <w:pPr>
        <w:pStyle w:val="ListParagraph"/>
        <w:numPr>
          <w:ilvl w:val="0"/>
          <w:numId w:val="2"/>
        </w:numPr>
      </w:pPr>
      <w:r w:rsidRPr="00983ACD">
        <w:t>UnitedHealth/Optum vertical integration discussion. YouTube. Retrieved from </w:t>
      </w:r>
      <w:hyperlink r:id="rId9" w:history="1">
        <w:r w:rsidRPr="00983ACD">
          <w:rPr>
            <w:rStyle w:val="Hyperlink"/>
          </w:rPr>
          <w:t>https://www.youtube.com/watch?v=Buv_mijy82E</w:t>
        </w:r>
      </w:hyperlink>
    </w:p>
    <w:p w14:paraId="41586DA7" w14:textId="21999750" w:rsidR="00983ACD" w:rsidRPr="00983ACD" w:rsidRDefault="00983ACD" w:rsidP="00983ACD">
      <w:pPr>
        <w:pStyle w:val="ListParagraph"/>
        <w:numPr>
          <w:ilvl w:val="0"/>
          <w:numId w:val="2"/>
        </w:numPr>
      </w:pPr>
      <w:r w:rsidRPr="00983ACD">
        <w:t>Medicare/health policy overview. YouTube. Retrieved from </w:t>
      </w:r>
      <w:hyperlink r:id="rId10" w:history="1">
        <w:r w:rsidRPr="00983ACD">
          <w:rPr>
            <w:rStyle w:val="Hyperlink"/>
          </w:rPr>
          <w:t>https://www</w:t>
        </w:r>
        <w:r w:rsidRPr="00983ACD">
          <w:rPr>
            <w:rStyle w:val="Hyperlink"/>
          </w:rPr>
          <w:t>.</w:t>
        </w:r>
        <w:r w:rsidRPr="00983ACD">
          <w:rPr>
            <w:rStyle w:val="Hyperlink"/>
          </w:rPr>
          <w:t>youtube.com/watch?v=693XQSujAh8</w:t>
        </w:r>
      </w:hyperlink>
    </w:p>
    <w:p w14:paraId="16CE0B2F" w14:textId="3ACDE841" w:rsidR="00983ACD" w:rsidRPr="00983ACD" w:rsidRDefault="00C10087" w:rsidP="00983ACD">
      <w:pPr>
        <w:pStyle w:val="ListParagraph"/>
        <w:numPr>
          <w:ilvl w:val="0"/>
          <w:numId w:val="2"/>
        </w:numPr>
      </w:pPr>
      <w:r w:rsidRPr="00C10087">
        <w:t xml:space="preserve">Song Z, Ji Y, Safran DG, </w:t>
      </w:r>
      <w:proofErr w:type="spellStart"/>
      <w:r w:rsidRPr="00C10087">
        <w:t>Chernew</w:t>
      </w:r>
      <w:proofErr w:type="spellEnd"/>
      <w:r w:rsidRPr="00C10087">
        <w:t xml:space="preserve"> ME. Health care spending, utilization, and quality 8 years into global payment. </w:t>
      </w:r>
      <w:r w:rsidRPr="00C10087">
        <w:rPr>
          <w:i/>
          <w:iCs/>
        </w:rPr>
        <w:t>N Engl J Med</w:t>
      </w:r>
      <w:r w:rsidRPr="00C10087">
        <w:t xml:space="preserve">. 2019;381(3):252-263. doi:10.1056/NEJMsa1813621. </w:t>
      </w:r>
      <w:r w:rsidRPr="00983ACD">
        <w:t>Retrieved from</w:t>
      </w:r>
      <w:r w:rsidRPr="00C10087">
        <w:t xml:space="preserve"> </w:t>
      </w:r>
      <w:hyperlink r:id="rId11" w:history="1">
        <w:r>
          <w:rPr>
            <w:rStyle w:val="Hyperlink"/>
          </w:rPr>
          <w:t>https://www.nejm.or</w:t>
        </w:r>
        <w:r>
          <w:rPr>
            <w:rStyle w:val="Hyperlink"/>
          </w:rPr>
          <w:t>g</w:t>
        </w:r>
        <w:r>
          <w:rPr>
            <w:rStyle w:val="Hyperlink"/>
          </w:rPr>
          <w:t>/doi/full/10.1056/nejmsa1813621</w:t>
        </w:r>
      </w:hyperlink>
    </w:p>
    <w:p w14:paraId="0C50E923" w14:textId="78E92623" w:rsidR="00F52C6D" w:rsidRDefault="00F52C6D" w:rsidP="00983ACD">
      <w:pPr>
        <w:pStyle w:val="ListParagraph"/>
        <w:ind w:left="360"/>
      </w:pPr>
    </w:p>
    <w:sectPr w:rsidR="00F52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C3B67"/>
    <w:multiLevelType w:val="hybridMultilevel"/>
    <w:tmpl w:val="48CC2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A056C87"/>
    <w:multiLevelType w:val="hybridMultilevel"/>
    <w:tmpl w:val="6838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7033">
    <w:abstractNumId w:val="1"/>
  </w:num>
  <w:num w:numId="2" w16cid:durableId="165880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7E"/>
    <w:rsid w:val="000052E6"/>
    <w:rsid w:val="00012DEF"/>
    <w:rsid w:val="00027A41"/>
    <w:rsid w:val="0004530F"/>
    <w:rsid w:val="00055BCB"/>
    <w:rsid w:val="00075048"/>
    <w:rsid w:val="00096CBE"/>
    <w:rsid w:val="000F12C4"/>
    <w:rsid w:val="00142E37"/>
    <w:rsid w:val="00151C87"/>
    <w:rsid w:val="001528B5"/>
    <w:rsid w:val="00163305"/>
    <w:rsid w:val="0018097D"/>
    <w:rsid w:val="001A68BA"/>
    <w:rsid w:val="001B09F3"/>
    <w:rsid w:val="001B5E7D"/>
    <w:rsid w:val="001E2B2E"/>
    <w:rsid w:val="002035C7"/>
    <w:rsid w:val="002378C1"/>
    <w:rsid w:val="002843E1"/>
    <w:rsid w:val="00294D78"/>
    <w:rsid w:val="002B0E3E"/>
    <w:rsid w:val="002B14F9"/>
    <w:rsid w:val="00304EBF"/>
    <w:rsid w:val="00315DC0"/>
    <w:rsid w:val="00321762"/>
    <w:rsid w:val="00334712"/>
    <w:rsid w:val="00337EF9"/>
    <w:rsid w:val="00374A07"/>
    <w:rsid w:val="00383820"/>
    <w:rsid w:val="003D21FA"/>
    <w:rsid w:val="003E452C"/>
    <w:rsid w:val="003E7471"/>
    <w:rsid w:val="003F3EF5"/>
    <w:rsid w:val="00412165"/>
    <w:rsid w:val="00444D65"/>
    <w:rsid w:val="00481C98"/>
    <w:rsid w:val="0054736C"/>
    <w:rsid w:val="00557FEF"/>
    <w:rsid w:val="00590D9E"/>
    <w:rsid w:val="005B785A"/>
    <w:rsid w:val="00620146"/>
    <w:rsid w:val="00620A5B"/>
    <w:rsid w:val="00626F11"/>
    <w:rsid w:val="006D0F5D"/>
    <w:rsid w:val="006D7D9D"/>
    <w:rsid w:val="006F2270"/>
    <w:rsid w:val="006F5228"/>
    <w:rsid w:val="00726E8F"/>
    <w:rsid w:val="007366D0"/>
    <w:rsid w:val="00742C46"/>
    <w:rsid w:val="007A2CD8"/>
    <w:rsid w:val="007A73E2"/>
    <w:rsid w:val="007B3501"/>
    <w:rsid w:val="007C1B9D"/>
    <w:rsid w:val="00823DE8"/>
    <w:rsid w:val="00844311"/>
    <w:rsid w:val="00845C48"/>
    <w:rsid w:val="008C326A"/>
    <w:rsid w:val="008C56F0"/>
    <w:rsid w:val="00921FE3"/>
    <w:rsid w:val="00935A32"/>
    <w:rsid w:val="00941930"/>
    <w:rsid w:val="009605D7"/>
    <w:rsid w:val="00975BFA"/>
    <w:rsid w:val="00983ACD"/>
    <w:rsid w:val="00983DA7"/>
    <w:rsid w:val="009C63EB"/>
    <w:rsid w:val="009D74DB"/>
    <w:rsid w:val="00A318A6"/>
    <w:rsid w:val="00A56DD4"/>
    <w:rsid w:val="00A87C24"/>
    <w:rsid w:val="00AA4E7E"/>
    <w:rsid w:val="00AA55F2"/>
    <w:rsid w:val="00B02949"/>
    <w:rsid w:val="00B16412"/>
    <w:rsid w:val="00B67299"/>
    <w:rsid w:val="00B83B34"/>
    <w:rsid w:val="00B97D38"/>
    <w:rsid w:val="00BC0BE3"/>
    <w:rsid w:val="00BC2EFF"/>
    <w:rsid w:val="00BE26D9"/>
    <w:rsid w:val="00BE754B"/>
    <w:rsid w:val="00BF7CAB"/>
    <w:rsid w:val="00C00286"/>
    <w:rsid w:val="00C00546"/>
    <w:rsid w:val="00C10087"/>
    <w:rsid w:val="00C10C08"/>
    <w:rsid w:val="00C16575"/>
    <w:rsid w:val="00C44750"/>
    <w:rsid w:val="00C46499"/>
    <w:rsid w:val="00C467D8"/>
    <w:rsid w:val="00C60EAE"/>
    <w:rsid w:val="00C76DF9"/>
    <w:rsid w:val="00C80693"/>
    <w:rsid w:val="00CC1C71"/>
    <w:rsid w:val="00CC378D"/>
    <w:rsid w:val="00D061E7"/>
    <w:rsid w:val="00D1787D"/>
    <w:rsid w:val="00D44911"/>
    <w:rsid w:val="00D511F4"/>
    <w:rsid w:val="00D731FB"/>
    <w:rsid w:val="00D76E53"/>
    <w:rsid w:val="00DE4FF9"/>
    <w:rsid w:val="00DF279A"/>
    <w:rsid w:val="00DF6F4E"/>
    <w:rsid w:val="00E26008"/>
    <w:rsid w:val="00E30900"/>
    <w:rsid w:val="00E503FE"/>
    <w:rsid w:val="00E578DF"/>
    <w:rsid w:val="00E61C40"/>
    <w:rsid w:val="00EC429C"/>
    <w:rsid w:val="00EE19F8"/>
    <w:rsid w:val="00F467E4"/>
    <w:rsid w:val="00F52C6D"/>
    <w:rsid w:val="00F53047"/>
    <w:rsid w:val="00F577C1"/>
    <w:rsid w:val="00F70845"/>
    <w:rsid w:val="00F90CAA"/>
    <w:rsid w:val="00FA5166"/>
    <w:rsid w:val="00FC0C08"/>
    <w:rsid w:val="00FD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3169"/>
  <w15:chartTrackingRefBased/>
  <w15:docId w15:val="{86105C86-B7AA-4B3E-BD0A-D24B749F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E7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A4E7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4E7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4E7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4E7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4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7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A4E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4E7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4E7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4E7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4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E7E"/>
    <w:rPr>
      <w:rFonts w:eastAsiaTheme="majorEastAsia" w:cstheme="majorBidi"/>
      <w:color w:val="272727" w:themeColor="text1" w:themeTint="D8"/>
    </w:rPr>
  </w:style>
  <w:style w:type="paragraph" w:styleId="Title">
    <w:name w:val="Title"/>
    <w:basedOn w:val="Normal"/>
    <w:next w:val="Normal"/>
    <w:link w:val="TitleChar"/>
    <w:uiPriority w:val="10"/>
    <w:qFormat/>
    <w:rsid w:val="00AA4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E7E"/>
    <w:pPr>
      <w:spacing w:before="160"/>
      <w:jc w:val="center"/>
    </w:pPr>
    <w:rPr>
      <w:i/>
      <w:iCs/>
      <w:color w:val="404040" w:themeColor="text1" w:themeTint="BF"/>
    </w:rPr>
  </w:style>
  <w:style w:type="character" w:customStyle="1" w:styleId="QuoteChar">
    <w:name w:val="Quote Char"/>
    <w:basedOn w:val="DefaultParagraphFont"/>
    <w:link w:val="Quote"/>
    <w:uiPriority w:val="29"/>
    <w:rsid w:val="00AA4E7E"/>
    <w:rPr>
      <w:i/>
      <w:iCs/>
      <w:color w:val="404040" w:themeColor="text1" w:themeTint="BF"/>
    </w:rPr>
  </w:style>
  <w:style w:type="paragraph" w:styleId="ListParagraph">
    <w:name w:val="List Paragraph"/>
    <w:basedOn w:val="Normal"/>
    <w:uiPriority w:val="34"/>
    <w:qFormat/>
    <w:rsid w:val="00AA4E7E"/>
    <w:pPr>
      <w:ind w:left="720"/>
      <w:contextualSpacing/>
    </w:pPr>
  </w:style>
  <w:style w:type="character" w:styleId="IntenseEmphasis">
    <w:name w:val="Intense Emphasis"/>
    <w:basedOn w:val="DefaultParagraphFont"/>
    <w:uiPriority w:val="21"/>
    <w:qFormat/>
    <w:rsid w:val="00AA4E7E"/>
    <w:rPr>
      <w:i/>
      <w:iCs/>
      <w:color w:val="2E74B5" w:themeColor="accent1" w:themeShade="BF"/>
    </w:rPr>
  </w:style>
  <w:style w:type="paragraph" w:styleId="IntenseQuote">
    <w:name w:val="Intense Quote"/>
    <w:basedOn w:val="Normal"/>
    <w:next w:val="Normal"/>
    <w:link w:val="IntenseQuoteChar"/>
    <w:uiPriority w:val="30"/>
    <w:qFormat/>
    <w:rsid w:val="00AA4E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4E7E"/>
    <w:rPr>
      <w:i/>
      <w:iCs/>
      <w:color w:val="2E74B5" w:themeColor="accent1" w:themeShade="BF"/>
    </w:rPr>
  </w:style>
  <w:style w:type="character" w:styleId="IntenseReference">
    <w:name w:val="Intense Reference"/>
    <w:basedOn w:val="DefaultParagraphFont"/>
    <w:uiPriority w:val="32"/>
    <w:qFormat/>
    <w:rsid w:val="00AA4E7E"/>
    <w:rPr>
      <w:b/>
      <w:bCs/>
      <w:smallCaps/>
      <w:color w:val="2E74B5" w:themeColor="accent1" w:themeShade="BF"/>
      <w:spacing w:val="5"/>
    </w:rPr>
  </w:style>
  <w:style w:type="character" w:styleId="Hyperlink">
    <w:name w:val="Hyperlink"/>
    <w:basedOn w:val="DefaultParagraphFont"/>
    <w:uiPriority w:val="99"/>
    <w:unhideWhenUsed/>
    <w:rsid w:val="00F52C6D"/>
    <w:rPr>
      <w:color w:val="0563C1" w:themeColor="hyperlink"/>
      <w:u w:val="single"/>
    </w:rPr>
  </w:style>
  <w:style w:type="character" w:styleId="UnresolvedMention">
    <w:name w:val="Unresolved Mention"/>
    <w:basedOn w:val="DefaultParagraphFont"/>
    <w:uiPriority w:val="99"/>
    <w:semiHidden/>
    <w:unhideWhenUsed/>
    <w:rsid w:val="00F52C6D"/>
    <w:rPr>
      <w:color w:val="605E5C"/>
      <w:shd w:val="clear" w:color="auto" w:fill="E1DFDD"/>
    </w:rPr>
  </w:style>
  <w:style w:type="character" w:styleId="FollowedHyperlink">
    <w:name w:val="FollowedHyperlink"/>
    <w:basedOn w:val="DefaultParagraphFont"/>
    <w:uiPriority w:val="99"/>
    <w:semiHidden/>
    <w:unhideWhenUsed/>
    <w:rsid w:val="009C63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5123">
      <w:bodyDiv w:val="1"/>
      <w:marLeft w:val="0"/>
      <w:marRight w:val="0"/>
      <w:marTop w:val="0"/>
      <w:marBottom w:val="0"/>
      <w:divBdr>
        <w:top w:val="none" w:sz="0" w:space="0" w:color="auto"/>
        <w:left w:val="none" w:sz="0" w:space="0" w:color="auto"/>
        <w:bottom w:val="none" w:sz="0" w:space="0" w:color="auto"/>
        <w:right w:val="none" w:sz="0" w:space="0" w:color="auto"/>
      </w:divBdr>
    </w:div>
    <w:div w:id="176311711">
      <w:bodyDiv w:val="1"/>
      <w:marLeft w:val="0"/>
      <w:marRight w:val="0"/>
      <w:marTop w:val="0"/>
      <w:marBottom w:val="0"/>
      <w:divBdr>
        <w:top w:val="none" w:sz="0" w:space="0" w:color="auto"/>
        <w:left w:val="none" w:sz="0" w:space="0" w:color="auto"/>
        <w:bottom w:val="none" w:sz="0" w:space="0" w:color="auto"/>
        <w:right w:val="none" w:sz="0" w:space="0" w:color="auto"/>
      </w:divBdr>
    </w:div>
    <w:div w:id="218320671">
      <w:bodyDiv w:val="1"/>
      <w:marLeft w:val="0"/>
      <w:marRight w:val="0"/>
      <w:marTop w:val="0"/>
      <w:marBottom w:val="0"/>
      <w:divBdr>
        <w:top w:val="none" w:sz="0" w:space="0" w:color="auto"/>
        <w:left w:val="none" w:sz="0" w:space="0" w:color="auto"/>
        <w:bottom w:val="none" w:sz="0" w:space="0" w:color="auto"/>
        <w:right w:val="none" w:sz="0" w:space="0" w:color="auto"/>
      </w:divBdr>
    </w:div>
    <w:div w:id="260603881">
      <w:bodyDiv w:val="1"/>
      <w:marLeft w:val="0"/>
      <w:marRight w:val="0"/>
      <w:marTop w:val="0"/>
      <w:marBottom w:val="0"/>
      <w:divBdr>
        <w:top w:val="none" w:sz="0" w:space="0" w:color="auto"/>
        <w:left w:val="none" w:sz="0" w:space="0" w:color="auto"/>
        <w:bottom w:val="none" w:sz="0" w:space="0" w:color="auto"/>
        <w:right w:val="none" w:sz="0" w:space="0" w:color="auto"/>
      </w:divBdr>
    </w:div>
    <w:div w:id="358506944">
      <w:bodyDiv w:val="1"/>
      <w:marLeft w:val="0"/>
      <w:marRight w:val="0"/>
      <w:marTop w:val="0"/>
      <w:marBottom w:val="0"/>
      <w:divBdr>
        <w:top w:val="none" w:sz="0" w:space="0" w:color="auto"/>
        <w:left w:val="none" w:sz="0" w:space="0" w:color="auto"/>
        <w:bottom w:val="none" w:sz="0" w:space="0" w:color="auto"/>
        <w:right w:val="none" w:sz="0" w:space="0" w:color="auto"/>
      </w:divBdr>
    </w:div>
    <w:div w:id="605430792">
      <w:bodyDiv w:val="1"/>
      <w:marLeft w:val="0"/>
      <w:marRight w:val="0"/>
      <w:marTop w:val="0"/>
      <w:marBottom w:val="0"/>
      <w:divBdr>
        <w:top w:val="none" w:sz="0" w:space="0" w:color="auto"/>
        <w:left w:val="none" w:sz="0" w:space="0" w:color="auto"/>
        <w:bottom w:val="none" w:sz="0" w:space="0" w:color="auto"/>
        <w:right w:val="none" w:sz="0" w:space="0" w:color="auto"/>
      </w:divBdr>
    </w:div>
    <w:div w:id="842276846">
      <w:bodyDiv w:val="1"/>
      <w:marLeft w:val="0"/>
      <w:marRight w:val="0"/>
      <w:marTop w:val="0"/>
      <w:marBottom w:val="0"/>
      <w:divBdr>
        <w:top w:val="none" w:sz="0" w:space="0" w:color="auto"/>
        <w:left w:val="none" w:sz="0" w:space="0" w:color="auto"/>
        <w:bottom w:val="none" w:sz="0" w:space="0" w:color="auto"/>
        <w:right w:val="none" w:sz="0" w:space="0" w:color="auto"/>
      </w:divBdr>
    </w:div>
    <w:div w:id="1010061644">
      <w:bodyDiv w:val="1"/>
      <w:marLeft w:val="0"/>
      <w:marRight w:val="0"/>
      <w:marTop w:val="0"/>
      <w:marBottom w:val="0"/>
      <w:divBdr>
        <w:top w:val="none" w:sz="0" w:space="0" w:color="auto"/>
        <w:left w:val="none" w:sz="0" w:space="0" w:color="auto"/>
        <w:bottom w:val="none" w:sz="0" w:space="0" w:color="auto"/>
        <w:right w:val="none" w:sz="0" w:space="0" w:color="auto"/>
      </w:divBdr>
    </w:div>
    <w:div w:id="1031959910">
      <w:bodyDiv w:val="1"/>
      <w:marLeft w:val="0"/>
      <w:marRight w:val="0"/>
      <w:marTop w:val="0"/>
      <w:marBottom w:val="0"/>
      <w:divBdr>
        <w:top w:val="none" w:sz="0" w:space="0" w:color="auto"/>
        <w:left w:val="none" w:sz="0" w:space="0" w:color="auto"/>
        <w:bottom w:val="none" w:sz="0" w:space="0" w:color="auto"/>
        <w:right w:val="none" w:sz="0" w:space="0" w:color="auto"/>
      </w:divBdr>
    </w:div>
    <w:div w:id="1088312311">
      <w:bodyDiv w:val="1"/>
      <w:marLeft w:val="0"/>
      <w:marRight w:val="0"/>
      <w:marTop w:val="0"/>
      <w:marBottom w:val="0"/>
      <w:divBdr>
        <w:top w:val="none" w:sz="0" w:space="0" w:color="auto"/>
        <w:left w:val="none" w:sz="0" w:space="0" w:color="auto"/>
        <w:bottom w:val="none" w:sz="0" w:space="0" w:color="auto"/>
        <w:right w:val="none" w:sz="0" w:space="0" w:color="auto"/>
      </w:divBdr>
    </w:div>
    <w:div w:id="1151676754">
      <w:bodyDiv w:val="1"/>
      <w:marLeft w:val="0"/>
      <w:marRight w:val="0"/>
      <w:marTop w:val="0"/>
      <w:marBottom w:val="0"/>
      <w:divBdr>
        <w:top w:val="none" w:sz="0" w:space="0" w:color="auto"/>
        <w:left w:val="none" w:sz="0" w:space="0" w:color="auto"/>
        <w:bottom w:val="none" w:sz="0" w:space="0" w:color="auto"/>
        <w:right w:val="none" w:sz="0" w:space="0" w:color="auto"/>
      </w:divBdr>
    </w:div>
    <w:div w:id="1180850657">
      <w:bodyDiv w:val="1"/>
      <w:marLeft w:val="0"/>
      <w:marRight w:val="0"/>
      <w:marTop w:val="0"/>
      <w:marBottom w:val="0"/>
      <w:divBdr>
        <w:top w:val="none" w:sz="0" w:space="0" w:color="auto"/>
        <w:left w:val="none" w:sz="0" w:space="0" w:color="auto"/>
        <w:bottom w:val="none" w:sz="0" w:space="0" w:color="auto"/>
        <w:right w:val="none" w:sz="0" w:space="0" w:color="auto"/>
      </w:divBdr>
    </w:div>
    <w:div w:id="1181705200">
      <w:bodyDiv w:val="1"/>
      <w:marLeft w:val="0"/>
      <w:marRight w:val="0"/>
      <w:marTop w:val="0"/>
      <w:marBottom w:val="0"/>
      <w:divBdr>
        <w:top w:val="none" w:sz="0" w:space="0" w:color="auto"/>
        <w:left w:val="none" w:sz="0" w:space="0" w:color="auto"/>
        <w:bottom w:val="none" w:sz="0" w:space="0" w:color="auto"/>
        <w:right w:val="none" w:sz="0" w:space="0" w:color="auto"/>
      </w:divBdr>
    </w:div>
    <w:div w:id="1385135345">
      <w:bodyDiv w:val="1"/>
      <w:marLeft w:val="0"/>
      <w:marRight w:val="0"/>
      <w:marTop w:val="0"/>
      <w:marBottom w:val="0"/>
      <w:divBdr>
        <w:top w:val="none" w:sz="0" w:space="0" w:color="auto"/>
        <w:left w:val="none" w:sz="0" w:space="0" w:color="auto"/>
        <w:bottom w:val="none" w:sz="0" w:space="0" w:color="auto"/>
        <w:right w:val="none" w:sz="0" w:space="0" w:color="auto"/>
      </w:divBdr>
    </w:div>
    <w:div w:id="1578711491">
      <w:bodyDiv w:val="1"/>
      <w:marLeft w:val="0"/>
      <w:marRight w:val="0"/>
      <w:marTop w:val="0"/>
      <w:marBottom w:val="0"/>
      <w:divBdr>
        <w:top w:val="none" w:sz="0" w:space="0" w:color="auto"/>
        <w:left w:val="none" w:sz="0" w:space="0" w:color="auto"/>
        <w:bottom w:val="none" w:sz="0" w:space="0" w:color="auto"/>
        <w:right w:val="none" w:sz="0" w:space="0" w:color="auto"/>
      </w:divBdr>
    </w:div>
    <w:div w:id="1587112798">
      <w:bodyDiv w:val="1"/>
      <w:marLeft w:val="0"/>
      <w:marRight w:val="0"/>
      <w:marTop w:val="0"/>
      <w:marBottom w:val="0"/>
      <w:divBdr>
        <w:top w:val="none" w:sz="0" w:space="0" w:color="auto"/>
        <w:left w:val="none" w:sz="0" w:space="0" w:color="auto"/>
        <w:bottom w:val="none" w:sz="0" w:space="0" w:color="auto"/>
        <w:right w:val="none" w:sz="0" w:space="0" w:color="auto"/>
      </w:divBdr>
    </w:div>
    <w:div w:id="1748068998">
      <w:bodyDiv w:val="1"/>
      <w:marLeft w:val="0"/>
      <w:marRight w:val="0"/>
      <w:marTop w:val="0"/>
      <w:marBottom w:val="0"/>
      <w:divBdr>
        <w:top w:val="none" w:sz="0" w:space="0" w:color="auto"/>
        <w:left w:val="none" w:sz="0" w:space="0" w:color="auto"/>
        <w:bottom w:val="none" w:sz="0" w:space="0" w:color="auto"/>
        <w:right w:val="none" w:sz="0" w:space="0" w:color="auto"/>
      </w:divBdr>
    </w:div>
    <w:div w:id="1819102918">
      <w:bodyDiv w:val="1"/>
      <w:marLeft w:val="0"/>
      <w:marRight w:val="0"/>
      <w:marTop w:val="0"/>
      <w:marBottom w:val="0"/>
      <w:divBdr>
        <w:top w:val="none" w:sz="0" w:space="0" w:color="auto"/>
        <w:left w:val="none" w:sz="0" w:space="0" w:color="auto"/>
        <w:bottom w:val="none" w:sz="0" w:space="0" w:color="auto"/>
        <w:right w:val="none" w:sz="0" w:space="0" w:color="auto"/>
      </w:divBdr>
    </w:div>
    <w:div w:id="1852330145">
      <w:bodyDiv w:val="1"/>
      <w:marLeft w:val="0"/>
      <w:marRight w:val="0"/>
      <w:marTop w:val="0"/>
      <w:marBottom w:val="0"/>
      <w:divBdr>
        <w:top w:val="none" w:sz="0" w:space="0" w:color="auto"/>
        <w:left w:val="none" w:sz="0" w:space="0" w:color="auto"/>
        <w:bottom w:val="none" w:sz="0" w:space="0" w:color="auto"/>
        <w:right w:val="none" w:sz="0" w:space="0" w:color="auto"/>
      </w:divBdr>
    </w:div>
    <w:div w:id="206629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81029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amanetwork.com/journals/jamainternalmedicine/fullarticle/185709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MicrosoftVSCode/0958016b2a/resources/app/out/vs/code/electron-browser/workbench/workbench.html" TargetMode="External"/><Relationship Id="rId11" Type="http://schemas.openxmlformats.org/officeDocument/2006/relationships/hyperlink" Target="https://www.nejm.org/doi/full/10.1056/nejmsa1813621" TargetMode="External"/><Relationship Id="rId5" Type="http://schemas.openxmlformats.org/officeDocument/2006/relationships/hyperlink" Target="https://www.nejm.org/doi/10.1056/NEJMp2021701" TargetMode="External"/><Relationship Id="rId10" Type="http://schemas.openxmlformats.org/officeDocument/2006/relationships/hyperlink" Target="https://www.youtube.com/watch?v=693XQSujAh8" TargetMode="External"/><Relationship Id="rId4" Type="http://schemas.openxmlformats.org/officeDocument/2006/relationships/webSettings" Target="webSettings.xml"/><Relationship Id="rId9" Type="http://schemas.openxmlformats.org/officeDocument/2006/relationships/hyperlink" Target="https://www.youtube.com/watch?v=Buv_mijy8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3</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22</cp:revision>
  <dcterms:created xsi:type="dcterms:W3CDTF">2026-06-16T22:17:00Z</dcterms:created>
  <dcterms:modified xsi:type="dcterms:W3CDTF">2026-06-17T09:08:00Z</dcterms:modified>
</cp:coreProperties>
</file>