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3FE3E" w14:textId="1F69D9BA" w:rsidR="002035C7" w:rsidRDefault="004B43A3">
      <w:r w:rsidRPr="004B43A3">
        <w:t>Pick a patient right you learned about in class and write about why it is important. To support your post, do research to find at least one example of where the right was followed by a health care organization and thoroughly analyze how this right was followed. Consider what the health organization did to comply with the right. Then find an example and analyze why the right was not followed and give a suggestion on how the right could have been better complied with.</w:t>
      </w:r>
    </w:p>
    <w:p w14:paraId="38929D5E" w14:textId="77777777" w:rsidR="00DB3516" w:rsidRDefault="00DB3516"/>
    <w:p w14:paraId="2A44E71A" w14:textId="77777777" w:rsidR="00DB3516" w:rsidRPr="00DB3516" w:rsidRDefault="00DB3516" w:rsidP="00DB3516">
      <w:pPr>
        <w:numPr>
          <w:ilvl w:val="0"/>
          <w:numId w:val="1"/>
        </w:numPr>
      </w:pPr>
      <w:r w:rsidRPr="00DB3516">
        <w:t>Provider and Payers have responsibility to inform patients of rights and how to exercise rights</w:t>
      </w:r>
    </w:p>
    <w:p w14:paraId="30628BDD" w14:textId="77777777" w:rsidR="00DB3516" w:rsidRPr="00DB3516" w:rsidRDefault="00DB3516" w:rsidP="00DB3516">
      <w:pPr>
        <w:numPr>
          <w:ilvl w:val="0"/>
          <w:numId w:val="1"/>
        </w:numPr>
      </w:pPr>
      <w:r w:rsidRPr="00DB3516">
        <w:t>Inpatients shall be given information at admission.</w:t>
      </w:r>
    </w:p>
    <w:p w14:paraId="4F9C78B2" w14:textId="77777777" w:rsidR="00DB3516" w:rsidRPr="00DB3516" w:rsidRDefault="00DB3516" w:rsidP="00DB3516">
      <w:pPr>
        <w:numPr>
          <w:ilvl w:val="0"/>
          <w:numId w:val="1"/>
        </w:numPr>
      </w:pPr>
      <w:r w:rsidRPr="00DB3516">
        <w:t>Outpatients will be given information at their first registration.</w:t>
      </w:r>
    </w:p>
    <w:p w14:paraId="40CF3595" w14:textId="77777777" w:rsidR="00DB3516" w:rsidRDefault="00DB3516" w:rsidP="00DB3516">
      <w:pPr>
        <w:numPr>
          <w:ilvl w:val="0"/>
          <w:numId w:val="1"/>
        </w:numPr>
      </w:pPr>
      <w:r w:rsidRPr="00DB3516">
        <w:t>Insurance plans upon enrollment</w:t>
      </w:r>
    </w:p>
    <w:p w14:paraId="4F9164CB" w14:textId="77777777" w:rsidR="00DB3516" w:rsidRDefault="00DB3516" w:rsidP="007769B9"/>
    <w:p w14:paraId="06F06B70" w14:textId="07434AAB" w:rsidR="004171FA" w:rsidRDefault="0033321F" w:rsidP="00BD3754">
      <w:pPr>
        <w:ind w:firstLine="360"/>
      </w:pPr>
      <w:r w:rsidRPr="0033321F">
        <w:t>A patient's right to an accounting of disclosures is an important HIPAA privacy right</w:t>
      </w:r>
      <w:r w:rsidR="00AA3EE4">
        <w:t xml:space="preserve"> t</w:t>
      </w:r>
      <w:r w:rsidR="00733E78">
        <w:t>hat</w:t>
      </w:r>
      <w:r w:rsidR="00AA3EE4">
        <w:t xml:space="preserve"> </w:t>
      </w:r>
      <w:r w:rsidRPr="0033321F">
        <w:t>help</w:t>
      </w:r>
      <w:r w:rsidR="00733E78">
        <w:t>s</w:t>
      </w:r>
      <w:r w:rsidR="00AA3EE4">
        <w:t xml:space="preserve"> </w:t>
      </w:r>
      <w:r w:rsidR="00607385">
        <w:t>protect patient</w:t>
      </w:r>
      <w:r w:rsidR="002C709D">
        <w:t xml:space="preserve"> </w:t>
      </w:r>
      <w:r w:rsidRPr="0033321F">
        <w:t>health information (PHI)</w:t>
      </w:r>
      <w:r>
        <w:t xml:space="preserve">. </w:t>
      </w:r>
      <w:r w:rsidR="007769B9">
        <w:t xml:space="preserve">This </w:t>
      </w:r>
      <w:r w:rsidR="00F97A1B">
        <w:t>right allows</w:t>
      </w:r>
      <w:r w:rsidR="007769B9">
        <w:t xml:space="preserve"> patient</w:t>
      </w:r>
      <w:r w:rsidR="007F449E">
        <w:t>s</w:t>
      </w:r>
      <w:r w:rsidR="007769B9">
        <w:t xml:space="preserve"> to re</w:t>
      </w:r>
      <w:r w:rsidR="00F97A1B">
        <w:t>quest</w:t>
      </w:r>
      <w:r w:rsidR="007F449E">
        <w:t xml:space="preserve"> a</w:t>
      </w:r>
      <w:r w:rsidR="007769B9">
        <w:t xml:space="preserve"> </w:t>
      </w:r>
      <w:r w:rsidR="00F97A1B">
        <w:t xml:space="preserve">record of </w:t>
      </w:r>
      <w:r w:rsidR="007F449E">
        <w:t xml:space="preserve">certain </w:t>
      </w:r>
      <w:r w:rsidR="00F97A1B">
        <w:t xml:space="preserve">disclosures of their </w:t>
      </w:r>
      <w:r w:rsidR="00533622">
        <w:t>PHI</w:t>
      </w:r>
      <w:r w:rsidR="00F97A1B">
        <w:t xml:space="preserve">, including the date of </w:t>
      </w:r>
      <w:r w:rsidR="009D40B9">
        <w:t xml:space="preserve">the </w:t>
      </w:r>
      <w:r w:rsidR="00F97A1B">
        <w:t>disclosure, the</w:t>
      </w:r>
      <w:r w:rsidR="000A1188">
        <w:t xml:space="preserve"> </w:t>
      </w:r>
      <w:r w:rsidR="00BD3754">
        <w:t>recipien</w:t>
      </w:r>
      <w:r w:rsidR="0031296B">
        <w:t>t</w:t>
      </w:r>
      <w:r w:rsidR="00F97A1B">
        <w:t xml:space="preserve">, and </w:t>
      </w:r>
      <w:r w:rsidR="00D97F3F">
        <w:t xml:space="preserve">the </w:t>
      </w:r>
      <w:r w:rsidR="007769B9">
        <w:t>purpose</w:t>
      </w:r>
      <w:r w:rsidR="00F97A1B">
        <w:t xml:space="preserve"> of </w:t>
      </w:r>
      <w:r w:rsidR="007F449E">
        <w:t xml:space="preserve">the </w:t>
      </w:r>
      <w:r w:rsidR="00F97A1B">
        <w:t>disclosure</w:t>
      </w:r>
      <w:r w:rsidR="007769B9">
        <w:t>.</w:t>
      </w:r>
      <w:r w:rsidR="00875B75">
        <w:t xml:space="preserve"> </w:t>
      </w:r>
      <w:r w:rsidR="001F1F26">
        <w:t>To prevent misuse</w:t>
      </w:r>
      <w:r>
        <w:t>,</w:t>
      </w:r>
      <w:r w:rsidR="001F1F26">
        <w:t xml:space="preserve"> HIPAA </w:t>
      </w:r>
      <w:r>
        <w:t xml:space="preserve">limits the disclosure of </w:t>
      </w:r>
      <w:r w:rsidR="00B36577">
        <w:t>PHI</w:t>
      </w:r>
      <w:r>
        <w:t xml:space="preserve"> by c</w:t>
      </w:r>
      <w:r w:rsidR="001F1F26">
        <w:t xml:space="preserve">overed </w:t>
      </w:r>
      <w:r w:rsidR="00D97F3F">
        <w:t>entit</w:t>
      </w:r>
      <w:r w:rsidR="00C408F9">
        <w:t>ies</w:t>
      </w:r>
      <w:r w:rsidR="001F1F26">
        <w:t xml:space="preserve"> (CE</w:t>
      </w:r>
      <w:r w:rsidR="00C408F9">
        <w:t>s</w:t>
      </w:r>
      <w:r w:rsidR="001F1F26">
        <w:t xml:space="preserve">) and </w:t>
      </w:r>
      <w:r>
        <w:t>b</w:t>
      </w:r>
      <w:r w:rsidR="001F1F26">
        <w:t xml:space="preserve">usiness </w:t>
      </w:r>
      <w:r>
        <w:t>a</w:t>
      </w:r>
      <w:r w:rsidR="001F1F26">
        <w:t>ssociate</w:t>
      </w:r>
      <w:r w:rsidR="00C408F9">
        <w:t>s</w:t>
      </w:r>
      <w:r w:rsidR="00D97F3F">
        <w:t xml:space="preserve"> </w:t>
      </w:r>
      <w:r w:rsidR="001F1F26">
        <w:t>(BA</w:t>
      </w:r>
      <w:r w:rsidR="00C408F9">
        <w:t>s</w:t>
      </w:r>
      <w:r w:rsidR="001F1F26">
        <w:t xml:space="preserve">) </w:t>
      </w:r>
      <w:r>
        <w:t xml:space="preserve">for </w:t>
      </w:r>
      <w:r w:rsidR="001F1F26">
        <w:t>treatment, payment, or healthcare operations</w:t>
      </w:r>
      <w:r>
        <w:t xml:space="preserve">, unless the patient provides additional authorization </w:t>
      </w:r>
      <w:r w:rsidR="001C729C">
        <w:t>(Rasmussen, 2023).</w:t>
      </w:r>
      <w:r w:rsidR="001F1F26">
        <w:t xml:space="preserve"> </w:t>
      </w:r>
    </w:p>
    <w:p w14:paraId="5E647228" w14:textId="02D1905A" w:rsidR="001F1F26" w:rsidRDefault="0033321F" w:rsidP="00BD3754">
      <w:pPr>
        <w:ind w:firstLine="360"/>
      </w:pPr>
      <w:r w:rsidRPr="0033321F">
        <w:t xml:space="preserve">The United States Office for Civil Rights (OCR) </w:t>
      </w:r>
      <w:r w:rsidR="001F0DE5">
        <w:t>announced</w:t>
      </w:r>
      <w:r w:rsidR="002E59BF">
        <w:t xml:space="preserve"> a</w:t>
      </w:r>
      <w:r w:rsidR="001F0DE5">
        <w:t xml:space="preserve"> </w:t>
      </w:r>
      <w:r w:rsidRPr="0033321F">
        <w:t xml:space="preserve">settlement with Holy Redeemer Family Medicine after the organization improperly disclosed a female patient's </w:t>
      </w:r>
      <w:r w:rsidR="00533622">
        <w:t>PHI</w:t>
      </w:r>
      <w:r w:rsidRPr="0033321F">
        <w:t xml:space="preserve"> to her prospective employer without authorization (New York State Dental Association, 2024). This violation could have been prevented </w:t>
      </w:r>
      <w:r w:rsidR="00853B51">
        <w:t xml:space="preserve">with </w:t>
      </w:r>
      <w:r w:rsidRPr="0033321F">
        <w:t xml:space="preserve">stronger administrative </w:t>
      </w:r>
      <w:r w:rsidR="00744C1C">
        <w:t xml:space="preserve">procedures </w:t>
      </w:r>
      <w:r w:rsidR="00F26FAE">
        <w:t>governing</w:t>
      </w:r>
      <w:r w:rsidR="00557F2B" w:rsidRPr="00557F2B">
        <w:t xml:space="preserve"> medical record releases. Instead of disclosing the patient’s complete medical history, Holy Redeemer should have verified the minimum necessary information</w:t>
      </w:r>
      <w:r w:rsidR="00056F91">
        <w:t xml:space="preserve"> and</w:t>
      </w:r>
      <w:r w:rsidR="00557F2B" w:rsidRPr="00557F2B">
        <w:t xml:space="preserve"> </w:t>
      </w:r>
      <w:r w:rsidR="00733E78">
        <w:t>obtain</w:t>
      </w:r>
      <w:r w:rsidR="00A375F4">
        <w:t>ed</w:t>
      </w:r>
      <w:r w:rsidR="00557F2B" w:rsidRPr="00557F2B">
        <w:t xml:space="preserve"> appropriate authorization</w:t>
      </w:r>
      <w:r w:rsidR="00056F91">
        <w:t>.</w:t>
      </w:r>
    </w:p>
    <w:p w14:paraId="5DB0D5D8" w14:textId="43B5EA80" w:rsidR="009D40B9" w:rsidRDefault="00EB50C7" w:rsidP="00BD3754">
      <w:pPr>
        <w:ind w:firstLine="360"/>
      </w:pPr>
      <w:r>
        <w:t xml:space="preserve">Privacy concerns also extend beyond </w:t>
      </w:r>
      <w:r w:rsidR="00557F2B">
        <w:t xml:space="preserve">traditional </w:t>
      </w:r>
      <w:r>
        <w:t xml:space="preserve">healthcare </w:t>
      </w:r>
      <w:r w:rsidR="00557F2B">
        <w:t>organizations</w:t>
      </w:r>
      <w:r>
        <w:t xml:space="preserve">. </w:t>
      </w:r>
      <w:r w:rsidR="009D40B9" w:rsidRPr="009D40B9">
        <w:t>The Federal Trade Commission (FTC) Act and the FTC Health Breach Notification Rule (HBNR) ha</w:t>
      </w:r>
      <w:r w:rsidR="007F449E">
        <w:t>ve</w:t>
      </w:r>
      <w:r w:rsidR="009D40B9" w:rsidRPr="009D40B9">
        <w:t xml:space="preserve"> </w:t>
      </w:r>
      <w:r>
        <w:t>increased oversight o</w:t>
      </w:r>
      <w:r w:rsidR="007F449E">
        <w:t>f</w:t>
      </w:r>
      <w:r>
        <w:t xml:space="preserve"> health </w:t>
      </w:r>
      <w:r w:rsidR="009D40B9" w:rsidRPr="009D40B9">
        <w:t xml:space="preserve">AI </w:t>
      </w:r>
      <w:r>
        <w:t xml:space="preserve">vendors </w:t>
      </w:r>
      <w:r w:rsidR="009D40B9" w:rsidRPr="009D40B9">
        <w:t>such as Easy Health Corp, Flo Health, GoodRx, and 1Health.io</w:t>
      </w:r>
      <w:r w:rsidR="00C408F9">
        <w:t>,</w:t>
      </w:r>
      <w:r w:rsidR="005A7EE2">
        <w:t xml:space="preserve"> </w:t>
      </w:r>
      <w:r w:rsidR="009D40B9" w:rsidRPr="009D40B9">
        <w:t>Inc</w:t>
      </w:r>
      <w:r>
        <w:t>.</w:t>
      </w:r>
      <w:r w:rsidR="009D40B9" w:rsidRPr="009D40B9">
        <w:t xml:space="preserve"> </w:t>
      </w:r>
      <w:r>
        <w:t xml:space="preserve">These companies </w:t>
      </w:r>
      <w:r w:rsidR="00D97F3F">
        <w:t>faced regulatory enforcement actions related to</w:t>
      </w:r>
      <w:r>
        <w:t xml:space="preserve"> </w:t>
      </w:r>
      <w:r w:rsidR="009D40B9" w:rsidRPr="009D40B9">
        <w:t xml:space="preserve">unauthorized data sharing and failure </w:t>
      </w:r>
      <w:r w:rsidR="007F449E">
        <w:t>to</w:t>
      </w:r>
      <w:r w:rsidR="009D40B9" w:rsidRPr="009D40B9">
        <w:t xml:space="preserve"> notify users </w:t>
      </w:r>
      <w:r w:rsidR="00911936">
        <w:t xml:space="preserve">regarding </w:t>
      </w:r>
      <w:r w:rsidR="009D40B9" w:rsidRPr="009D40B9">
        <w:t>health data disclos</w:t>
      </w:r>
      <w:r w:rsidR="007F449E">
        <w:t xml:space="preserve">ures </w:t>
      </w:r>
      <w:r w:rsidR="009D40B9" w:rsidRPr="009D40B9">
        <w:t xml:space="preserve">(Rezaeikhonakdar, 2024). </w:t>
      </w:r>
      <w:r w:rsidR="00E41ABB">
        <w:t>Together, these cases</w:t>
      </w:r>
      <w:r w:rsidR="007F449E" w:rsidRPr="007F449E">
        <w:t xml:space="preserve"> </w:t>
      </w:r>
      <w:r w:rsidR="00557F2B">
        <w:t>show</w:t>
      </w:r>
      <w:r w:rsidR="007F4C6F">
        <w:t xml:space="preserve"> that </w:t>
      </w:r>
      <w:r w:rsidR="00557F2B" w:rsidRPr="00557F2B">
        <w:t>organizations handling sensitive health information may be subject to corrective actions for inadequate privacy protections, even when they are not covered entities or business associates under HIPAA</w:t>
      </w:r>
      <w:r w:rsidR="009D40B9" w:rsidRPr="009D40B9">
        <w:t>.</w:t>
      </w:r>
    </w:p>
    <w:p w14:paraId="3A4604ED" w14:textId="6B7C58FE" w:rsidR="009013DC" w:rsidRDefault="000E1B5A" w:rsidP="00BD3754">
      <w:pPr>
        <w:ind w:firstLine="360"/>
      </w:pPr>
      <w:r>
        <w:t xml:space="preserve">Memorial Sloan Kettering Cancer Center </w:t>
      </w:r>
      <w:r w:rsidR="009013DC">
        <w:t>(MS</w:t>
      </w:r>
      <w:r w:rsidR="00D97F3F">
        <w:t>K)</w:t>
      </w:r>
      <w:r w:rsidR="00557F2B">
        <w:t xml:space="preserve"> </w:t>
      </w:r>
      <w:r w:rsidR="00E41ABB">
        <w:t xml:space="preserve">takes a </w:t>
      </w:r>
      <w:r w:rsidR="00557F2B">
        <w:t>proactive</w:t>
      </w:r>
      <w:r w:rsidR="007F4C6F">
        <w:t xml:space="preserve"> </w:t>
      </w:r>
      <w:r w:rsidR="000B4EAC">
        <w:t xml:space="preserve">approach to </w:t>
      </w:r>
      <w:r w:rsidR="00557F2B">
        <w:t>privacy</w:t>
      </w:r>
      <w:r w:rsidR="00B36577">
        <w:t xml:space="preserve"> </w:t>
      </w:r>
      <w:r w:rsidR="00557F2B">
        <w:t xml:space="preserve">by </w:t>
      </w:r>
      <w:r w:rsidR="001F0DE5">
        <w:t>offering</w:t>
      </w:r>
      <w:r w:rsidR="00557F2B">
        <w:t xml:space="preserve"> </w:t>
      </w:r>
      <w:r w:rsidR="00D97F3F" w:rsidRPr="00D97F3F">
        <w:t>patients</w:t>
      </w:r>
      <w:r w:rsidR="00F26FAE">
        <w:t xml:space="preserve"> </w:t>
      </w:r>
      <w:r w:rsidR="00D97F3F" w:rsidRPr="00D97F3F">
        <w:t>a comprehensive Notice of Privacy Practices (NPP) and a dedicated website that explains how PHI is used, disclosed, and protected across various platforms, including its website, patient portal, mobile application, lounge application, and remote monitoring services (Memorial Sloan Kettering Cancer Center, 2026).</w:t>
      </w:r>
      <w:r w:rsidR="00D97F3F">
        <w:t xml:space="preserve"> </w:t>
      </w:r>
      <w:r w:rsidR="00557F2B" w:rsidRPr="00557F2B">
        <w:t>MSK’s privacy resources help patients understand and exercise their HIPAA rights while promoting transparency, trust, and compliance.</w:t>
      </w:r>
    </w:p>
    <w:p w14:paraId="56A2F9BB" w14:textId="7A38CFF6" w:rsidR="001F1F26" w:rsidRDefault="001F1F26" w:rsidP="007769B9"/>
    <w:p w14:paraId="79D9B21D" w14:textId="77777777" w:rsidR="001C729C" w:rsidRPr="001C729C" w:rsidRDefault="001C729C" w:rsidP="001C729C">
      <w:pPr>
        <w:rPr>
          <w:b/>
          <w:bCs/>
        </w:rPr>
      </w:pPr>
      <w:r w:rsidRPr="001C729C">
        <w:rPr>
          <w:b/>
          <w:bCs/>
        </w:rPr>
        <w:t>References</w:t>
      </w:r>
    </w:p>
    <w:p w14:paraId="2F9306C9" w14:textId="77777777" w:rsidR="001C729C" w:rsidRDefault="001C729C" w:rsidP="00D97F3F">
      <w:pPr>
        <w:pStyle w:val="ListParagraph"/>
        <w:ind w:left="360"/>
      </w:pPr>
      <w:r w:rsidRPr="00D97F3F">
        <w:rPr>
          <w:b/>
          <w:bCs/>
        </w:rPr>
        <w:t>Hersh, W. R. (Ed.)</w:t>
      </w:r>
      <w:r w:rsidRPr="001C729C">
        <w:t xml:space="preserve">. (2023). </w:t>
      </w:r>
      <w:r w:rsidRPr="001C729C">
        <w:rPr>
          <w:i/>
          <w:iCs/>
        </w:rPr>
        <w:t>Health informatics: Practical guide</w:t>
      </w:r>
      <w:r w:rsidRPr="001C729C">
        <w:t xml:space="preserve"> (8th ed.). Chapter 13, </w:t>
      </w:r>
      <w:r w:rsidRPr="001C729C">
        <w:rPr>
          <w:i/>
          <w:iCs/>
        </w:rPr>
        <w:t>Health information privacy and security</w:t>
      </w:r>
      <w:r w:rsidRPr="001C729C">
        <w:t xml:space="preserve"> (J. Rasmussen). Informing Health Press.</w:t>
      </w:r>
    </w:p>
    <w:p w14:paraId="38B3D8C4" w14:textId="1E80B55A" w:rsidR="00A55594" w:rsidRPr="001C729C" w:rsidRDefault="00A55594" w:rsidP="00A55594">
      <w:pPr>
        <w:pStyle w:val="ListParagraph"/>
        <w:ind w:left="360"/>
      </w:pPr>
      <w:r w:rsidRPr="00D97F3F">
        <w:rPr>
          <w:b/>
          <w:bCs/>
        </w:rPr>
        <w:t>Memorial Sloan Kettering Cancer Center.</w:t>
      </w:r>
      <w:r w:rsidRPr="001C729C">
        <w:t xml:space="preserve"> (2026). </w:t>
      </w:r>
      <w:r w:rsidRPr="001C729C">
        <w:rPr>
          <w:i/>
          <w:iCs/>
        </w:rPr>
        <w:t>Privacy</w:t>
      </w:r>
      <w:r w:rsidRPr="001C729C">
        <w:t xml:space="preserve">. </w:t>
      </w:r>
      <w:hyperlink r:id="rId5" w:tgtFrame="_new" w:history="1">
        <w:r w:rsidRPr="001C729C">
          <w:rPr>
            <w:rStyle w:val="Hyperlink"/>
          </w:rPr>
          <w:t>https://www.mskcc.org/privacy</w:t>
        </w:r>
      </w:hyperlink>
    </w:p>
    <w:p w14:paraId="58A8349C" w14:textId="2A13BAF6" w:rsidR="002741CA" w:rsidRPr="001C729C" w:rsidRDefault="0033321F" w:rsidP="00D97F3F">
      <w:pPr>
        <w:pStyle w:val="ListParagraph"/>
        <w:ind w:left="360"/>
      </w:pPr>
      <w:r w:rsidRPr="00D97F3F">
        <w:rPr>
          <w:b/>
          <w:bCs/>
        </w:rPr>
        <w:t>New York State Dental Association.</w:t>
      </w:r>
      <w:r w:rsidRPr="0033321F">
        <w:t xml:space="preserve"> (2024, December 3). </w:t>
      </w:r>
      <w:r w:rsidRPr="0033321F">
        <w:rPr>
          <w:i/>
          <w:iCs/>
        </w:rPr>
        <w:t>OCR takes HIPAA action against hospital over improper disclosure of patient information to employer</w:t>
      </w:r>
      <w:r w:rsidRPr="0033321F">
        <w:t xml:space="preserve">. </w:t>
      </w:r>
      <w:hyperlink r:id="rId6" w:tgtFrame="_new" w:history="1">
        <w:r w:rsidRPr="0033321F">
          <w:rPr>
            <w:rStyle w:val="Hyperlink"/>
          </w:rPr>
          <w:t>https://www.nycdentalsociety.org/news-publications/nysda-publications/2024/12/03/ocr-takes-hipaa-action-against-hospital-over-improper-disclosure-of-patient-information-to-employer</w:t>
        </w:r>
      </w:hyperlink>
    </w:p>
    <w:p w14:paraId="2CE5AB89" w14:textId="7262717E" w:rsidR="00D97F3F" w:rsidRDefault="00D97F3F" w:rsidP="00A55594">
      <w:pPr>
        <w:pStyle w:val="ListParagraph"/>
        <w:ind w:left="360"/>
      </w:pPr>
      <w:r w:rsidRPr="00D97F3F">
        <w:rPr>
          <w:b/>
          <w:bCs/>
        </w:rPr>
        <w:t>Rezaeikhonakdar, D.</w:t>
      </w:r>
      <w:r w:rsidRPr="009D40B9">
        <w:t xml:space="preserve"> (2024). </w:t>
      </w:r>
      <w:r w:rsidRPr="00557F2B">
        <w:rPr>
          <w:i/>
          <w:iCs/>
        </w:rPr>
        <w:t xml:space="preserve">AI chatbots and challenges of HIPAA compliance for AI developers and vendors. </w:t>
      </w:r>
      <w:r w:rsidRPr="009D40B9">
        <w:t xml:space="preserve">Journal of Law, Medicine &amp; Ethics, 51(4), 988–995. </w:t>
      </w:r>
      <w:hyperlink r:id="rId7" w:history="1">
        <w:r w:rsidRPr="00240D9E">
          <w:rPr>
            <w:rStyle w:val="Hyperlink"/>
          </w:rPr>
          <w:t>https://doi.org/10.1017/jme.2024.15</w:t>
        </w:r>
      </w:hyperlink>
    </w:p>
    <w:p w14:paraId="3BDE3D3A" w14:textId="258DAD97" w:rsidR="00DB3516" w:rsidRDefault="00BD3754" w:rsidP="00BD3754">
      <w:r w:rsidRPr="00BD3754">
        <w:t>AI assistance disclosure: ChatGPT (OpenAI) was used to assist with grammar, organization, APA formatting, and editing. All factual content, citations, and final written work were reviewed and verified by the author.</w:t>
      </w:r>
    </w:p>
    <w:sectPr w:rsidR="00DB35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E284E"/>
    <w:multiLevelType w:val="hybridMultilevel"/>
    <w:tmpl w:val="0B44B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186C35"/>
    <w:multiLevelType w:val="hybridMultilevel"/>
    <w:tmpl w:val="F6F6D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8B93EC0"/>
    <w:multiLevelType w:val="hybridMultilevel"/>
    <w:tmpl w:val="2286B552"/>
    <w:lvl w:ilvl="0" w:tplc="9AC61028">
      <w:start w:val="1"/>
      <w:numFmt w:val="bullet"/>
      <w:lvlText w:val=""/>
      <w:lvlJc w:val="left"/>
      <w:pPr>
        <w:tabs>
          <w:tab w:val="num" w:pos="720"/>
        </w:tabs>
        <w:ind w:left="720" w:hanging="360"/>
      </w:pPr>
      <w:rPr>
        <w:rFonts w:ascii="Wingdings 3" w:hAnsi="Wingdings 3" w:hint="default"/>
      </w:rPr>
    </w:lvl>
    <w:lvl w:ilvl="1" w:tplc="4C4C64F2" w:tentative="1">
      <w:start w:val="1"/>
      <w:numFmt w:val="bullet"/>
      <w:lvlText w:val=""/>
      <w:lvlJc w:val="left"/>
      <w:pPr>
        <w:tabs>
          <w:tab w:val="num" w:pos="1440"/>
        </w:tabs>
        <w:ind w:left="1440" w:hanging="360"/>
      </w:pPr>
      <w:rPr>
        <w:rFonts w:ascii="Wingdings 3" w:hAnsi="Wingdings 3" w:hint="default"/>
      </w:rPr>
    </w:lvl>
    <w:lvl w:ilvl="2" w:tplc="1A5EC9F4" w:tentative="1">
      <w:start w:val="1"/>
      <w:numFmt w:val="bullet"/>
      <w:lvlText w:val=""/>
      <w:lvlJc w:val="left"/>
      <w:pPr>
        <w:tabs>
          <w:tab w:val="num" w:pos="2160"/>
        </w:tabs>
        <w:ind w:left="2160" w:hanging="360"/>
      </w:pPr>
      <w:rPr>
        <w:rFonts w:ascii="Wingdings 3" w:hAnsi="Wingdings 3" w:hint="default"/>
      </w:rPr>
    </w:lvl>
    <w:lvl w:ilvl="3" w:tplc="146A9AE6" w:tentative="1">
      <w:start w:val="1"/>
      <w:numFmt w:val="bullet"/>
      <w:lvlText w:val=""/>
      <w:lvlJc w:val="left"/>
      <w:pPr>
        <w:tabs>
          <w:tab w:val="num" w:pos="2880"/>
        </w:tabs>
        <w:ind w:left="2880" w:hanging="360"/>
      </w:pPr>
      <w:rPr>
        <w:rFonts w:ascii="Wingdings 3" w:hAnsi="Wingdings 3" w:hint="default"/>
      </w:rPr>
    </w:lvl>
    <w:lvl w:ilvl="4" w:tplc="12F82646" w:tentative="1">
      <w:start w:val="1"/>
      <w:numFmt w:val="bullet"/>
      <w:lvlText w:val=""/>
      <w:lvlJc w:val="left"/>
      <w:pPr>
        <w:tabs>
          <w:tab w:val="num" w:pos="3600"/>
        </w:tabs>
        <w:ind w:left="3600" w:hanging="360"/>
      </w:pPr>
      <w:rPr>
        <w:rFonts w:ascii="Wingdings 3" w:hAnsi="Wingdings 3" w:hint="default"/>
      </w:rPr>
    </w:lvl>
    <w:lvl w:ilvl="5" w:tplc="C0784B4C" w:tentative="1">
      <w:start w:val="1"/>
      <w:numFmt w:val="bullet"/>
      <w:lvlText w:val=""/>
      <w:lvlJc w:val="left"/>
      <w:pPr>
        <w:tabs>
          <w:tab w:val="num" w:pos="4320"/>
        </w:tabs>
        <w:ind w:left="4320" w:hanging="360"/>
      </w:pPr>
      <w:rPr>
        <w:rFonts w:ascii="Wingdings 3" w:hAnsi="Wingdings 3" w:hint="default"/>
      </w:rPr>
    </w:lvl>
    <w:lvl w:ilvl="6" w:tplc="23CE20F6" w:tentative="1">
      <w:start w:val="1"/>
      <w:numFmt w:val="bullet"/>
      <w:lvlText w:val=""/>
      <w:lvlJc w:val="left"/>
      <w:pPr>
        <w:tabs>
          <w:tab w:val="num" w:pos="5040"/>
        </w:tabs>
        <w:ind w:left="5040" w:hanging="360"/>
      </w:pPr>
      <w:rPr>
        <w:rFonts w:ascii="Wingdings 3" w:hAnsi="Wingdings 3" w:hint="default"/>
      </w:rPr>
    </w:lvl>
    <w:lvl w:ilvl="7" w:tplc="C1849AC4" w:tentative="1">
      <w:start w:val="1"/>
      <w:numFmt w:val="bullet"/>
      <w:lvlText w:val=""/>
      <w:lvlJc w:val="left"/>
      <w:pPr>
        <w:tabs>
          <w:tab w:val="num" w:pos="5760"/>
        </w:tabs>
        <w:ind w:left="5760" w:hanging="360"/>
      </w:pPr>
      <w:rPr>
        <w:rFonts w:ascii="Wingdings 3" w:hAnsi="Wingdings 3" w:hint="default"/>
      </w:rPr>
    </w:lvl>
    <w:lvl w:ilvl="8" w:tplc="CC5ECEF2"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480B1819"/>
    <w:multiLevelType w:val="hybridMultilevel"/>
    <w:tmpl w:val="57CE1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9953053">
    <w:abstractNumId w:val="2"/>
  </w:num>
  <w:num w:numId="2" w16cid:durableId="1578976952">
    <w:abstractNumId w:val="3"/>
  </w:num>
  <w:num w:numId="3" w16cid:durableId="2016836099">
    <w:abstractNumId w:val="0"/>
  </w:num>
  <w:num w:numId="4" w16cid:durableId="611203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6E3"/>
    <w:rsid w:val="00056F91"/>
    <w:rsid w:val="000A1188"/>
    <w:rsid w:val="000B4EAC"/>
    <w:rsid w:val="000E1B5A"/>
    <w:rsid w:val="001C729C"/>
    <w:rsid w:val="001F0DE5"/>
    <w:rsid w:val="001F1F26"/>
    <w:rsid w:val="002035C7"/>
    <w:rsid w:val="002741CA"/>
    <w:rsid w:val="002C709D"/>
    <w:rsid w:val="002E59BF"/>
    <w:rsid w:val="0031296B"/>
    <w:rsid w:val="0033321F"/>
    <w:rsid w:val="004171FA"/>
    <w:rsid w:val="004B43A3"/>
    <w:rsid w:val="004C5E29"/>
    <w:rsid w:val="00533622"/>
    <w:rsid w:val="00557F2B"/>
    <w:rsid w:val="005A7EE2"/>
    <w:rsid w:val="00607385"/>
    <w:rsid w:val="00733E78"/>
    <w:rsid w:val="00744C1C"/>
    <w:rsid w:val="007769B9"/>
    <w:rsid w:val="007C2474"/>
    <w:rsid w:val="007C76E3"/>
    <w:rsid w:val="007F449E"/>
    <w:rsid w:val="007F4C6F"/>
    <w:rsid w:val="00853B51"/>
    <w:rsid w:val="00875B75"/>
    <w:rsid w:val="009013DC"/>
    <w:rsid w:val="00911936"/>
    <w:rsid w:val="009D40B9"/>
    <w:rsid w:val="00A375F4"/>
    <w:rsid w:val="00A55594"/>
    <w:rsid w:val="00AA3EE4"/>
    <w:rsid w:val="00AA55F2"/>
    <w:rsid w:val="00B36577"/>
    <w:rsid w:val="00B46114"/>
    <w:rsid w:val="00B67465"/>
    <w:rsid w:val="00BD3754"/>
    <w:rsid w:val="00C408F9"/>
    <w:rsid w:val="00D97F3F"/>
    <w:rsid w:val="00DB3516"/>
    <w:rsid w:val="00E41ABB"/>
    <w:rsid w:val="00EB50C7"/>
    <w:rsid w:val="00F26FAE"/>
    <w:rsid w:val="00F54ADC"/>
    <w:rsid w:val="00F97A1B"/>
    <w:rsid w:val="00FE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4AB6D"/>
  <w15:chartTrackingRefBased/>
  <w15:docId w15:val="{ED6F9898-7A9F-42E5-8B2E-5218308A2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6E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C76E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C76E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C76E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C76E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7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6E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C76E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C76E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C76E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C76E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7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6E3"/>
    <w:rPr>
      <w:rFonts w:eastAsiaTheme="majorEastAsia" w:cstheme="majorBidi"/>
      <w:color w:val="272727" w:themeColor="text1" w:themeTint="D8"/>
    </w:rPr>
  </w:style>
  <w:style w:type="paragraph" w:styleId="Title">
    <w:name w:val="Title"/>
    <w:basedOn w:val="Normal"/>
    <w:next w:val="Normal"/>
    <w:link w:val="TitleChar"/>
    <w:uiPriority w:val="10"/>
    <w:qFormat/>
    <w:rsid w:val="007C7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6E3"/>
    <w:pPr>
      <w:spacing w:before="160"/>
      <w:jc w:val="center"/>
    </w:pPr>
    <w:rPr>
      <w:i/>
      <w:iCs/>
      <w:color w:val="404040" w:themeColor="text1" w:themeTint="BF"/>
    </w:rPr>
  </w:style>
  <w:style w:type="character" w:customStyle="1" w:styleId="QuoteChar">
    <w:name w:val="Quote Char"/>
    <w:basedOn w:val="DefaultParagraphFont"/>
    <w:link w:val="Quote"/>
    <w:uiPriority w:val="29"/>
    <w:rsid w:val="007C76E3"/>
    <w:rPr>
      <w:i/>
      <w:iCs/>
      <w:color w:val="404040" w:themeColor="text1" w:themeTint="BF"/>
    </w:rPr>
  </w:style>
  <w:style w:type="paragraph" w:styleId="ListParagraph">
    <w:name w:val="List Paragraph"/>
    <w:basedOn w:val="Normal"/>
    <w:uiPriority w:val="34"/>
    <w:qFormat/>
    <w:rsid w:val="007C76E3"/>
    <w:pPr>
      <w:ind w:left="720"/>
      <w:contextualSpacing/>
    </w:pPr>
  </w:style>
  <w:style w:type="character" w:styleId="IntenseEmphasis">
    <w:name w:val="Intense Emphasis"/>
    <w:basedOn w:val="DefaultParagraphFont"/>
    <w:uiPriority w:val="21"/>
    <w:qFormat/>
    <w:rsid w:val="007C76E3"/>
    <w:rPr>
      <w:i/>
      <w:iCs/>
      <w:color w:val="2E74B5" w:themeColor="accent1" w:themeShade="BF"/>
    </w:rPr>
  </w:style>
  <w:style w:type="paragraph" w:styleId="IntenseQuote">
    <w:name w:val="Intense Quote"/>
    <w:basedOn w:val="Normal"/>
    <w:next w:val="Normal"/>
    <w:link w:val="IntenseQuoteChar"/>
    <w:uiPriority w:val="30"/>
    <w:qFormat/>
    <w:rsid w:val="007C76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76E3"/>
    <w:rPr>
      <w:i/>
      <w:iCs/>
      <w:color w:val="2E74B5" w:themeColor="accent1" w:themeShade="BF"/>
    </w:rPr>
  </w:style>
  <w:style w:type="character" w:styleId="IntenseReference">
    <w:name w:val="Intense Reference"/>
    <w:basedOn w:val="DefaultParagraphFont"/>
    <w:uiPriority w:val="32"/>
    <w:qFormat/>
    <w:rsid w:val="007C76E3"/>
    <w:rPr>
      <w:b/>
      <w:bCs/>
      <w:smallCaps/>
      <w:color w:val="2E74B5" w:themeColor="accent1" w:themeShade="BF"/>
      <w:spacing w:val="5"/>
    </w:rPr>
  </w:style>
  <w:style w:type="character" w:styleId="Hyperlink">
    <w:name w:val="Hyperlink"/>
    <w:basedOn w:val="DefaultParagraphFont"/>
    <w:uiPriority w:val="99"/>
    <w:unhideWhenUsed/>
    <w:rsid w:val="009013DC"/>
    <w:rPr>
      <w:color w:val="0563C1" w:themeColor="hyperlink"/>
      <w:u w:val="single"/>
    </w:rPr>
  </w:style>
  <w:style w:type="character" w:styleId="UnresolvedMention">
    <w:name w:val="Unresolved Mention"/>
    <w:basedOn w:val="DefaultParagraphFont"/>
    <w:uiPriority w:val="99"/>
    <w:semiHidden/>
    <w:unhideWhenUsed/>
    <w:rsid w:val="009013DC"/>
    <w:rPr>
      <w:color w:val="605E5C"/>
      <w:shd w:val="clear" w:color="auto" w:fill="E1DFDD"/>
    </w:rPr>
  </w:style>
  <w:style w:type="character" w:styleId="FollowedHyperlink">
    <w:name w:val="FollowedHyperlink"/>
    <w:basedOn w:val="DefaultParagraphFont"/>
    <w:uiPriority w:val="99"/>
    <w:semiHidden/>
    <w:unhideWhenUsed/>
    <w:rsid w:val="001C72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594269">
      <w:bodyDiv w:val="1"/>
      <w:marLeft w:val="0"/>
      <w:marRight w:val="0"/>
      <w:marTop w:val="0"/>
      <w:marBottom w:val="0"/>
      <w:divBdr>
        <w:top w:val="none" w:sz="0" w:space="0" w:color="auto"/>
        <w:left w:val="none" w:sz="0" w:space="0" w:color="auto"/>
        <w:bottom w:val="none" w:sz="0" w:space="0" w:color="auto"/>
        <w:right w:val="none" w:sz="0" w:space="0" w:color="auto"/>
      </w:divBdr>
      <w:divsChild>
        <w:div w:id="1753620389">
          <w:marLeft w:val="547"/>
          <w:marRight w:val="0"/>
          <w:marTop w:val="200"/>
          <w:marBottom w:val="0"/>
          <w:divBdr>
            <w:top w:val="none" w:sz="0" w:space="0" w:color="auto"/>
            <w:left w:val="none" w:sz="0" w:space="0" w:color="auto"/>
            <w:bottom w:val="none" w:sz="0" w:space="0" w:color="auto"/>
            <w:right w:val="none" w:sz="0" w:space="0" w:color="auto"/>
          </w:divBdr>
        </w:div>
        <w:div w:id="2143108629">
          <w:marLeft w:val="547"/>
          <w:marRight w:val="0"/>
          <w:marTop w:val="200"/>
          <w:marBottom w:val="0"/>
          <w:divBdr>
            <w:top w:val="none" w:sz="0" w:space="0" w:color="auto"/>
            <w:left w:val="none" w:sz="0" w:space="0" w:color="auto"/>
            <w:bottom w:val="none" w:sz="0" w:space="0" w:color="auto"/>
            <w:right w:val="none" w:sz="0" w:space="0" w:color="auto"/>
          </w:divBdr>
        </w:div>
        <w:div w:id="428350061">
          <w:marLeft w:val="547"/>
          <w:marRight w:val="0"/>
          <w:marTop w:val="200"/>
          <w:marBottom w:val="0"/>
          <w:divBdr>
            <w:top w:val="none" w:sz="0" w:space="0" w:color="auto"/>
            <w:left w:val="none" w:sz="0" w:space="0" w:color="auto"/>
            <w:bottom w:val="none" w:sz="0" w:space="0" w:color="auto"/>
            <w:right w:val="none" w:sz="0" w:space="0" w:color="auto"/>
          </w:divBdr>
        </w:div>
        <w:div w:id="2085299921">
          <w:marLeft w:val="547"/>
          <w:marRight w:val="0"/>
          <w:marTop w:val="200"/>
          <w:marBottom w:val="0"/>
          <w:divBdr>
            <w:top w:val="none" w:sz="0" w:space="0" w:color="auto"/>
            <w:left w:val="none" w:sz="0" w:space="0" w:color="auto"/>
            <w:bottom w:val="none" w:sz="0" w:space="0" w:color="auto"/>
            <w:right w:val="none" w:sz="0" w:space="0" w:color="auto"/>
          </w:divBdr>
        </w:div>
      </w:divsChild>
    </w:div>
    <w:div w:id="1470247034">
      <w:bodyDiv w:val="1"/>
      <w:marLeft w:val="0"/>
      <w:marRight w:val="0"/>
      <w:marTop w:val="0"/>
      <w:marBottom w:val="0"/>
      <w:divBdr>
        <w:top w:val="none" w:sz="0" w:space="0" w:color="auto"/>
        <w:left w:val="none" w:sz="0" w:space="0" w:color="auto"/>
        <w:bottom w:val="none" w:sz="0" w:space="0" w:color="auto"/>
        <w:right w:val="none" w:sz="0" w:space="0" w:color="auto"/>
      </w:divBdr>
    </w:div>
    <w:div w:id="2091733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7/jme.2024.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cdentalsociety.org/news-publications/nysda-publications/2024/12/03/ocr-takes-hipaa-action-against-hospital-over-improper-disclosure-of-patient-information-to-employer" TargetMode="External"/><Relationship Id="rId5" Type="http://schemas.openxmlformats.org/officeDocument/2006/relationships/hyperlink" Target="https://www.mskcc.org/privacy?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668</TotalTime>
  <Pages>2</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27</cp:revision>
  <dcterms:created xsi:type="dcterms:W3CDTF">2026-07-06T22:55:00Z</dcterms:created>
  <dcterms:modified xsi:type="dcterms:W3CDTF">2026-07-08T06:07:00Z</dcterms:modified>
</cp:coreProperties>
</file>