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0D330" w14:textId="77777777" w:rsidR="0080666D" w:rsidRPr="0080666D" w:rsidRDefault="0080666D" w:rsidP="0080666D">
      <w:r w:rsidRPr="0080666D">
        <w:t>Select one specific topic and compare how it was addressed under HIPAA versus how it changed after the HITECH Act was enacted. For example, you could examine how a patient's right to request and receive copies of their medical records differed before and after HITECH.</w:t>
      </w:r>
    </w:p>
    <w:p w14:paraId="45E2A491" w14:textId="77777777" w:rsidR="0080666D" w:rsidRPr="0080666D" w:rsidRDefault="0080666D" w:rsidP="0080666D"/>
    <w:p w14:paraId="22D01722" w14:textId="77777777" w:rsidR="0080666D" w:rsidRPr="0080666D" w:rsidRDefault="0080666D" w:rsidP="0080666D">
      <w:r w:rsidRPr="0080666D">
        <w:t>Focus on a single issue rather than discussing the laws broadly. Be as specific as possible by explaining what HIPAA originally required, what HITECH changed (if anything), and how those changes affected patients, healthcare providers, or other covered entities. A focused analysis will allow you to provide a thorough comparison and contrast of the two laws.</w:t>
      </w:r>
    </w:p>
    <w:p w14:paraId="24143FA1" w14:textId="77777777" w:rsidR="0080666D" w:rsidRPr="0080666D" w:rsidRDefault="0080666D" w:rsidP="0080666D"/>
    <w:p w14:paraId="34F0ED03" w14:textId="37D9D9E2" w:rsidR="002035C7" w:rsidRDefault="0080666D" w:rsidP="0080666D">
      <w:r w:rsidRPr="0080666D">
        <w:t>You must start a thread before you can read and reply to other threads</w:t>
      </w:r>
    </w:p>
    <w:p w14:paraId="35C505C7" w14:textId="77777777" w:rsidR="00992E56" w:rsidRDefault="00992E56" w:rsidP="0080666D"/>
    <w:p w14:paraId="4FBF6A74" w14:textId="34E1A161" w:rsidR="00992E56" w:rsidRDefault="00992E56" w:rsidP="0080666D">
      <w:r>
        <w:t>What is HITECH Act?</w:t>
      </w:r>
    </w:p>
    <w:p w14:paraId="7C251EA4" w14:textId="4EF8D1EA" w:rsidR="00992E56" w:rsidRDefault="00992E56" w:rsidP="0080666D">
      <w:r>
        <w:t>Enhanced Privacy</w:t>
      </w:r>
    </w:p>
    <w:p w14:paraId="3545E0FE" w14:textId="5C13BC21" w:rsidR="00992E56" w:rsidRDefault="00992E56" w:rsidP="0080666D">
      <w:r>
        <w:t xml:space="preserve"> increased legal liability for non-compliance</w:t>
      </w:r>
    </w:p>
    <w:p w14:paraId="38475216" w14:textId="0B5022B1" w:rsidR="00992E56" w:rsidRDefault="00992E56" w:rsidP="0080666D">
      <w:r>
        <w:t>greater enforcement</w:t>
      </w:r>
    </w:p>
    <w:p w14:paraId="31F6A136" w14:textId="1577CCF5" w:rsidR="00992E56" w:rsidRDefault="00992E56" w:rsidP="0080666D">
      <w:r>
        <w:t>Created a national health information infrastructure – Meaningful Use</w:t>
      </w:r>
    </w:p>
    <w:p w14:paraId="5684BFCC" w14:textId="4BDE6825" w:rsidR="00992E56" w:rsidRDefault="00992E56" w:rsidP="0080666D">
      <w:r>
        <w:t>Monetary incentives to encourage EHR adoption</w:t>
      </w:r>
    </w:p>
    <w:p w14:paraId="0A007FC0" w14:textId="170D5A6C" w:rsidR="00992E56" w:rsidRDefault="00992E56" w:rsidP="0080666D">
      <w:r>
        <w:t xml:space="preserve">Tiers – </w:t>
      </w:r>
      <w:proofErr w:type="spellStart"/>
      <w:r>
        <w:t>penatlies</w:t>
      </w:r>
      <w:proofErr w:type="spellEnd"/>
    </w:p>
    <w:p w14:paraId="3D8F7FA6" w14:textId="7845CEAC" w:rsidR="00992E56" w:rsidRDefault="00992E56" w:rsidP="0080666D">
      <w:r>
        <w:t>Breach notification</w:t>
      </w:r>
    </w:p>
    <w:p w14:paraId="7CCA4C30" w14:textId="25D0B67D" w:rsidR="00992E56" w:rsidRPr="00992E56" w:rsidRDefault="00992E56" w:rsidP="0080666D">
      <w:pPr>
        <w:rPr>
          <w:b/>
          <w:bCs/>
        </w:rPr>
      </w:pPr>
      <w:r w:rsidRPr="00992E56">
        <w:rPr>
          <w:b/>
          <w:bCs/>
        </w:rPr>
        <w:t>Enhanced BA Requirements</w:t>
      </w:r>
    </w:p>
    <w:p w14:paraId="1B3F0F92" w14:textId="64679FF6" w:rsidR="00992E56" w:rsidRDefault="00992E56" w:rsidP="00992E56">
      <w:pPr>
        <w:ind w:left="720"/>
      </w:pPr>
      <w:r>
        <w:t>Access to HER</w:t>
      </w:r>
    </w:p>
    <w:p w14:paraId="450D40EF" w14:textId="77777777" w:rsidR="00992E56" w:rsidRPr="00992E56" w:rsidRDefault="00992E56" w:rsidP="00992E56">
      <w:pPr>
        <w:ind w:left="720"/>
        <w:rPr>
          <w:b/>
          <w:bCs/>
        </w:rPr>
      </w:pPr>
      <w:r w:rsidRPr="00992E56">
        <w:rPr>
          <w:b/>
          <w:bCs/>
        </w:rPr>
        <w:t>Right to restrict disclosures</w:t>
      </w:r>
    </w:p>
    <w:p w14:paraId="73ACE381" w14:textId="77777777" w:rsidR="00992E56" w:rsidRDefault="00992E56" w:rsidP="00992E56">
      <w:pPr>
        <w:ind w:left="720"/>
        <w:rPr>
          <w:b/>
          <w:bCs/>
        </w:rPr>
      </w:pPr>
      <w:r w:rsidRPr="00992E56">
        <w:rPr>
          <w:b/>
          <w:bCs/>
        </w:rPr>
        <w:t>Accounting for disclosures</w:t>
      </w:r>
    </w:p>
    <w:p w14:paraId="1F3C8643" w14:textId="291B3B32" w:rsidR="00762B83" w:rsidRDefault="00762B83" w:rsidP="00992E56">
      <w:pPr>
        <w:rPr>
          <w:b/>
          <w:bCs/>
        </w:rPr>
      </w:pPr>
      <w:r>
        <w:rPr>
          <w:b/>
          <w:bCs/>
        </w:rPr>
        <w:t>Change in Penalties by Tier</w:t>
      </w:r>
    </w:p>
    <w:p w14:paraId="26947AB7" w14:textId="77777777" w:rsidR="00762B83" w:rsidRPr="00762B83" w:rsidRDefault="00762B83" w:rsidP="00762B83">
      <w:pPr>
        <w:numPr>
          <w:ilvl w:val="2"/>
          <w:numId w:val="1"/>
        </w:numPr>
      </w:pPr>
      <w:r w:rsidRPr="00762B83">
        <w:t>Tier 1: $34.4k</w:t>
      </w:r>
    </w:p>
    <w:p w14:paraId="2934946D" w14:textId="77777777" w:rsidR="00762B83" w:rsidRPr="00762B83" w:rsidRDefault="00762B83" w:rsidP="00762B83">
      <w:pPr>
        <w:numPr>
          <w:ilvl w:val="2"/>
          <w:numId w:val="1"/>
        </w:numPr>
      </w:pPr>
      <w:r w:rsidRPr="00762B83">
        <w:t>Tier 2: $137.8k</w:t>
      </w:r>
    </w:p>
    <w:p w14:paraId="612EDA2F" w14:textId="77777777" w:rsidR="00762B83" w:rsidRPr="00762B83" w:rsidRDefault="00762B83" w:rsidP="00762B83">
      <w:pPr>
        <w:numPr>
          <w:ilvl w:val="2"/>
          <w:numId w:val="1"/>
        </w:numPr>
      </w:pPr>
      <w:r w:rsidRPr="00762B83">
        <w:t>Tier 3: $344.6k</w:t>
      </w:r>
    </w:p>
    <w:p w14:paraId="5D752CF1" w14:textId="77777777" w:rsidR="00762B83" w:rsidRDefault="00762B83" w:rsidP="00762B83">
      <w:pPr>
        <w:numPr>
          <w:ilvl w:val="2"/>
          <w:numId w:val="1"/>
        </w:numPr>
      </w:pPr>
      <w:r w:rsidRPr="00762B83">
        <w:t>Tier 4: $2.06 million</w:t>
      </w:r>
    </w:p>
    <w:p w14:paraId="5AC7D62D" w14:textId="74F41F3E" w:rsidR="00762B83" w:rsidRDefault="00762B83" w:rsidP="00762B83">
      <w:r>
        <w:t>Breach Notification Regulation</w:t>
      </w:r>
    </w:p>
    <w:p w14:paraId="6F31DCBC" w14:textId="40EE0AA9" w:rsidR="00762B83" w:rsidRDefault="00762B83" w:rsidP="00762B83">
      <w:r w:rsidRPr="00762B83">
        <w:t>U.S. Department of Health and Human Services (HHS)</w:t>
      </w:r>
      <w:r>
        <w:t xml:space="preserve"> must be notified of all Breaches involving more than 500 individuals</w:t>
      </w:r>
    </w:p>
    <w:p w14:paraId="52908F75" w14:textId="594B4DA0" w:rsidR="00762B83" w:rsidRDefault="00762B83" w:rsidP="00762B83">
      <w:r w:rsidRPr="00762B83">
        <w:lastRenderedPageBreak/>
        <w:t>(U. S. Department of Health and Human Services, Office for Civil Rights [OCR]</w:t>
      </w:r>
    </w:p>
    <w:p w14:paraId="3ED009B5" w14:textId="6B5C227E" w:rsidR="00762B83" w:rsidRDefault="00762B83" w:rsidP="00762B83">
      <w:r>
        <w:t>Secure Technologies</w:t>
      </w:r>
    </w:p>
    <w:p w14:paraId="5D21042D" w14:textId="7E0A201D" w:rsidR="00762B83" w:rsidRDefault="00762B83" w:rsidP="00762B83">
      <w:r>
        <w:t>Encryption</w:t>
      </w:r>
    </w:p>
    <w:p w14:paraId="7F40F43D" w14:textId="0CC33399" w:rsidR="00762B83" w:rsidRDefault="00762B83" w:rsidP="00762B83">
      <w:r>
        <w:t>Destruction</w:t>
      </w:r>
    </w:p>
    <w:p w14:paraId="72A218A8" w14:textId="77777777" w:rsidR="00762B83" w:rsidRDefault="00762B83" w:rsidP="00762B83"/>
    <w:p w14:paraId="37C45ECA" w14:textId="162A2440" w:rsidR="00762B83" w:rsidRPr="00762B83" w:rsidRDefault="00762B83" w:rsidP="00762B83">
      <w:r>
        <w:t>T</w:t>
      </w:r>
      <w:r w:rsidRPr="00762B83">
        <w:t>he American Recovery and Reinvestment Act (ARRA), to which to attach the policy change, HITECH</w:t>
      </w:r>
    </w:p>
    <w:p w14:paraId="359CFEED" w14:textId="4553143F" w:rsidR="00992E56" w:rsidRDefault="00992E56" w:rsidP="00992E56">
      <w:pPr>
        <w:rPr>
          <w:b/>
          <w:bCs/>
        </w:rPr>
      </w:pPr>
      <w:r>
        <w:br/>
      </w:r>
    </w:p>
    <w:p w14:paraId="6558FDBF" w14:textId="3403D4E1" w:rsidR="00EF03B4" w:rsidRDefault="00EF03B4" w:rsidP="00992E56">
      <w:r>
        <w:t xml:space="preserve"> </w:t>
      </w:r>
      <w:r w:rsidR="00A84789">
        <w:tab/>
      </w:r>
      <w:r>
        <w:t xml:space="preserve">The right to restrict disclosure </w:t>
      </w:r>
      <w:r w:rsidR="00CF301C">
        <w:t>is an</w:t>
      </w:r>
      <w:r>
        <w:t xml:space="preserve"> important </w:t>
      </w:r>
      <w:r w:rsidR="00C70A62" w:rsidRPr="00C70A62">
        <w:t xml:space="preserve">Health Insurance Portability and Accountability Act </w:t>
      </w:r>
      <w:r w:rsidR="00C70A62">
        <w:t xml:space="preserve">(HIPAA) </w:t>
      </w:r>
      <w:r w:rsidR="00A84789">
        <w:t xml:space="preserve">privacy </w:t>
      </w:r>
      <w:r w:rsidR="00C70A62">
        <w:t xml:space="preserve">right, particularly as it relates to </w:t>
      </w:r>
      <w:r>
        <w:t>women’s health. Since the enactment of</w:t>
      </w:r>
      <w:r w:rsidR="00CF301C">
        <w:t xml:space="preserve"> the</w:t>
      </w:r>
      <w:r>
        <w:t xml:space="preserve"> </w:t>
      </w:r>
      <w:r w:rsidRPr="00762B83">
        <w:t>American Recovery and Reinvestment Act (ARRA)</w:t>
      </w:r>
      <w:r>
        <w:t xml:space="preserve"> in 2009, the </w:t>
      </w:r>
      <w:r w:rsidRPr="00EF03B4">
        <w:t xml:space="preserve">Health Information Technology for Economic and Clinical Health </w:t>
      </w:r>
      <w:r>
        <w:t xml:space="preserve">(HITECH) </w:t>
      </w:r>
      <w:r w:rsidR="009B1BD1" w:rsidRPr="009B1BD1">
        <w:t xml:space="preserve">Act strengthened </w:t>
      </w:r>
      <w:r w:rsidR="00755DE6">
        <w:t xml:space="preserve">a </w:t>
      </w:r>
      <w:r w:rsidR="009B1BD1">
        <w:t>patient</w:t>
      </w:r>
      <w:r w:rsidR="00755DE6">
        <w:t>’s</w:t>
      </w:r>
      <w:r w:rsidR="009B1BD1">
        <w:t xml:space="preserve"> </w:t>
      </w:r>
      <w:r w:rsidR="009B1BD1" w:rsidRPr="009B1BD1">
        <w:t xml:space="preserve">right to request restrictions on certain disclosures of protected health information (PHI) by covered entities (CEs), including disclosures to health plans for payment or healthcare operations under qualifying circumstances </w:t>
      </w:r>
      <w:r w:rsidR="00C70A62">
        <w:t>(</w:t>
      </w:r>
      <w:r w:rsidR="00CF301C" w:rsidRPr="00CF301C">
        <w:t>U.S. Department of Health and Human Services [HHS], 2022</w:t>
      </w:r>
      <w:r w:rsidR="00C70A62">
        <w:t>)</w:t>
      </w:r>
      <w:r w:rsidR="00CF301C">
        <w:t>.</w:t>
      </w:r>
    </w:p>
    <w:p w14:paraId="5EED378A" w14:textId="19B84534" w:rsidR="00EF03B4" w:rsidRDefault="00CF301C" w:rsidP="00A84789">
      <w:pPr>
        <w:ind w:firstLine="720"/>
      </w:pPr>
      <w:r w:rsidRPr="00CF301C">
        <w:t xml:space="preserve">The Office for Civil Rights (OCR) within the U.S. Department of Health and Human Services further </w:t>
      </w:r>
      <w:r>
        <w:t>enhanced</w:t>
      </w:r>
      <w:r w:rsidRPr="00CF301C">
        <w:t xml:space="preserve"> HIPAA privacy protections in 2024 by establishing additional safeguards for reproductive health information. These protections apply to covered entities (CEs) and business associates (BAs) and aim to protect the confidentiality of reproductive health PHI (U.S. Department of Health and Human Services [HHS], 2024)</w:t>
      </w:r>
      <w:r w:rsidR="00C70A62">
        <w:t>.</w:t>
      </w:r>
    </w:p>
    <w:p w14:paraId="2D535390" w14:textId="47F69B94" w:rsidR="00FD1EB9" w:rsidRDefault="00FD1EB9" w:rsidP="00A84789">
      <w:pPr>
        <w:ind w:firstLine="720"/>
      </w:pPr>
      <w:r w:rsidRPr="00FD1EB9">
        <w:t>The Indiana case involving a 10-year-old Ohio girl who traveled to Indiana for abortion care became part of a national debate regarding</w:t>
      </w:r>
      <w:r w:rsidR="00755DE6">
        <w:t xml:space="preserve"> </w:t>
      </w:r>
      <w:r w:rsidRPr="00FD1EB9">
        <w:t xml:space="preserve">healthcare privacy following the overturning of </w:t>
      </w:r>
      <w:r w:rsidRPr="00FD1EB9">
        <w:rPr>
          <w:i/>
          <w:iCs/>
        </w:rPr>
        <w:t>Roe v. Wade</w:t>
      </w:r>
      <w:r w:rsidRPr="00FD1EB9">
        <w:t xml:space="preserve"> on June 24, 2022. After a physician publicly discussed the case with a newspaper, concerns were raised regarding whether sensitive health information had been adequately protected (Associated Press, 202</w:t>
      </w:r>
      <w:r>
        <w:t>3</w:t>
      </w:r>
      <w:r w:rsidRPr="00FD1EB9">
        <w:t xml:space="preserve">). Although the lawsuit filed by Indiana’s attorney general was dismissed </w:t>
      </w:r>
      <w:r w:rsidR="002626D1">
        <w:t xml:space="preserve">and did not result in </w:t>
      </w:r>
      <w:r w:rsidR="00755DE6">
        <w:t xml:space="preserve">HIPAA </w:t>
      </w:r>
      <w:r w:rsidR="00A84789" w:rsidRPr="00A84789">
        <w:t>penalties</w:t>
      </w:r>
      <w:r w:rsidR="00755DE6">
        <w:t xml:space="preserve">, </w:t>
      </w:r>
      <w:r w:rsidRPr="00FD1EB9">
        <w:t>the case highlighted concerns about protecting reproductive health information</w:t>
      </w:r>
      <w:r>
        <w:t xml:space="preserve"> </w:t>
      </w:r>
      <w:r w:rsidRPr="00FD1EB9">
        <w:t>(Associated Press, 202</w:t>
      </w:r>
      <w:r>
        <w:t>4</w:t>
      </w:r>
      <w:r w:rsidRPr="00FD1EB9">
        <w:t>).</w:t>
      </w:r>
    </w:p>
    <w:p w14:paraId="657752F2" w14:textId="77777777" w:rsidR="002626D1" w:rsidRDefault="002626D1" w:rsidP="00A84789">
      <w:pPr>
        <w:ind w:firstLine="720"/>
      </w:pPr>
      <w:r w:rsidRPr="002626D1">
        <w:t>The Ohio/Indiana health case emphasizes how existing HIPAA/HITECH protections strengthened patient privacy rights but did not address every privacy concern related to sensitive health information.</w:t>
      </w:r>
    </w:p>
    <w:p w14:paraId="624B4F78" w14:textId="5B69E433" w:rsidR="002626D1" w:rsidRDefault="00A84789" w:rsidP="00992E56">
      <w:r>
        <w:t xml:space="preserve">Prior to </w:t>
      </w:r>
      <w:r w:rsidR="002626D1" w:rsidRPr="002626D1">
        <w:t xml:space="preserve">HITECH, HIPAA provided patients with the right to request restrictions on the use and disclosure of their PHI; however, </w:t>
      </w:r>
      <w:r>
        <w:t>CEs</w:t>
      </w:r>
      <w:r w:rsidR="002626D1" w:rsidRPr="002626D1">
        <w:t xml:space="preserve"> were not required to agree to these requests except in limited circumstances.</w:t>
      </w:r>
    </w:p>
    <w:p w14:paraId="20A218AB" w14:textId="66B76F10" w:rsidR="00A84789" w:rsidRDefault="00A84789" w:rsidP="00A84789">
      <w:pPr>
        <w:ind w:firstLine="720"/>
      </w:pPr>
      <w:r w:rsidRPr="00A84789">
        <w:t xml:space="preserve">After HITECH, patients gained a stronger right to restrict certain disclosures of PHI by requiring </w:t>
      </w:r>
      <w:r>
        <w:t>CEs</w:t>
      </w:r>
      <w:r w:rsidRPr="00A84789">
        <w:t xml:space="preserve"> to honor requests to restrict disclosures to health plans for payment or healthcare operations when the patient paid for the service in full and the disclosure was not otherwise required by law. HITECH also expanded HIPAA privacy and security responsibilities for </w:t>
      </w:r>
      <w:r>
        <w:t>BA</w:t>
      </w:r>
      <w:r w:rsidRPr="00A84789">
        <w:t>s.</w:t>
      </w:r>
    </w:p>
    <w:p w14:paraId="102A9D71" w14:textId="77777777" w:rsidR="00316A2B" w:rsidRDefault="00A84789" w:rsidP="00316A2B">
      <w:r>
        <w:lastRenderedPageBreak/>
        <w:tab/>
      </w:r>
      <w:r w:rsidR="002150B1" w:rsidRPr="002150B1">
        <w:t>The 2024 HIPAA Privacy Rule to Support Reproductive Health Care Privacy established</w:t>
      </w:r>
      <w:r w:rsidR="00755DE6">
        <w:t xml:space="preserve"> </w:t>
      </w:r>
      <w:r w:rsidR="006C69B6">
        <w:t xml:space="preserve">additional </w:t>
      </w:r>
      <w:r w:rsidR="002150B1" w:rsidRPr="002150B1">
        <w:t xml:space="preserve">safeguards </w:t>
      </w:r>
      <w:r w:rsidR="006C69B6">
        <w:t xml:space="preserve">to </w:t>
      </w:r>
      <w:r>
        <w:t>preserve</w:t>
      </w:r>
      <w:r w:rsidR="006C69B6">
        <w:t xml:space="preserve"> the confidentiality of </w:t>
      </w:r>
      <w:r w:rsidR="002150B1" w:rsidRPr="002150B1">
        <w:t>reproductive health PHI. Under these enhanced pro</w:t>
      </w:r>
      <w:r w:rsidR="00FD1EB9">
        <w:t>visions</w:t>
      </w:r>
      <w:r w:rsidR="002150B1" w:rsidRPr="002150B1">
        <w:t xml:space="preserve">, covered entities and business associates must evaluate requests for </w:t>
      </w:r>
      <w:r w:rsidR="006C69B6">
        <w:t>reproductive</w:t>
      </w:r>
      <w:r w:rsidR="002150B1" w:rsidRPr="002150B1">
        <w:t xml:space="preserve"> health information and </w:t>
      </w:r>
      <w:r w:rsidR="00755DE6" w:rsidRPr="00755DE6">
        <w:t xml:space="preserve">ensure disclosures are not made for prohibited purposes, </w:t>
      </w:r>
      <w:r w:rsidR="006C69B6" w:rsidRPr="006C69B6">
        <w:t>including investigating or imposing liability related to lawful reproductive healthcare.</w:t>
      </w:r>
    </w:p>
    <w:p w14:paraId="57A6FFFC" w14:textId="04A96752" w:rsidR="00316A2B" w:rsidRDefault="00316A2B" w:rsidP="00316A2B">
      <w:r>
        <w:t>=======================================================================</w:t>
      </w:r>
    </w:p>
    <w:p w14:paraId="0A252351" w14:textId="3B726E20" w:rsidR="00A84789" w:rsidRDefault="00316A2B" w:rsidP="00992E56">
      <w:r>
        <w:t xml:space="preserve">Submitted version </w:t>
      </w:r>
      <w:r w:rsidR="00B7353A">
        <w:t>1</w:t>
      </w:r>
    </w:p>
    <w:p w14:paraId="583BBABA" w14:textId="63750B9A" w:rsidR="00316A2B" w:rsidRDefault="00316A2B" w:rsidP="00992E56">
      <w:r>
        <w:t>========================================================================</w:t>
      </w:r>
    </w:p>
    <w:p w14:paraId="214C305A" w14:textId="77777777" w:rsidR="00A84789" w:rsidRDefault="00A84789" w:rsidP="00992E56"/>
    <w:p w14:paraId="01EFFAA0" w14:textId="7F4132BB" w:rsidR="003B28EF" w:rsidRPr="003B28EF" w:rsidRDefault="003B28EF" w:rsidP="003B28EF">
      <w:pPr>
        <w:ind w:firstLine="720"/>
      </w:pPr>
      <w:r w:rsidRPr="003B28EF">
        <w:t xml:space="preserve">The right to restrict </w:t>
      </w:r>
      <w:r w:rsidR="00C17496">
        <w:t xml:space="preserve">certain </w:t>
      </w:r>
      <w:r w:rsidRPr="003B28EF">
        <w:t xml:space="preserve">disclosures is an important Health Insurance Portability and Accountability Act (HIPAA) privacy right, particularly as it relates to </w:t>
      </w:r>
      <w:r w:rsidR="00C17496">
        <w:t xml:space="preserve">reproductive </w:t>
      </w:r>
      <w:r w:rsidRPr="003B28EF">
        <w:t>health</w:t>
      </w:r>
      <w:r w:rsidR="00C17496">
        <w:t xml:space="preserve"> privacy</w:t>
      </w:r>
      <w:r w:rsidRPr="003B28EF">
        <w:t>. The Health Information Technology for Economic and Clinical Health (HITECH) Act, enacted as part of the American Recovery and Reinvestment Act (ARRA) in 2009, strengthened a patient’s ability to request restrictions on certain disclosures of protected health information (PHI) by covered entities (CEs), including disclosures to health plans for payment or healthcare operations under qualifying circumstances (U.S. Department of Health and Human Services [HHS], 2022).</w:t>
      </w:r>
    </w:p>
    <w:p w14:paraId="6E6E6E24" w14:textId="1168B09D" w:rsidR="003B28EF" w:rsidRPr="003B28EF" w:rsidRDefault="003B28EF" w:rsidP="003B28EF">
      <w:pPr>
        <w:ind w:firstLine="720"/>
      </w:pPr>
      <w:r w:rsidRPr="003B28EF">
        <w:t xml:space="preserve">Prior to HITECH, HIPAA allowed patients to request restrictions on the use and disclosure of their PHI; however, covered entities generally had discretion in whether to agree to those requests except in limited circumstances. </w:t>
      </w:r>
      <w:r w:rsidR="00316A2B" w:rsidRPr="00316A2B">
        <w:t xml:space="preserve">After HITECH, patients gained stronger privacy protections by requiring </w:t>
      </w:r>
      <w:r w:rsidR="00316A2B">
        <w:t>CEs</w:t>
      </w:r>
      <w:r w:rsidR="00316A2B" w:rsidRPr="00316A2B">
        <w:t xml:space="preserve"> to honor certain requests to restrict disclosures to health plans for payment or healthcare operations when the patient paid for the healthcare service in full and the disclosure was not otherwise required by law.</w:t>
      </w:r>
      <w:r w:rsidR="00316A2B">
        <w:t xml:space="preserve"> </w:t>
      </w:r>
      <w:r w:rsidRPr="003B28EF">
        <w:t>HITECH also expanded HIPAA privacy and security responsibilities for business associates (BAs), increasing accountability for organizations that handle PHI</w:t>
      </w:r>
      <w:r w:rsidR="00BA04EB">
        <w:t xml:space="preserve"> </w:t>
      </w:r>
      <w:r w:rsidRPr="003B28EF">
        <w:t>(U.S. Department of Health and Human Services [HHS], 202</w:t>
      </w:r>
      <w:r w:rsidR="00BA04EB">
        <w:t>1)</w:t>
      </w:r>
      <w:r w:rsidRPr="003B28EF">
        <w:t>.</w:t>
      </w:r>
    </w:p>
    <w:p w14:paraId="1D8446C1" w14:textId="40BEB628" w:rsidR="003B28EF" w:rsidRPr="003B28EF" w:rsidRDefault="003B28EF" w:rsidP="003B28EF">
      <w:pPr>
        <w:ind w:firstLine="720"/>
      </w:pPr>
      <w:r w:rsidRPr="003B28EF">
        <w:t xml:space="preserve">The importance of these protections became more apparent with growing concerns surrounding reproductive health privacy. The Indiana case involving a 10-year-old Ohio girl who traveled to Indiana for abortion care became part of a national debate regarding healthcare privacy following the overturning of Roe v. Wade on June 24, 2022. </w:t>
      </w:r>
      <w:r w:rsidR="00C17496" w:rsidRPr="00C17496">
        <w:t>After a physician discussed the case with a newspaper, questions were raised about whether sufficient patient information had been disclosed to permit identification of the patient</w:t>
      </w:r>
      <w:r w:rsidR="00C17496">
        <w:t xml:space="preserve"> </w:t>
      </w:r>
      <w:r w:rsidR="00C17496" w:rsidRPr="003B28EF">
        <w:t>(Associated Press, 2023</w:t>
      </w:r>
      <w:r w:rsidR="00C17496">
        <w:t>)</w:t>
      </w:r>
      <w:r w:rsidR="00C17496" w:rsidRPr="00C17496">
        <w:t>. Although the matter generated significant public attention, it did not result in a HIPAA enforcement action</w:t>
      </w:r>
      <w:r w:rsidRPr="003B28EF">
        <w:t xml:space="preserve"> (Associated Press, 2024).</w:t>
      </w:r>
    </w:p>
    <w:p w14:paraId="769B2543" w14:textId="33873DE8" w:rsidR="003B28EF" w:rsidRPr="003B28EF" w:rsidRDefault="003B28EF" w:rsidP="00ED25D0">
      <w:pPr>
        <w:ind w:firstLine="720"/>
      </w:pPr>
      <w:r w:rsidRPr="003B28EF">
        <w:t xml:space="preserve">The Ohio/Indiana health case demonstrates that while HIPAA and HITECH strengthened patient privacy rights, they did not address every concern involving sensitive health information. In response, the Office for Civil Rights (OCR) within the U.S. Department of Health and Human Services enhanced HIPAA privacy protections in 2024 through the HIPAA Privacy Rule to Support Reproductive Health Care Privacy. </w:t>
      </w:r>
      <w:r w:rsidR="00ED25D0" w:rsidRPr="00ED25D0">
        <w:t>These provisions established additional safeguards to protect the privacy of reproductive health PHI and limit certain disclosures for prohibited purposes, including investigations or liability related to lawful reproductive healthcare</w:t>
      </w:r>
      <w:r w:rsidR="00ED25D0">
        <w:t xml:space="preserve"> </w:t>
      </w:r>
      <w:r w:rsidRPr="003B28EF">
        <w:t>(U.S. Department of Health and Human Services [HHS], 2024).</w:t>
      </w:r>
    </w:p>
    <w:p w14:paraId="0D76ACF3" w14:textId="77777777" w:rsidR="00A84789" w:rsidRDefault="00A84789" w:rsidP="00992E56"/>
    <w:p w14:paraId="4A0CDBA0" w14:textId="470296A9" w:rsidR="00EF03B4" w:rsidRPr="0097025A" w:rsidRDefault="00EF03B4" w:rsidP="00992E56">
      <w:pPr>
        <w:rPr>
          <w:b/>
          <w:bCs/>
        </w:rPr>
      </w:pPr>
      <w:r w:rsidRPr="0097025A">
        <w:rPr>
          <w:b/>
          <w:bCs/>
        </w:rPr>
        <w:t>References:</w:t>
      </w:r>
    </w:p>
    <w:p w14:paraId="1AFFB9FA" w14:textId="1EB03D90" w:rsidR="0097025A" w:rsidRDefault="0097025A" w:rsidP="00992E56">
      <w:r w:rsidRPr="0097025A">
        <w:rPr>
          <w:b/>
          <w:bCs/>
        </w:rPr>
        <w:t>Associated Press.</w:t>
      </w:r>
      <w:r w:rsidRPr="0097025A">
        <w:t xml:space="preserve"> (202</w:t>
      </w:r>
      <w:r w:rsidR="00032C7F">
        <w:t>3</w:t>
      </w:r>
      <w:r w:rsidRPr="0097025A">
        <w:t xml:space="preserve">, </w:t>
      </w:r>
      <w:r w:rsidR="00032C7F">
        <w:t>September 17</w:t>
      </w:r>
      <w:r w:rsidRPr="0097025A">
        <w:t xml:space="preserve">). </w:t>
      </w:r>
      <w:r w:rsidRPr="0097025A">
        <w:rPr>
          <w:i/>
          <w:iCs/>
        </w:rPr>
        <w:t>Indiana attorney general drops suit over privacy of Ohio girl who traveled for abortion.</w:t>
      </w:r>
      <w:r w:rsidRPr="0097025A">
        <w:t xml:space="preserve"> AP News. </w:t>
      </w:r>
      <w:hyperlink r:id="rId5" w:tgtFrame="_new" w:history="1">
        <w:r w:rsidRPr="0097025A">
          <w:rPr>
            <w:rStyle w:val="Hyperlink"/>
          </w:rPr>
          <w:t>https://apnews.com/article/abortion-indiana-ohio-lawsuit-e3657f24a24a38fe915e521b210a0089</w:t>
        </w:r>
      </w:hyperlink>
    </w:p>
    <w:p w14:paraId="708C53B7" w14:textId="325E8B59" w:rsidR="00032C7F" w:rsidRDefault="00032C7F" w:rsidP="00992E56">
      <w:r w:rsidRPr="00032C7F">
        <w:rPr>
          <w:b/>
          <w:bCs/>
        </w:rPr>
        <w:t>Associated Press.</w:t>
      </w:r>
      <w:r w:rsidRPr="00032C7F">
        <w:t xml:space="preserve"> (2024, August 14). </w:t>
      </w:r>
      <w:r w:rsidRPr="00032C7F">
        <w:rPr>
          <w:i/>
          <w:iCs/>
        </w:rPr>
        <w:t>Indiana attorney general drops suit over privacy of Ohio girl who traveled for abortion</w:t>
      </w:r>
      <w:r w:rsidRPr="00032C7F">
        <w:t xml:space="preserve">. The Indian Express. </w:t>
      </w:r>
      <w:hyperlink r:id="rId6" w:tgtFrame="_new" w:history="1">
        <w:r w:rsidRPr="00032C7F">
          <w:rPr>
            <w:rStyle w:val="Hyperlink"/>
          </w:rPr>
          <w:t>https://indianexpress.com/article/world/indiana-attorney-general-drops-suit-over-privacy-of-ohio-girl-9512600</w:t>
        </w:r>
      </w:hyperlink>
    </w:p>
    <w:p w14:paraId="3C042DA0" w14:textId="77952A2D" w:rsidR="00BA04EB" w:rsidRDefault="00BA04EB" w:rsidP="00992E56">
      <w:r w:rsidRPr="00BA04EB">
        <w:rPr>
          <w:b/>
          <w:bCs/>
        </w:rPr>
        <w:t>U.S. Department of Health and Human Services</w:t>
      </w:r>
      <w:r w:rsidRPr="00BA04EB">
        <w:t xml:space="preserve">. (2021, July 16). </w:t>
      </w:r>
      <w:r w:rsidRPr="00BA04EB">
        <w:rPr>
          <w:i/>
          <w:iCs/>
        </w:rPr>
        <w:t>Direct liability of business associates</w:t>
      </w:r>
      <w:r w:rsidRPr="00BA04EB">
        <w:t xml:space="preserve">. </w:t>
      </w:r>
      <w:hyperlink r:id="rId7" w:tgtFrame="_new" w:history="1">
        <w:r w:rsidRPr="00BA04EB">
          <w:rPr>
            <w:rStyle w:val="Hyperlink"/>
          </w:rPr>
          <w:t>https://www.hhs.gov/hipaa/for-professionals/privacy/guidance/business-associates/factsheet/index.html</w:t>
        </w:r>
      </w:hyperlink>
    </w:p>
    <w:p w14:paraId="374DE420" w14:textId="0170EAB1" w:rsidR="00EF03B4" w:rsidRDefault="00EF03B4" w:rsidP="00992E56">
      <w:r w:rsidRPr="00EF03B4">
        <w:rPr>
          <w:b/>
          <w:bCs/>
        </w:rPr>
        <w:t>U.S. Department of Health and Human Services</w:t>
      </w:r>
      <w:r w:rsidRPr="00EF03B4">
        <w:t xml:space="preserve">. (2022, December 28). </w:t>
      </w:r>
      <w:r w:rsidRPr="00EF03B4">
        <w:rPr>
          <w:i/>
          <w:iCs/>
        </w:rPr>
        <w:t>Under HIPAA, may an individual request that a covered entity restrict how it uses or discloses that individual’s protected health information (PHI)?</w:t>
      </w:r>
      <w:r w:rsidRPr="00EF03B4">
        <w:t xml:space="preserve"> </w:t>
      </w:r>
      <w:hyperlink r:id="rId8" w:tgtFrame="_new" w:history="1">
        <w:r w:rsidRPr="00EF03B4">
          <w:rPr>
            <w:rStyle w:val="Hyperlink"/>
          </w:rPr>
          <w:t>https://www.hhs.gov/hipaa/for-professionals/faq/3026/under-hipaa-may-an-individual-request-that-a-covered-entity-restrict-how-it-uses-or-discloses-that-individuals-protect-health-information/index.html</w:t>
        </w:r>
      </w:hyperlink>
    </w:p>
    <w:p w14:paraId="01ECB561" w14:textId="55E1E232" w:rsidR="00BA04EB" w:rsidRDefault="00C70A62" w:rsidP="00992E56">
      <w:r w:rsidRPr="00C70A62">
        <w:rPr>
          <w:b/>
          <w:bCs/>
        </w:rPr>
        <w:t>U.S. Department of Health and Human Services</w:t>
      </w:r>
      <w:r w:rsidRPr="00C70A62">
        <w:t xml:space="preserve">. (2024, April 22). </w:t>
      </w:r>
      <w:r w:rsidRPr="00C70A62">
        <w:rPr>
          <w:i/>
          <w:iCs/>
        </w:rPr>
        <w:t>HIPAA Privacy Rule final rule to support reproductive health care privacy: Fact sheet.</w:t>
      </w:r>
      <w:r w:rsidRPr="00C70A62">
        <w:t xml:space="preserve"> </w:t>
      </w:r>
      <w:hyperlink r:id="rId9" w:tgtFrame="_new" w:history="1">
        <w:r w:rsidRPr="00C70A62">
          <w:rPr>
            <w:rStyle w:val="Hyperlink"/>
          </w:rPr>
          <w:t>https://www.hhs.gov/hipaa/for-professionals/special-topics/reproductive-health/final-rule-fact-sheet/index.html</w:t>
        </w:r>
      </w:hyperlink>
    </w:p>
    <w:p w14:paraId="51A04C72" w14:textId="77777777" w:rsidR="00A84789" w:rsidRDefault="00A84789" w:rsidP="00A84789">
      <w:r w:rsidRPr="00BD3754">
        <w:t>AI assistance disclosure: ChatGPT (OpenAI) was used to assist with grammar, organization, APA formatting, and editing. All factual content, citations, and final written work were reviewed and verified by the author.</w:t>
      </w:r>
    </w:p>
    <w:p w14:paraId="4882566A" w14:textId="56369EC8" w:rsidR="00352C82" w:rsidRDefault="00352C82" w:rsidP="00A84789"/>
    <w:p w14:paraId="2754D955" w14:textId="301AE092" w:rsidR="00352C82" w:rsidRDefault="00352C82" w:rsidP="00A84789">
      <w:pPr>
        <w:pBdr>
          <w:top w:val="double" w:sz="6" w:space="1" w:color="auto"/>
          <w:bottom w:val="double" w:sz="6" w:space="1" w:color="auto"/>
        </w:pBdr>
      </w:pPr>
      <w:r>
        <w:t>Response 1</w:t>
      </w:r>
    </w:p>
    <w:p w14:paraId="39CEF936" w14:textId="77777777" w:rsidR="00AB7D2A" w:rsidRPr="00AB7D2A" w:rsidRDefault="00AB7D2A" w:rsidP="00AB7D2A">
      <w:r w:rsidRPr="00AB7D2A">
        <w:t>Hi Nina,</w:t>
      </w:r>
    </w:p>
    <w:p w14:paraId="543B5A64" w14:textId="2DB8B21C" w:rsidR="00AB7D2A" w:rsidRPr="00AB7D2A" w:rsidRDefault="00AB7D2A" w:rsidP="00AB7D2A">
      <w:pPr>
        <w:ind w:firstLine="720"/>
      </w:pPr>
      <w:r w:rsidRPr="00AB7D2A">
        <w:t xml:space="preserve">I agree that HITECH significantly strengthened HIPAA by expanding the responsibilities of business associates (BAs) and their subcontractors, ensuring they are held to the same standards as covered entities when handling protected health information (PHI). This increased accountability is especially important as healthcare organizations continue to rely on </w:t>
      </w:r>
      <w:r>
        <w:t>EHRs</w:t>
      </w:r>
      <w:r w:rsidRPr="00AB7D2A">
        <w:t>, cloud storage, and other digital technologies to manage patient information.</w:t>
      </w:r>
    </w:p>
    <w:p w14:paraId="725A6F82" w14:textId="77777777" w:rsidR="00B7353A" w:rsidRPr="00B7353A" w:rsidRDefault="00AB7D2A" w:rsidP="00B7353A">
      <w:r w:rsidRPr="00AB7D2A">
        <w:t>I enjoyed your discussion of electronic audits and workforce training. Regular audits, employee education, and updated security policies help organizations identify potential vulnerabilities before they lead to data breaches. HITECH's enhanced enforcement provisions and higher penalty structure have encouraged healthcare organizations to take privacy and security compliance more seriously, creating a stronger culture of accountability throughout the healthcare industry (Herold &amp; Beaver, 2014).</w:t>
      </w:r>
      <w:r w:rsidR="00B7353A">
        <w:br/>
      </w:r>
      <w:r w:rsidR="00B7353A" w:rsidRPr="00B7353A">
        <w:t xml:space="preserve">For patients, these changes improved the protection of their health information by holding every </w:t>
      </w:r>
      <w:r w:rsidR="00B7353A" w:rsidRPr="00B7353A">
        <w:lastRenderedPageBreak/>
        <w:t>organization that handles PHI accountable—not just healthcare providers. For covered entities, HITECH strengthened vendor oversight by requiring business associates to meet the same security expectations and allowing regulators to take enforcement action directly against organizations that fail to comply.</w:t>
      </w:r>
    </w:p>
    <w:p w14:paraId="1274D5DA" w14:textId="77777777" w:rsidR="00B7353A" w:rsidRPr="00B7353A" w:rsidRDefault="00B7353A" w:rsidP="00B7353A">
      <w:r w:rsidRPr="00B7353A">
        <w:t>In summary, HIPAA established Business Associate Agreements as contractual mechanisms for protecting PHI, but enforcement largely rested with covered entities. The HITECH Act transformed this relationship by making business associates directly responsible for complying with key HIPAA requirements and subject to federal enforcement. As Herold and Beaver (2014) explain, this shift required business associates to develop comprehensive privacy and security programs rather than simply fulfill contractual obligations, significantly strengthening the protection of patient information throughout the healthcare ecosystem.</w:t>
      </w:r>
    </w:p>
    <w:p w14:paraId="04079D00" w14:textId="273CB6FB" w:rsidR="00AB7D2A" w:rsidRPr="00AB7D2A" w:rsidRDefault="00AB7D2A" w:rsidP="00AB7D2A">
      <w:pPr>
        <w:ind w:firstLine="720"/>
      </w:pPr>
    </w:p>
    <w:p w14:paraId="331EC757" w14:textId="77777777" w:rsidR="00AB7D2A" w:rsidRPr="00AB7D2A" w:rsidRDefault="00AB7D2A" w:rsidP="00AB7D2A">
      <w:pPr>
        <w:ind w:firstLine="720"/>
      </w:pPr>
      <w:r w:rsidRPr="00AB7D2A">
        <w:t>Another important point is that HIPAA and HITECH continue to evolve alongside advances in healthcare technology. As cyber threats become more sophisticated, regulations must adapt to address emerging risks while maintaining patient trust. Recent research highlights that cyberattack on healthcare organizations can disrupt patient care, compromise sensitive health information, and threaten patient safety, making strong cybersecurity practices more important than ever (</w:t>
      </w:r>
      <w:proofErr w:type="spellStart"/>
      <w:r w:rsidRPr="00AB7D2A">
        <w:t>Aldosari</w:t>
      </w:r>
      <w:proofErr w:type="spellEnd"/>
      <w:r w:rsidRPr="00AB7D2A">
        <w:t>, 2025). Together, HIPAA and HITECH provide a strong framework that helps healthcare organizations safeguard sensitive data while promoting the ethical and responsible management of PHI in an increasingly digital healthcare environment.</w:t>
      </w:r>
    </w:p>
    <w:p w14:paraId="16D17F56" w14:textId="0BC72ED6" w:rsidR="002C0957" w:rsidRDefault="002C0957" w:rsidP="002C0957">
      <w:pPr>
        <w:rPr>
          <w:b/>
          <w:bCs/>
        </w:rPr>
      </w:pPr>
      <w:r w:rsidRPr="002C0957">
        <w:rPr>
          <w:b/>
          <w:bCs/>
        </w:rPr>
        <w:t>Reference:</w:t>
      </w:r>
    </w:p>
    <w:p w14:paraId="4151ACD2" w14:textId="7159F7C7" w:rsidR="00AB7D2A" w:rsidRPr="00AB7D2A" w:rsidRDefault="00AB7D2A" w:rsidP="002C0957">
      <w:proofErr w:type="spellStart"/>
      <w:r w:rsidRPr="00AB7D2A">
        <w:rPr>
          <w:b/>
          <w:bCs/>
        </w:rPr>
        <w:t>Aldosari</w:t>
      </w:r>
      <w:proofErr w:type="spellEnd"/>
      <w:r w:rsidRPr="00AB7D2A">
        <w:rPr>
          <w:b/>
          <w:bCs/>
        </w:rPr>
        <w:t xml:space="preserve">, </w:t>
      </w:r>
      <w:r w:rsidRPr="00AB7D2A">
        <w:t xml:space="preserve">B. (2025). </w:t>
      </w:r>
      <w:r w:rsidRPr="00AB7D2A">
        <w:rPr>
          <w:i/>
          <w:iCs/>
        </w:rPr>
        <w:t>Cybersecurity in healthcare: New threat to patient safety.</w:t>
      </w:r>
      <w:r w:rsidRPr="00AB7D2A">
        <w:t xml:space="preserve"> </w:t>
      </w:r>
      <w:proofErr w:type="spellStart"/>
      <w:r w:rsidRPr="00AB7D2A">
        <w:rPr>
          <w:i/>
          <w:iCs/>
        </w:rPr>
        <w:t>Cureus</w:t>
      </w:r>
      <w:proofErr w:type="spellEnd"/>
      <w:r w:rsidRPr="00AB7D2A">
        <w:rPr>
          <w:i/>
          <w:iCs/>
        </w:rPr>
        <w:t>, 17</w:t>
      </w:r>
      <w:r w:rsidRPr="00AB7D2A">
        <w:t>(5), e83614. https://doi.org/10.7759/cureus.83614</w:t>
      </w:r>
    </w:p>
    <w:p w14:paraId="3E16B345" w14:textId="688908AD" w:rsidR="002C0957" w:rsidRDefault="002C0957" w:rsidP="002C0957">
      <w:r w:rsidRPr="00AB7D2A">
        <w:rPr>
          <w:b/>
          <w:bCs/>
        </w:rPr>
        <w:t>Herold, R., &amp; Beaver, K.</w:t>
      </w:r>
      <w:r w:rsidRPr="002C0957">
        <w:t xml:space="preserve"> (20</w:t>
      </w:r>
      <w:r>
        <w:t>14</w:t>
      </w:r>
      <w:r w:rsidRPr="002C0957">
        <w:t xml:space="preserve">). </w:t>
      </w:r>
      <w:r w:rsidRPr="002C0957">
        <w:rPr>
          <w:i/>
          <w:iCs/>
        </w:rPr>
        <w:t>The practical guide to HIPAA privacy and security compliance</w:t>
      </w:r>
      <w:r w:rsidRPr="002C0957">
        <w:t xml:space="preserve"> (2nd ed.). Auerbach Publications.</w:t>
      </w:r>
    </w:p>
    <w:p w14:paraId="3DF448AF" w14:textId="77777777" w:rsidR="00B7353A" w:rsidRPr="002C0957" w:rsidRDefault="00B7353A" w:rsidP="002C0957"/>
    <w:p w14:paraId="161498A9" w14:textId="1128ACF6" w:rsidR="00AB7D2A" w:rsidRDefault="00AB7D2A" w:rsidP="00AB7D2A">
      <w:pPr>
        <w:pBdr>
          <w:top w:val="double" w:sz="6" w:space="1" w:color="auto"/>
          <w:bottom w:val="double" w:sz="6" w:space="1" w:color="auto"/>
        </w:pBdr>
      </w:pPr>
      <w:r>
        <w:t>Response 2</w:t>
      </w:r>
    </w:p>
    <w:p w14:paraId="4EC4BA07" w14:textId="77777777" w:rsidR="00876959" w:rsidRPr="00876959" w:rsidRDefault="00876959" w:rsidP="00876959">
      <w:r w:rsidRPr="00876959">
        <w:t>Hello Paul,</w:t>
      </w:r>
    </w:p>
    <w:p w14:paraId="6C217814" w14:textId="7EE11831" w:rsidR="00876959" w:rsidRPr="00876959" w:rsidRDefault="00876959" w:rsidP="00876959">
      <w:pPr>
        <w:ind w:firstLine="720"/>
      </w:pPr>
      <w:r w:rsidRPr="00876959">
        <w:t xml:space="preserve">Your discussion comparing patient access to protected health information (PHI) in acute care and long-term care settings highlights that more work still needs to be done to improve the integration of health data. This gap illustrates how HITECH expanded HIPAA by making electronic access to health information more practical for patients while also highlighting that long-term </w:t>
      </w:r>
      <w:r>
        <w:t xml:space="preserve">and acute </w:t>
      </w:r>
      <w:r w:rsidRPr="00876959">
        <w:t>care facilities still face barriers to achieving the same level of accessibility.</w:t>
      </w:r>
    </w:p>
    <w:p w14:paraId="5B0899CA" w14:textId="77777777" w:rsidR="00876959" w:rsidRPr="00876959" w:rsidRDefault="00876959" w:rsidP="00876959">
      <w:pPr>
        <w:ind w:firstLine="720"/>
      </w:pPr>
      <w:r w:rsidRPr="00876959">
        <w:t xml:space="preserve">Your post also emphasizes the importance of interoperability across the healthcare continuum. Although hospitals have made significant progress through patient portals and electronic health records (EHRs), many long-term care organizations continue to experience challenges with sharing information efficiently. This is one reason initiatives such as the Trusted Exchange Framework and Common Agreement (TEFCA) were developed to support secure health </w:t>
      </w:r>
      <w:r w:rsidRPr="00876959">
        <w:lastRenderedPageBreak/>
        <w:t>information exchange between different healthcare systems (ASTP/ONC, 2026). Greater interoperability can help reduce delays during transitions of care and give patients and their authorized representatives more timely access to their health information. As healthcare technology continues to evolve, these efforts will play an important role in improving care coordination, transparency, and patient engagement across all care settings.</w:t>
      </w:r>
    </w:p>
    <w:p w14:paraId="6782883A" w14:textId="330E88F1" w:rsidR="00876959" w:rsidRPr="00876959" w:rsidRDefault="00876959" w:rsidP="00876959">
      <w:pPr>
        <w:rPr>
          <w:b/>
          <w:bCs/>
        </w:rPr>
      </w:pPr>
      <w:r w:rsidRPr="00876959">
        <w:rPr>
          <w:b/>
          <w:bCs/>
        </w:rPr>
        <w:t>Reference:</w:t>
      </w:r>
    </w:p>
    <w:p w14:paraId="087A5B5A" w14:textId="17806ACD" w:rsidR="00B7353A" w:rsidRDefault="00876959" w:rsidP="00876959">
      <w:pPr>
        <w:rPr>
          <w:rStyle w:val="Hyperlink"/>
        </w:rPr>
      </w:pPr>
      <w:r w:rsidRPr="00876959">
        <w:rPr>
          <w:b/>
          <w:bCs/>
        </w:rPr>
        <w:t>Assistant Secretary for Technology Policy/Office of the National Coordinator for Health Information Technology.</w:t>
      </w:r>
      <w:r w:rsidRPr="00876959">
        <w:t xml:space="preserve"> (2026, February 11). </w:t>
      </w:r>
      <w:r w:rsidRPr="00876959">
        <w:rPr>
          <w:i/>
          <w:iCs/>
        </w:rPr>
        <w:t>Data liquidity, affordability, and access: The history &amp; growth of TEFCA®</w:t>
      </w:r>
      <w:r w:rsidRPr="00876959">
        <w:t xml:space="preserve">. U.S. Department of Health and Human Services. </w:t>
      </w:r>
      <w:hyperlink r:id="rId10" w:tgtFrame="_blank" w:history="1">
        <w:r w:rsidRPr="00876959">
          <w:rPr>
            <w:rStyle w:val="Hyperlink"/>
          </w:rPr>
          <w:t>https://healthit.gov/resources/data-liquidity-affordability-and-access-the-history-growth-of-tefca/</w:t>
        </w:r>
      </w:hyperlink>
    </w:p>
    <w:p w14:paraId="348DEED9" w14:textId="77777777" w:rsidR="00B7353A" w:rsidRDefault="00B7353A">
      <w:pPr>
        <w:rPr>
          <w:rStyle w:val="Hyperlink"/>
        </w:rPr>
      </w:pPr>
      <w:r>
        <w:rPr>
          <w:rStyle w:val="Hyperlink"/>
        </w:rPr>
        <w:br w:type="page"/>
      </w:r>
    </w:p>
    <w:p w14:paraId="53E51C6D" w14:textId="499E40AD" w:rsidR="00876959" w:rsidRDefault="00876959" w:rsidP="00876959">
      <w:pPr>
        <w:rPr>
          <w:rStyle w:val="Hyperlink"/>
        </w:rPr>
      </w:pPr>
    </w:p>
    <w:p w14:paraId="0C40BA42" w14:textId="11BD4B99" w:rsidR="00524443" w:rsidRDefault="00B7353A" w:rsidP="00876959">
      <w:pPr>
        <w:pBdr>
          <w:top w:val="double" w:sz="6" w:space="1" w:color="auto"/>
          <w:bottom w:val="double" w:sz="6" w:space="1" w:color="auto"/>
        </w:pBdr>
      </w:pPr>
      <w:r>
        <w:t xml:space="preserve">Second Article </w:t>
      </w:r>
    </w:p>
    <w:p w14:paraId="5BB9808C" w14:textId="77777777" w:rsidR="00B7353A" w:rsidRPr="0029028D" w:rsidRDefault="00B7353A" w:rsidP="00876959"/>
    <w:p w14:paraId="109462CD" w14:textId="77777777" w:rsidR="00512518" w:rsidRDefault="00512518" w:rsidP="00FE5012"/>
    <w:p w14:paraId="18F960DE" w14:textId="77777777" w:rsidR="00512518" w:rsidRDefault="00512518" w:rsidP="00FE5012"/>
    <w:p w14:paraId="51221236" w14:textId="77777777" w:rsidR="0037529A" w:rsidRPr="0037529A" w:rsidRDefault="0037529A" w:rsidP="0037529A">
      <w:pPr>
        <w:rPr>
          <w:b/>
          <w:bCs/>
        </w:rPr>
      </w:pPr>
      <w:r w:rsidRPr="0037529A">
        <w:rPr>
          <w:b/>
          <w:bCs/>
        </w:rPr>
        <w:t>HIPAA vs. HITECH: Business Associate Responsibility for Protecting Protected Health Information</w:t>
      </w:r>
    </w:p>
    <w:p w14:paraId="110296F4" w14:textId="631377F7" w:rsidR="00B328D0" w:rsidRPr="00B328D0" w:rsidRDefault="00B328D0" w:rsidP="00B328D0">
      <w:pPr>
        <w:ind w:firstLine="720"/>
      </w:pPr>
      <w:r w:rsidRPr="00B328D0">
        <w:t>A significant change introduced by the HITECH Act was the expansion of business associate (BA) responsibility for protecting protected health information (PHI). While the Health Insurance Portability and Accountability Act (HIPAA) established privacy and security requirements for covered entities (CEs), HITECH strengthened these requirements by making BAs directly accountable for certain HIPAA obligations (U.S. Department of Health and Human Services [HHS], n.d.-b; Herold &amp; Beaver, 2014).</w:t>
      </w:r>
    </w:p>
    <w:p w14:paraId="2B65D7D9" w14:textId="31AD62D6" w:rsidR="00B328D0" w:rsidRPr="00B328D0" w:rsidRDefault="00C32E3F" w:rsidP="00B328D0">
      <w:pPr>
        <w:ind w:firstLine="720"/>
      </w:pPr>
      <w:r w:rsidRPr="00C32E3F">
        <w:t xml:space="preserve">Under HIPAA, BAs, including cloud service providers, billing companies, and </w:t>
      </w:r>
      <w:r w:rsidR="00AB6E87">
        <w:t>HIT</w:t>
      </w:r>
      <w:r w:rsidRPr="00C32E3F">
        <w:t xml:space="preserve"> vendors, are required to enter into Business Associate Agreements (BAAs) before accessing PHI. Before HITECH, these agreements defined the responsibilities for protecting PHI; however, enforcement responsibility primarily remained with </w:t>
      </w:r>
      <w:r>
        <w:t>CEs</w:t>
      </w:r>
      <w:r w:rsidRPr="00C32E3F">
        <w:t>, which relied on contractual agreements and oversight to manage BA compliance</w:t>
      </w:r>
      <w:r w:rsidR="00B328D0" w:rsidRPr="00B328D0">
        <w:t>. If a BA failed to protect PHI, accountability generally focused on the CE rather than directly on the vendor (HHS, n.d.-a).</w:t>
      </w:r>
    </w:p>
    <w:p w14:paraId="7D166510" w14:textId="3F5EB206" w:rsidR="00B328D0" w:rsidRPr="00B328D0" w:rsidRDefault="00C32E3F" w:rsidP="00B328D0">
      <w:pPr>
        <w:ind w:firstLine="720"/>
      </w:pPr>
      <w:r w:rsidRPr="00C32E3F">
        <w:t xml:space="preserve">HITECH changed this by making BAs directly </w:t>
      </w:r>
      <w:r>
        <w:t>accountable</w:t>
      </w:r>
      <w:r w:rsidRPr="00C32E3F">
        <w:t xml:space="preserve"> for compliance with certain HIPAA Privacy, Security, and Breach Notification requirements.</w:t>
      </w:r>
      <w:r>
        <w:t xml:space="preserve"> </w:t>
      </w:r>
      <w:r w:rsidR="00B328D0" w:rsidRPr="00B328D0">
        <w:t>BAs became subject to HIPAA requirements and potential penalties and were required to implement safeguards, conduct risk assessments, and report breaches involving unsecured PHI (HHS, n.d.-b; Herold &amp; Beaver, 2014). These changes increased accountability by requiring organizations handling PHI to maintain appropriate protections rather than relying solely on contractual agreements (HHS, n.d.-a).</w:t>
      </w:r>
    </w:p>
    <w:p w14:paraId="5F3010B8" w14:textId="049D180A" w:rsidR="00B328D0" w:rsidRPr="00B328D0" w:rsidRDefault="00B328D0" w:rsidP="00B328D0">
      <w:pPr>
        <w:ind w:firstLine="720"/>
      </w:pPr>
      <w:r w:rsidRPr="00B328D0">
        <w:t xml:space="preserve">Change Healthcare, a BA that processes healthcare claims and payment transactions containing PHI, experienced a cyberattack that disrupted healthcare operations and exposed </w:t>
      </w:r>
      <w:r w:rsidR="00AB6E87">
        <w:t>PHI</w:t>
      </w:r>
      <w:r w:rsidRPr="00B328D0">
        <w:t xml:space="preserve">. Under HITECH, BAs must comply with applicable HIPAA protections and maintain direct responsibility for compliance (HHS, 2025). The incident highlights the importance of security practices among organizations handling PHI (Fliegelman &amp; </w:t>
      </w:r>
      <w:proofErr w:type="spellStart"/>
      <w:r w:rsidRPr="00B328D0">
        <w:t>Stemp</w:t>
      </w:r>
      <w:proofErr w:type="spellEnd"/>
      <w:r w:rsidRPr="00B328D0">
        <w:t>, 2024).</w:t>
      </w:r>
    </w:p>
    <w:p w14:paraId="51FE5110" w14:textId="4F790EC6" w:rsidR="00B328D0" w:rsidRPr="00B328D0" w:rsidRDefault="00B328D0" w:rsidP="00B328D0">
      <w:pPr>
        <w:ind w:firstLine="720"/>
      </w:pPr>
      <w:r w:rsidRPr="00B328D0">
        <w:t>HIPAA established the BAA</w:t>
      </w:r>
      <w:r w:rsidR="00AB6E87">
        <w:t xml:space="preserve"> </w:t>
      </w:r>
      <w:r w:rsidRPr="00B328D0">
        <w:t xml:space="preserve">between CEs and BAs, while HITECH expanded BA accountability by creating direct obligations under HIPAA rules. HITECH strengthened patient protections by making certain BAs directly liable for compliance with HIPAA requirements </w:t>
      </w:r>
      <w:r>
        <w:t xml:space="preserve">safeguarding </w:t>
      </w:r>
      <w:r w:rsidRPr="00B328D0">
        <w:t>PHI.</w:t>
      </w:r>
    </w:p>
    <w:p w14:paraId="10272764" w14:textId="3DD4CA50" w:rsidR="00512518" w:rsidRPr="00512518" w:rsidRDefault="00512518" w:rsidP="00512518">
      <w:r w:rsidRPr="00512518">
        <w:rPr>
          <w:b/>
          <w:bCs/>
        </w:rPr>
        <w:t>References</w:t>
      </w:r>
    </w:p>
    <w:p w14:paraId="27884FB0" w14:textId="77777777" w:rsidR="00B328D0" w:rsidRPr="00B328D0" w:rsidRDefault="00B328D0" w:rsidP="00B328D0">
      <w:proofErr w:type="spellStart"/>
      <w:r w:rsidRPr="00B328D0">
        <w:lastRenderedPageBreak/>
        <w:t>Censinet</w:t>
      </w:r>
      <w:proofErr w:type="spellEnd"/>
      <w:r w:rsidRPr="00B328D0">
        <w:t xml:space="preserve">. (2025). </w:t>
      </w:r>
      <w:r w:rsidRPr="00B328D0">
        <w:rPr>
          <w:i/>
          <w:iCs/>
        </w:rPr>
        <w:t>HITECH vs. HIPAA: Business Associate Agreement differences</w:t>
      </w:r>
      <w:r w:rsidRPr="00B328D0">
        <w:t xml:space="preserve">. </w:t>
      </w:r>
      <w:hyperlink r:id="rId11" w:history="1">
        <w:r w:rsidRPr="00B328D0">
          <w:rPr>
            <w:rStyle w:val="Hyperlink"/>
          </w:rPr>
          <w:t>https://www.censinet.com/perspectives/hitech-vs-hipaa-business-associate-agreement-differences</w:t>
        </w:r>
      </w:hyperlink>
    </w:p>
    <w:p w14:paraId="3365D241" w14:textId="77777777" w:rsidR="00B328D0" w:rsidRPr="00B328D0" w:rsidRDefault="00B328D0" w:rsidP="00B328D0">
      <w:r w:rsidRPr="00B328D0">
        <w:t xml:space="preserve">Fliegelman, A., &amp; </w:t>
      </w:r>
      <w:proofErr w:type="spellStart"/>
      <w:r w:rsidRPr="00B328D0">
        <w:t>Stemp</w:t>
      </w:r>
      <w:proofErr w:type="spellEnd"/>
      <w:r w:rsidRPr="00B328D0">
        <w:t xml:space="preserve">, D. (2024). </w:t>
      </w:r>
      <w:r w:rsidRPr="00B328D0">
        <w:rPr>
          <w:i/>
          <w:iCs/>
        </w:rPr>
        <w:t>The cyberattack on Change Healthcare: Lessons for financial stability</w:t>
      </w:r>
      <w:r w:rsidRPr="00B328D0">
        <w:t xml:space="preserve"> (OFR Brief No. 24-05). Office of Financial Research, U.S. Department of the Treasury. </w:t>
      </w:r>
      <w:hyperlink r:id="rId12" w:history="1">
        <w:r w:rsidRPr="00B328D0">
          <w:rPr>
            <w:rStyle w:val="Hyperlink"/>
          </w:rPr>
          <w:t>https://www.financialresearch.gov/briefs/files/OFRBrief-24-05-change-healthcare-cyberattack.pdf</w:t>
        </w:r>
      </w:hyperlink>
    </w:p>
    <w:p w14:paraId="643FCDBF" w14:textId="77777777" w:rsidR="00B328D0" w:rsidRPr="00B328D0" w:rsidRDefault="00B328D0" w:rsidP="00B328D0">
      <w:r w:rsidRPr="00B328D0">
        <w:t xml:space="preserve">Herold, R., &amp; Beaver, K. (2014). </w:t>
      </w:r>
      <w:r w:rsidRPr="00B328D0">
        <w:rPr>
          <w:i/>
          <w:iCs/>
        </w:rPr>
        <w:t>The practical guide to HIPAA privacy and security compliance</w:t>
      </w:r>
      <w:r w:rsidRPr="00B328D0">
        <w:t xml:space="preserve"> (2nd ed.). Auerbach Publications.</w:t>
      </w:r>
    </w:p>
    <w:p w14:paraId="7EC4F2D2" w14:textId="77777777" w:rsidR="00B328D0" w:rsidRPr="00B328D0" w:rsidRDefault="00B328D0" w:rsidP="00B328D0">
      <w:r w:rsidRPr="00B328D0">
        <w:t xml:space="preserve">HIPAA Journal. (2026). </w:t>
      </w:r>
      <w:r w:rsidRPr="00B328D0">
        <w:rPr>
          <w:i/>
          <w:iCs/>
        </w:rPr>
        <w:t>HIPAA and HITECH</w:t>
      </w:r>
      <w:r w:rsidRPr="00B328D0">
        <w:t xml:space="preserve">. </w:t>
      </w:r>
      <w:hyperlink r:id="rId13" w:history="1">
        <w:r w:rsidRPr="00B328D0">
          <w:rPr>
            <w:rStyle w:val="Hyperlink"/>
          </w:rPr>
          <w:t>https://www.hipaajournal.com/hipaa-and-hitech/</w:t>
        </w:r>
      </w:hyperlink>
    </w:p>
    <w:p w14:paraId="64A46BB5" w14:textId="77777777" w:rsidR="00B328D0" w:rsidRPr="00B328D0" w:rsidRDefault="00B328D0" w:rsidP="00B328D0">
      <w:r w:rsidRPr="00B328D0">
        <w:t xml:space="preserve">U.S. Department of Health and Human Services, Office for Civil Rights. (n.d.-a). </w:t>
      </w:r>
      <w:r w:rsidRPr="00B328D0">
        <w:rPr>
          <w:i/>
          <w:iCs/>
        </w:rPr>
        <w:t>Business associates</w:t>
      </w:r>
      <w:r w:rsidRPr="00B328D0">
        <w:t xml:space="preserve">. </w:t>
      </w:r>
      <w:hyperlink r:id="rId14" w:history="1">
        <w:r w:rsidRPr="00B328D0">
          <w:rPr>
            <w:rStyle w:val="Hyperlink"/>
          </w:rPr>
          <w:t>https://www.hhs.gov/hipaa/for-professionals/privacy/guidance/business-associates/index.html</w:t>
        </w:r>
      </w:hyperlink>
    </w:p>
    <w:p w14:paraId="12C4DDB1" w14:textId="77777777" w:rsidR="00B328D0" w:rsidRPr="00B328D0" w:rsidRDefault="00B328D0" w:rsidP="00B328D0">
      <w:r w:rsidRPr="00B328D0">
        <w:t xml:space="preserve">U.S. Department of Health and Human Services, Office for Civil Rights. (n.d.-b). </w:t>
      </w:r>
      <w:r w:rsidRPr="00B328D0">
        <w:rPr>
          <w:i/>
          <w:iCs/>
        </w:rPr>
        <w:t>Direct liability of business associates</w:t>
      </w:r>
      <w:r w:rsidRPr="00B328D0">
        <w:t xml:space="preserve">. </w:t>
      </w:r>
      <w:hyperlink r:id="rId15" w:history="1">
        <w:r w:rsidRPr="00B328D0">
          <w:rPr>
            <w:rStyle w:val="Hyperlink"/>
          </w:rPr>
          <w:t>ht</w:t>
        </w:r>
        <w:r w:rsidRPr="00B328D0">
          <w:rPr>
            <w:rStyle w:val="Hyperlink"/>
          </w:rPr>
          <w:t>t</w:t>
        </w:r>
        <w:r w:rsidRPr="00B328D0">
          <w:rPr>
            <w:rStyle w:val="Hyperlink"/>
          </w:rPr>
          <w:t>ps://www.hhs.gov/hipaa/for-professionals/privacy/guidance/business-associates/factsheet/index.html</w:t>
        </w:r>
      </w:hyperlink>
    </w:p>
    <w:p w14:paraId="25798819" w14:textId="77777777" w:rsidR="00B328D0" w:rsidRPr="00B328D0" w:rsidRDefault="00B328D0" w:rsidP="00B328D0">
      <w:r w:rsidRPr="00B328D0">
        <w:t xml:space="preserve">U.S. Department of Health and Human Services, Office for Civil Rights. (2025). </w:t>
      </w:r>
      <w:r w:rsidRPr="00B328D0">
        <w:rPr>
          <w:i/>
          <w:iCs/>
        </w:rPr>
        <w:t>Change Healthcare cybersecurity incident frequently asked questions</w:t>
      </w:r>
      <w:r w:rsidRPr="00B328D0">
        <w:t xml:space="preserve">. </w:t>
      </w:r>
      <w:hyperlink r:id="rId16" w:history="1">
        <w:r w:rsidRPr="00B328D0">
          <w:rPr>
            <w:rStyle w:val="Hyperlink"/>
          </w:rPr>
          <w:t>https://www.hhs.gov/hipaa/for-professionals/special-topics/change-healthcare-cybersecurity-incident-frequently-asked-questions/index.html</w:t>
        </w:r>
      </w:hyperlink>
    </w:p>
    <w:p w14:paraId="07240EBE" w14:textId="77777777" w:rsidR="00A941EE" w:rsidRDefault="00A941EE" w:rsidP="00FE5012"/>
    <w:p w14:paraId="25A36909" w14:textId="77777777" w:rsidR="00B328D0" w:rsidRDefault="00B328D0" w:rsidP="00B328D0">
      <w:r w:rsidRPr="00BD3754">
        <w:t>AI assistance disclosure: ChatGPT (OpenAI) was used to assist with grammar, organization, APA formatting, and editing. All factual content, citations, and final written work were reviewed and verified by the author.</w:t>
      </w:r>
    </w:p>
    <w:p w14:paraId="0A888EF2" w14:textId="77777777" w:rsidR="00C23D51" w:rsidRDefault="00C23D51" w:rsidP="00FE5012"/>
    <w:p w14:paraId="4A85B104" w14:textId="77777777" w:rsidR="00C23D51" w:rsidRDefault="00C23D51" w:rsidP="00FE5012"/>
    <w:p w14:paraId="321F6106" w14:textId="77777777" w:rsidR="00C23D51" w:rsidRPr="00EF03B4" w:rsidRDefault="00C23D51" w:rsidP="00FE5012"/>
    <w:sectPr w:rsidR="00C23D51" w:rsidRPr="00EF0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5772C"/>
    <w:multiLevelType w:val="hybridMultilevel"/>
    <w:tmpl w:val="3E0E1E6A"/>
    <w:lvl w:ilvl="0" w:tplc="4DD2F9FE">
      <w:start w:val="1"/>
      <w:numFmt w:val="bullet"/>
      <w:lvlText w:val="•"/>
      <w:lvlJc w:val="left"/>
      <w:pPr>
        <w:tabs>
          <w:tab w:val="num" w:pos="720"/>
        </w:tabs>
        <w:ind w:left="720" w:hanging="360"/>
      </w:pPr>
      <w:rPr>
        <w:rFonts w:ascii="Arial" w:hAnsi="Arial" w:hint="default"/>
      </w:rPr>
    </w:lvl>
    <w:lvl w:ilvl="1" w:tplc="2F74E8D8">
      <w:start w:val="1"/>
      <w:numFmt w:val="bullet"/>
      <w:lvlText w:val="•"/>
      <w:lvlJc w:val="left"/>
      <w:pPr>
        <w:tabs>
          <w:tab w:val="num" w:pos="1440"/>
        </w:tabs>
        <w:ind w:left="1440" w:hanging="360"/>
      </w:pPr>
      <w:rPr>
        <w:rFonts w:ascii="Arial" w:hAnsi="Arial" w:hint="default"/>
      </w:rPr>
    </w:lvl>
    <w:lvl w:ilvl="2" w:tplc="63DE9F7C">
      <w:start w:val="1"/>
      <w:numFmt w:val="bullet"/>
      <w:lvlText w:val="•"/>
      <w:lvlJc w:val="left"/>
      <w:pPr>
        <w:tabs>
          <w:tab w:val="num" w:pos="2160"/>
        </w:tabs>
        <w:ind w:left="2160" w:hanging="360"/>
      </w:pPr>
      <w:rPr>
        <w:rFonts w:ascii="Arial" w:hAnsi="Arial" w:hint="default"/>
      </w:rPr>
    </w:lvl>
    <w:lvl w:ilvl="3" w:tplc="D4EE34A6" w:tentative="1">
      <w:start w:val="1"/>
      <w:numFmt w:val="bullet"/>
      <w:lvlText w:val="•"/>
      <w:lvlJc w:val="left"/>
      <w:pPr>
        <w:tabs>
          <w:tab w:val="num" w:pos="2880"/>
        </w:tabs>
        <w:ind w:left="2880" w:hanging="360"/>
      </w:pPr>
      <w:rPr>
        <w:rFonts w:ascii="Arial" w:hAnsi="Arial" w:hint="default"/>
      </w:rPr>
    </w:lvl>
    <w:lvl w:ilvl="4" w:tplc="40E28230" w:tentative="1">
      <w:start w:val="1"/>
      <w:numFmt w:val="bullet"/>
      <w:lvlText w:val="•"/>
      <w:lvlJc w:val="left"/>
      <w:pPr>
        <w:tabs>
          <w:tab w:val="num" w:pos="3600"/>
        </w:tabs>
        <w:ind w:left="3600" w:hanging="360"/>
      </w:pPr>
      <w:rPr>
        <w:rFonts w:ascii="Arial" w:hAnsi="Arial" w:hint="default"/>
      </w:rPr>
    </w:lvl>
    <w:lvl w:ilvl="5" w:tplc="DB0AC04E" w:tentative="1">
      <w:start w:val="1"/>
      <w:numFmt w:val="bullet"/>
      <w:lvlText w:val="•"/>
      <w:lvlJc w:val="left"/>
      <w:pPr>
        <w:tabs>
          <w:tab w:val="num" w:pos="4320"/>
        </w:tabs>
        <w:ind w:left="4320" w:hanging="360"/>
      </w:pPr>
      <w:rPr>
        <w:rFonts w:ascii="Arial" w:hAnsi="Arial" w:hint="default"/>
      </w:rPr>
    </w:lvl>
    <w:lvl w:ilvl="6" w:tplc="23ACFE9A" w:tentative="1">
      <w:start w:val="1"/>
      <w:numFmt w:val="bullet"/>
      <w:lvlText w:val="•"/>
      <w:lvlJc w:val="left"/>
      <w:pPr>
        <w:tabs>
          <w:tab w:val="num" w:pos="5040"/>
        </w:tabs>
        <w:ind w:left="5040" w:hanging="360"/>
      </w:pPr>
      <w:rPr>
        <w:rFonts w:ascii="Arial" w:hAnsi="Arial" w:hint="default"/>
      </w:rPr>
    </w:lvl>
    <w:lvl w:ilvl="7" w:tplc="27345886" w:tentative="1">
      <w:start w:val="1"/>
      <w:numFmt w:val="bullet"/>
      <w:lvlText w:val="•"/>
      <w:lvlJc w:val="left"/>
      <w:pPr>
        <w:tabs>
          <w:tab w:val="num" w:pos="5760"/>
        </w:tabs>
        <w:ind w:left="5760" w:hanging="360"/>
      </w:pPr>
      <w:rPr>
        <w:rFonts w:ascii="Arial" w:hAnsi="Arial" w:hint="default"/>
      </w:rPr>
    </w:lvl>
    <w:lvl w:ilvl="8" w:tplc="6D48BE58" w:tentative="1">
      <w:start w:val="1"/>
      <w:numFmt w:val="bullet"/>
      <w:lvlText w:val="•"/>
      <w:lvlJc w:val="left"/>
      <w:pPr>
        <w:tabs>
          <w:tab w:val="num" w:pos="6480"/>
        </w:tabs>
        <w:ind w:left="6480" w:hanging="360"/>
      </w:pPr>
      <w:rPr>
        <w:rFonts w:ascii="Arial" w:hAnsi="Arial" w:hint="default"/>
      </w:rPr>
    </w:lvl>
  </w:abstractNum>
  <w:num w:numId="1" w16cid:durableId="154298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6D"/>
    <w:rsid w:val="00021E31"/>
    <w:rsid w:val="00026248"/>
    <w:rsid w:val="00032C7F"/>
    <w:rsid w:val="00074821"/>
    <w:rsid w:val="00081325"/>
    <w:rsid w:val="001246D7"/>
    <w:rsid w:val="002035C7"/>
    <w:rsid w:val="002150B1"/>
    <w:rsid w:val="002209A9"/>
    <w:rsid w:val="00221296"/>
    <w:rsid w:val="002626D1"/>
    <w:rsid w:val="0029028D"/>
    <w:rsid w:val="002A2981"/>
    <w:rsid w:val="002C0957"/>
    <w:rsid w:val="00316A2B"/>
    <w:rsid w:val="00352C82"/>
    <w:rsid w:val="0037529A"/>
    <w:rsid w:val="003B28EF"/>
    <w:rsid w:val="00465B15"/>
    <w:rsid w:val="00476F3E"/>
    <w:rsid w:val="004C5E29"/>
    <w:rsid w:val="004E6E95"/>
    <w:rsid w:val="0050371B"/>
    <w:rsid w:val="00504BE7"/>
    <w:rsid w:val="00512518"/>
    <w:rsid w:val="00524443"/>
    <w:rsid w:val="00535429"/>
    <w:rsid w:val="006C69B6"/>
    <w:rsid w:val="00735A57"/>
    <w:rsid w:val="007555C9"/>
    <w:rsid w:val="00755DE6"/>
    <w:rsid w:val="00762B83"/>
    <w:rsid w:val="0080666D"/>
    <w:rsid w:val="00834B65"/>
    <w:rsid w:val="00876959"/>
    <w:rsid w:val="0097025A"/>
    <w:rsid w:val="00992E56"/>
    <w:rsid w:val="009B1BD1"/>
    <w:rsid w:val="009C52E6"/>
    <w:rsid w:val="009E0FBD"/>
    <w:rsid w:val="00A84789"/>
    <w:rsid w:val="00A941EE"/>
    <w:rsid w:val="00AA55F2"/>
    <w:rsid w:val="00AB6E87"/>
    <w:rsid w:val="00AB7D2A"/>
    <w:rsid w:val="00B328D0"/>
    <w:rsid w:val="00B7353A"/>
    <w:rsid w:val="00BA04EB"/>
    <w:rsid w:val="00BD5556"/>
    <w:rsid w:val="00C17496"/>
    <w:rsid w:val="00C23D51"/>
    <w:rsid w:val="00C32E3F"/>
    <w:rsid w:val="00C70A62"/>
    <w:rsid w:val="00CE0AA6"/>
    <w:rsid w:val="00CF301C"/>
    <w:rsid w:val="00ED25D0"/>
    <w:rsid w:val="00EF03B4"/>
    <w:rsid w:val="00FD1EB9"/>
    <w:rsid w:val="00FE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74BB"/>
  <w15:chartTrackingRefBased/>
  <w15:docId w15:val="{76926028-0D79-4867-9FC7-99C21B0A4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66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0666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0666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0666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0666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6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66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0666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0666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0666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0666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6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66D"/>
    <w:rPr>
      <w:rFonts w:eastAsiaTheme="majorEastAsia" w:cstheme="majorBidi"/>
      <w:color w:val="272727" w:themeColor="text1" w:themeTint="D8"/>
    </w:rPr>
  </w:style>
  <w:style w:type="paragraph" w:styleId="Title">
    <w:name w:val="Title"/>
    <w:basedOn w:val="Normal"/>
    <w:next w:val="Normal"/>
    <w:link w:val="TitleChar"/>
    <w:uiPriority w:val="10"/>
    <w:qFormat/>
    <w:rsid w:val="00806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66D"/>
    <w:pPr>
      <w:spacing w:before="160"/>
      <w:jc w:val="center"/>
    </w:pPr>
    <w:rPr>
      <w:i/>
      <w:iCs/>
      <w:color w:val="404040" w:themeColor="text1" w:themeTint="BF"/>
    </w:rPr>
  </w:style>
  <w:style w:type="character" w:customStyle="1" w:styleId="QuoteChar">
    <w:name w:val="Quote Char"/>
    <w:basedOn w:val="DefaultParagraphFont"/>
    <w:link w:val="Quote"/>
    <w:uiPriority w:val="29"/>
    <w:rsid w:val="0080666D"/>
    <w:rPr>
      <w:i/>
      <w:iCs/>
      <w:color w:val="404040" w:themeColor="text1" w:themeTint="BF"/>
    </w:rPr>
  </w:style>
  <w:style w:type="paragraph" w:styleId="ListParagraph">
    <w:name w:val="List Paragraph"/>
    <w:basedOn w:val="Normal"/>
    <w:uiPriority w:val="34"/>
    <w:qFormat/>
    <w:rsid w:val="0080666D"/>
    <w:pPr>
      <w:ind w:left="720"/>
      <w:contextualSpacing/>
    </w:pPr>
  </w:style>
  <w:style w:type="character" w:styleId="IntenseEmphasis">
    <w:name w:val="Intense Emphasis"/>
    <w:basedOn w:val="DefaultParagraphFont"/>
    <w:uiPriority w:val="21"/>
    <w:qFormat/>
    <w:rsid w:val="0080666D"/>
    <w:rPr>
      <w:i/>
      <w:iCs/>
      <w:color w:val="2E74B5" w:themeColor="accent1" w:themeShade="BF"/>
    </w:rPr>
  </w:style>
  <w:style w:type="paragraph" w:styleId="IntenseQuote">
    <w:name w:val="Intense Quote"/>
    <w:basedOn w:val="Normal"/>
    <w:next w:val="Normal"/>
    <w:link w:val="IntenseQuoteChar"/>
    <w:uiPriority w:val="30"/>
    <w:qFormat/>
    <w:rsid w:val="008066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666D"/>
    <w:rPr>
      <w:i/>
      <w:iCs/>
      <w:color w:val="2E74B5" w:themeColor="accent1" w:themeShade="BF"/>
    </w:rPr>
  </w:style>
  <w:style w:type="character" w:styleId="IntenseReference">
    <w:name w:val="Intense Reference"/>
    <w:basedOn w:val="DefaultParagraphFont"/>
    <w:uiPriority w:val="32"/>
    <w:qFormat/>
    <w:rsid w:val="0080666D"/>
    <w:rPr>
      <w:b/>
      <w:bCs/>
      <w:smallCaps/>
      <w:color w:val="2E74B5" w:themeColor="accent1" w:themeShade="BF"/>
      <w:spacing w:val="5"/>
    </w:rPr>
  </w:style>
  <w:style w:type="character" w:styleId="Hyperlink">
    <w:name w:val="Hyperlink"/>
    <w:basedOn w:val="DefaultParagraphFont"/>
    <w:uiPriority w:val="99"/>
    <w:unhideWhenUsed/>
    <w:rsid w:val="00EF03B4"/>
    <w:rPr>
      <w:color w:val="0563C1" w:themeColor="hyperlink"/>
      <w:u w:val="single"/>
    </w:rPr>
  </w:style>
  <w:style w:type="character" w:styleId="UnresolvedMention">
    <w:name w:val="Unresolved Mention"/>
    <w:basedOn w:val="DefaultParagraphFont"/>
    <w:uiPriority w:val="99"/>
    <w:semiHidden/>
    <w:unhideWhenUsed/>
    <w:rsid w:val="00EF03B4"/>
    <w:rPr>
      <w:color w:val="605E5C"/>
      <w:shd w:val="clear" w:color="auto" w:fill="E1DFDD"/>
    </w:rPr>
  </w:style>
  <w:style w:type="character" w:styleId="FollowedHyperlink">
    <w:name w:val="FollowedHyperlink"/>
    <w:basedOn w:val="DefaultParagraphFont"/>
    <w:uiPriority w:val="99"/>
    <w:semiHidden/>
    <w:unhideWhenUsed/>
    <w:rsid w:val="00C70A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19861">
      <w:bodyDiv w:val="1"/>
      <w:marLeft w:val="0"/>
      <w:marRight w:val="0"/>
      <w:marTop w:val="0"/>
      <w:marBottom w:val="0"/>
      <w:divBdr>
        <w:top w:val="none" w:sz="0" w:space="0" w:color="auto"/>
        <w:left w:val="none" w:sz="0" w:space="0" w:color="auto"/>
        <w:bottom w:val="none" w:sz="0" w:space="0" w:color="auto"/>
        <w:right w:val="none" w:sz="0" w:space="0" w:color="auto"/>
      </w:divBdr>
    </w:div>
    <w:div w:id="122693623">
      <w:bodyDiv w:val="1"/>
      <w:marLeft w:val="0"/>
      <w:marRight w:val="0"/>
      <w:marTop w:val="0"/>
      <w:marBottom w:val="0"/>
      <w:divBdr>
        <w:top w:val="none" w:sz="0" w:space="0" w:color="auto"/>
        <w:left w:val="none" w:sz="0" w:space="0" w:color="auto"/>
        <w:bottom w:val="none" w:sz="0" w:space="0" w:color="auto"/>
        <w:right w:val="none" w:sz="0" w:space="0" w:color="auto"/>
      </w:divBdr>
    </w:div>
    <w:div w:id="129903357">
      <w:bodyDiv w:val="1"/>
      <w:marLeft w:val="0"/>
      <w:marRight w:val="0"/>
      <w:marTop w:val="0"/>
      <w:marBottom w:val="0"/>
      <w:divBdr>
        <w:top w:val="none" w:sz="0" w:space="0" w:color="auto"/>
        <w:left w:val="none" w:sz="0" w:space="0" w:color="auto"/>
        <w:bottom w:val="none" w:sz="0" w:space="0" w:color="auto"/>
        <w:right w:val="none" w:sz="0" w:space="0" w:color="auto"/>
      </w:divBdr>
    </w:div>
    <w:div w:id="137457758">
      <w:bodyDiv w:val="1"/>
      <w:marLeft w:val="0"/>
      <w:marRight w:val="0"/>
      <w:marTop w:val="0"/>
      <w:marBottom w:val="0"/>
      <w:divBdr>
        <w:top w:val="none" w:sz="0" w:space="0" w:color="auto"/>
        <w:left w:val="none" w:sz="0" w:space="0" w:color="auto"/>
        <w:bottom w:val="none" w:sz="0" w:space="0" w:color="auto"/>
        <w:right w:val="none" w:sz="0" w:space="0" w:color="auto"/>
      </w:divBdr>
    </w:div>
    <w:div w:id="155532780">
      <w:bodyDiv w:val="1"/>
      <w:marLeft w:val="0"/>
      <w:marRight w:val="0"/>
      <w:marTop w:val="0"/>
      <w:marBottom w:val="0"/>
      <w:divBdr>
        <w:top w:val="none" w:sz="0" w:space="0" w:color="auto"/>
        <w:left w:val="none" w:sz="0" w:space="0" w:color="auto"/>
        <w:bottom w:val="none" w:sz="0" w:space="0" w:color="auto"/>
        <w:right w:val="none" w:sz="0" w:space="0" w:color="auto"/>
      </w:divBdr>
    </w:div>
    <w:div w:id="192694218">
      <w:bodyDiv w:val="1"/>
      <w:marLeft w:val="0"/>
      <w:marRight w:val="0"/>
      <w:marTop w:val="0"/>
      <w:marBottom w:val="0"/>
      <w:divBdr>
        <w:top w:val="none" w:sz="0" w:space="0" w:color="auto"/>
        <w:left w:val="none" w:sz="0" w:space="0" w:color="auto"/>
        <w:bottom w:val="none" w:sz="0" w:space="0" w:color="auto"/>
        <w:right w:val="none" w:sz="0" w:space="0" w:color="auto"/>
      </w:divBdr>
    </w:div>
    <w:div w:id="230621234">
      <w:bodyDiv w:val="1"/>
      <w:marLeft w:val="0"/>
      <w:marRight w:val="0"/>
      <w:marTop w:val="0"/>
      <w:marBottom w:val="0"/>
      <w:divBdr>
        <w:top w:val="none" w:sz="0" w:space="0" w:color="auto"/>
        <w:left w:val="none" w:sz="0" w:space="0" w:color="auto"/>
        <w:bottom w:val="none" w:sz="0" w:space="0" w:color="auto"/>
        <w:right w:val="none" w:sz="0" w:space="0" w:color="auto"/>
      </w:divBdr>
    </w:div>
    <w:div w:id="235669100">
      <w:bodyDiv w:val="1"/>
      <w:marLeft w:val="0"/>
      <w:marRight w:val="0"/>
      <w:marTop w:val="0"/>
      <w:marBottom w:val="0"/>
      <w:divBdr>
        <w:top w:val="none" w:sz="0" w:space="0" w:color="auto"/>
        <w:left w:val="none" w:sz="0" w:space="0" w:color="auto"/>
        <w:bottom w:val="none" w:sz="0" w:space="0" w:color="auto"/>
        <w:right w:val="none" w:sz="0" w:space="0" w:color="auto"/>
      </w:divBdr>
    </w:div>
    <w:div w:id="251669194">
      <w:bodyDiv w:val="1"/>
      <w:marLeft w:val="0"/>
      <w:marRight w:val="0"/>
      <w:marTop w:val="0"/>
      <w:marBottom w:val="0"/>
      <w:divBdr>
        <w:top w:val="none" w:sz="0" w:space="0" w:color="auto"/>
        <w:left w:val="none" w:sz="0" w:space="0" w:color="auto"/>
        <w:bottom w:val="none" w:sz="0" w:space="0" w:color="auto"/>
        <w:right w:val="none" w:sz="0" w:space="0" w:color="auto"/>
      </w:divBdr>
    </w:div>
    <w:div w:id="274560358">
      <w:bodyDiv w:val="1"/>
      <w:marLeft w:val="0"/>
      <w:marRight w:val="0"/>
      <w:marTop w:val="0"/>
      <w:marBottom w:val="0"/>
      <w:divBdr>
        <w:top w:val="none" w:sz="0" w:space="0" w:color="auto"/>
        <w:left w:val="none" w:sz="0" w:space="0" w:color="auto"/>
        <w:bottom w:val="none" w:sz="0" w:space="0" w:color="auto"/>
        <w:right w:val="none" w:sz="0" w:space="0" w:color="auto"/>
      </w:divBdr>
    </w:div>
    <w:div w:id="288901323">
      <w:bodyDiv w:val="1"/>
      <w:marLeft w:val="0"/>
      <w:marRight w:val="0"/>
      <w:marTop w:val="0"/>
      <w:marBottom w:val="0"/>
      <w:divBdr>
        <w:top w:val="none" w:sz="0" w:space="0" w:color="auto"/>
        <w:left w:val="none" w:sz="0" w:space="0" w:color="auto"/>
        <w:bottom w:val="none" w:sz="0" w:space="0" w:color="auto"/>
        <w:right w:val="none" w:sz="0" w:space="0" w:color="auto"/>
      </w:divBdr>
    </w:div>
    <w:div w:id="323095226">
      <w:bodyDiv w:val="1"/>
      <w:marLeft w:val="0"/>
      <w:marRight w:val="0"/>
      <w:marTop w:val="0"/>
      <w:marBottom w:val="0"/>
      <w:divBdr>
        <w:top w:val="none" w:sz="0" w:space="0" w:color="auto"/>
        <w:left w:val="none" w:sz="0" w:space="0" w:color="auto"/>
        <w:bottom w:val="none" w:sz="0" w:space="0" w:color="auto"/>
        <w:right w:val="none" w:sz="0" w:space="0" w:color="auto"/>
      </w:divBdr>
    </w:div>
    <w:div w:id="427040269">
      <w:bodyDiv w:val="1"/>
      <w:marLeft w:val="0"/>
      <w:marRight w:val="0"/>
      <w:marTop w:val="0"/>
      <w:marBottom w:val="0"/>
      <w:divBdr>
        <w:top w:val="none" w:sz="0" w:space="0" w:color="auto"/>
        <w:left w:val="none" w:sz="0" w:space="0" w:color="auto"/>
        <w:bottom w:val="none" w:sz="0" w:space="0" w:color="auto"/>
        <w:right w:val="none" w:sz="0" w:space="0" w:color="auto"/>
      </w:divBdr>
    </w:div>
    <w:div w:id="434179691">
      <w:bodyDiv w:val="1"/>
      <w:marLeft w:val="0"/>
      <w:marRight w:val="0"/>
      <w:marTop w:val="0"/>
      <w:marBottom w:val="0"/>
      <w:divBdr>
        <w:top w:val="none" w:sz="0" w:space="0" w:color="auto"/>
        <w:left w:val="none" w:sz="0" w:space="0" w:color="auto"/>
        <w:bottom w:val="none" w:sz="0" w:space="0" w:color="auto"/>
        <w:right w:val="none" w:sz="0" w:space="0" w:color="auto"/>
      </w:divBdr>
    </w:div>
    <w:div w:id="440498357">
      <w:bodyDiv w:val="1"/>
      <w:marLeft w:val="0"/>
      <w:marRight w:val="0"/>
      <w:marTop w:val="0"/>
      <w:marBottom w:val="0"/>
      <w:divBdr>
        <w:top w:val="none" w:sz="0" w:space="0" w:color="auto"/>
        <w:left w:val="none" w:sz="0" w:space="0" w:color="auto"/>
        <w:bottom w:val="none" w:sz="0" w:space="0" w:color="auto"/>
        <w:right w:val="none" w:sz="0" w:space="0" w:color="auto"/>
      </w:divBdr>
      <w:divsChild>
        <w:div w:id="490753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973939">
      <w:bodyDiv w:val="1"/>
      <w:marLeft w:val="0"/>
      <w:marRight w:val="0"/>
      <w:marTop w:val="0"/>
      <w:marBottom w:val="0"/>
      <w:divBdr>
        <w:top w:val="none" w:sz="0" w:space="0" w:color="auto"/>
        <w:left w:val="none" w:sz="0" w:space="0" w:color="auto"/>
        <w:bottom w:val="none" w:sz="0" w:space="0" w:color="auto"/>
        <w:right w:val="none" w:sz="0" w:space="0" w:color="auto"/>
      </w:divBdr>
    </w:div>
    <w:div w:id="480124123">
      <w:bodyDiv w:val="1"/>
      <w:marLeft w:val="0"/>
      <w:marRight w:val="0"/>
      <w:marTop w:val="0"/>
      <w:marBottom w:val="0"/>
      <w:divBdr>
        <w:top w:val="none" w:sz="0" w:space="0" w:color="auto"/>
        <w:left w:val="none" w:sz="0" w:space="0" w:color="auto"/>
        <w:bottom w:val="none" w:sz="0" w:space="0" w:color="auto"/>
        <w:right w:val="none" w:sz="0" w:space="0" w:color="auto"/>
      </w:divBdr>
    </w:div>
    <w:div w:id="540896448">
      <w:bodyDiv w:val="1"/>
      <w:marLeft w:val="0"/>
      <w:marRight w:val="0"/>
      <w:marTop w:val="0"/>
      <w:marBottom w:val="0"/>
      <w:divBdr>
        <w:top w:val="none" w:sz="0" w:space="0" w:color="auto"/>
        <w:left w:val="none" w:sz="0" w:space="0" w:color="auto"/>
        <w:bottom w:val="none" w:sz="0" w:space="0" w:color="auto"/>
        <w:right w:val="none" w:sz="0" w:space="0" w:color="auto"/>
      </w:divBdr>
    </w:div>
    <w:div w:id="567497420">
      <w:bodyDiv w:val="1"/>
      <w:marLeft w:val="0"/>
      <w:marRight w:val="0"/>
      <w:marTop w:val="0"/>
      <w:marBottom w:val="0"/>
      <w:divBdr>
        <w:top w:val="none" w:sz="0" w:space="0" w:color="auto"/>
        <w:left w:val="none" w:sz="0" w:space="0" w:color="auto"/>
        <w:bottom w:val="none" w:sz="0" w:space="0" w:color="auto"/>
        <w:right w:val="none" w:sz="0" w:space="0" w:color="auto"/>
      </w:divBdr>
    </w:div>
    <w:div w:id="576936616">
      <w:bodyDiv w:val="1"/>
      <w:marLeft w:val="0"/>
      <w:marRight w:val="0"/>
      <w:marTop w:val="0"/>
      <w:marBottom w:val="0"/>
      <w:divBdr>
        <w:top w:val="none" w:sz="0" w:space="0" w:color="auto"/>
        <w:left w:val="none" w:sz="0" w:space="0" w:color="auto"/>
        <w:bottom w:val="none" w:sz="0" w:space="0" w:color="auto"/>
        <w:right w:val="none" w:sz="0" w:space="0" w:color="auto"/>
      </w:divBdr>
    </w:div>
    <w:div w:id="613366439">
      <w:bodyDiv w:val="1"/>
      <w:marLeft w:val="0"/>
      <w:marRight w:val="0"/>
      <w:marTop w:val="0"/>
      <w:marBottom w:val="0"/>
      <w:divBdr>
        <w:top w:val="none" w:sz="0" w:space="0" w:color="auto"/>
        <w:left w:val="none" w:sz="0" w:space="0" w:color="auto"/>
        <w:bottom w:val="none" w:sz="0" w:space="0" w:color="auto"/>
        <w:right w:val="none" w:sz="0" w:space="0" w:color="auto"/>
      </w:divBdr>
    </w:div>
    <w:div w:id="626007710">
      <w:bodyDiv w:val="1"/>
      <w:marLeft w:val="0"/>
      <w:marRight w:val="0"/>
      <w:marTop w:val="0"/>
      <w:marBottom w:val="0"/>
      <w:divBdr>
        <w:top w:val="none" w:sz="0" w:space="0" w:color="auto"/>
        <w:left w:val="none" w:sz="0" w:space="0" w:color="auto"/>
        <w:bottom w:val="none" w:sz="0" w:space="0" w:color="auto"/>
        <w:right w:val="none" w:sz="0" w:space="0" w:color="auto"/>
      </w:divBdr>
    </w:div>
    <w:div w:id="676078763">
      <w:bodyDiv w:val="1"/>
      <w:marLeft w:val="0"/>
      <w:marRight w:val="0"/>
      <w:marTop w:val="0"/>
      <w:marBottom w:val="0"/>
      <w:divBdr>
        <w:top w:val="none" w:sz="0" w:space="0" w:color="auto"/>
        <w:left w:val="none" w:sz="0" w:space="0" w:color="auto"/>
        <w:bottom w:val="none" w:sz="0" w:space="0" w:color="auto"/>
        <w:right w:val="none" w:sz="0" w:space="0" w:color="auto"/>
      </w:divBdr>
    </w:div>
    <w:div w:id="793524339">
      <w:bodyDiv w:val="1"/>
      <w:marLeft w:val="0"/>
      <w:marRight w:val="0"/>
      <w:marTop w:val="0"/>
      <w:marBottom w:val="0"/>
      <w:divBdr>
        <w:top w:val="none" w:sz="0" w:space="0" w:color="auto"/>
        <w:left w:val="none" w:sz="0" w:space="0" w:color="auto"/>
        <w:bottom w:val="none" w:sz="0" w:space="0" w:color="auto"/>
        <w:right w:val="none" w:sz="0" w:space="0" w:color="auto"/>
      </w:divBdr>
    </w:div>
    <w:div w:id="807749314">
      <w:bodyDiv w:val="1"/>
      <w:marLeft w:val="0"/>
      <w:marRight w:val="0"/>
      <w:marTop w:val="0"/>
      <w:marBottom w:val="0"/>
      <w:divBdr>
        <w:top w:val="none" w:sz="0" w:space="0" w:color="auto"/>
        <w:left w:val="none" w:sz="0" w:space="0" w:color="auto"/>
        <w:bottom w:val="none" w:sz="0" w:space="0" w:color="auto"/>
        <w:right w:val="none" w:sz="0" w:space="0" w:color="auto"/>
      </w:divBdr>
      <w:divsChild>
        <w:div w:id="504978177">
          <w:marLeft w:val="0"/>
          <w:marRight w:val="0"/>
          <w:marTop w:val="0"/>
          <w:marBottom w:val="0"/>
          <w:divBdr>
            <w:top w:val="none" w:sz="0" w:space="0" w:color="auto"/>
            <w:left w:val="none" w:sz="0" w:space="0" w:color="auto"/>
            <w:bottom w:val="none" w:sz="0" w:space="0" w:color="auto"/>
            <w:right w:val="none" w:sz="0" w:space="0" w:color="auto"/>
          </w:divBdr>
          <w:divsChild>
            <w:div w:id="582878482">
              <w:marLeft w:val="0"/>
              <w:marRight w:val="0"/>
              <w:marTop w:val="0"/>
              <w:marBottom w:val="0"/>
              <w:divBdr>
                <w:top w:val="none" w:sz="0" w:space="0" w:color="auto"/>
                <w:left w:val="none" w:sz="0" w:space="0" w:color="auto"/>
                <w:bottom w:val="none" w:sz="0" w:space="0" w:color="auto"/>
                <w:right w:val="none" w:sz="0" w:space="0" w:color="auto"/>
              </w:divBdr>
              <w:divsChild>
                <w:div w:id="148696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1050">
          <w:marLeft w:val="0"/>
          <w:marRight w:val="0"/>
          <w:marTop w:val="0"/>
          <w:marBottom w:val="0"/>
          <w:divBdr>
            <w:top w:val="none" w:sz="0" w:space="0" w:color="auto"/>
            <w:left w:val="none" w:sz="0" w:space="0" w:color="auto"/>
            <w:bottom w:val="none" w:sz="0" w:space="0" w:color="auto"/>
            <w:right w:val="none" w:sz="0" w:space="0" w:color="auto"/>
          </w:divBdr>
          <w:divsChild>
            <w:div w:id="167360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7220">
      <w:bodyDiv w:val="1"/>
      <w:marLeft w:val="0"/>
      <w:marRight w:val="0"/>
      <w:marTop w:val="0"/>
      <w:marBottom w:val="0"/>
      <w:divBdr>
        <w:top w:val="none" w:sz="0" w:space="0" w:color="auto"/>
        <w:left w:val="none" w:sz="0" w:space="0" w:color="auto"/>
        <w:bottom w:val="none" w:sz="0" w:space="0" w:color="auto"/>
        <w:right w:val="none" w:sz="0" w:space="0" w:color="auto"/>
      </w:divBdr>
    </w:div>
    <w:div w:id="852644068">
      <w:bodyDiv w:val="1"/>
      <w:marLeft w:val="0"/>
      <w:marRight w:val="0"/>
      <w:marTop w:val="0"/>
      <w:marBottom w:val="0"/>
      <w:divBdr>
        <w:top w:val="none" w:sz="0" w:space="0" w:color="auto"/>
        <w:left w:val="none" w:sz="0" w:space="0" w:color="auto"/>
        <w:bottom w:val="none" w:sz="0" w:space="0" w:color="auto"/>
        <w:right w:val="none" w:sz="0" w:space="0" w:color="auto"/>
      </w:divBdr>
    </w:div>
    <w:div w:id="860627403">
      <w:bodyDiv w:val="1"/>
      <w:marLeft w:val="0"/>
      <w:marRight w:val="0"/>
      <w:marTop w:val="0"/>
      <w:marBottom w:val="0"/>
      <w:divBdr>
        <w:top w:val="none" w:sz="0" w:space="0" w:color="auto"/>
        <w:left w:val="none" w:sz="0" w:space="0" w:color="auto"/>
        <w:bottom w:val="none" w:sz="0" w:space="0" w:color="auto"/>
        <w:right w:val="none" w:sz="0" w:space="0" w:color="auto"/>
      </w:divBdr>
    </w:div>
    <w:div w:id="869033256">
      <w:bodyDiv w:val="1"/>
      <w:marLeft w:val="0"/>
      <w:marRight w:val="0"/>
      <w:marTop w:val="0"/>
      <w:marBottom w:val="0"/>
      <w:divBdr>
        <w:top w:val="none" w:sz="0" w:space="0" w:color="auto"/>
        <w:left w:val="none" w:sz="0" w:space="0" w:color="auto"/>
        <w:bottom w:val="none" w:sz="0" w:space="0" w:color="auto"/>
        <w:right w:val="none" w:sz="0" w:space="0" w:color="auto"/>
      </w:divBdr>
    </w:div>
    <w:div w:id="872496037">
      <w:bodyDiv w:val="1"/>
      <w:marLeft w:val="0"/>
      <w:marRight w:val="0"/>
      <w:marTop w:val="0"/>
      <w:marBottom w:val="0"/>
      <w:divBdr>
        <w:top w:val="none" w:sz="0" w:space="0" w:color="auto"/>
        <w:left w:val="none" w:sz="0" w:space="0" w:color="auto"/>
        <w:bottom w:val="none" w:sz="0" w:space="0" w:color="auto"/>
        <w:right w:val="none" w:sz="0" w:space="0" w:color="auto"/>
      </w:divBdr>
    </w:div>
    <w:div w:id="883325345">
      <w:bodyDiv w:val="1"/>
      <w:marLeft w:val="0"/>
      <w:marRight w:val="0"/>
      <w:marTop w:val="0"/>
      <w:marBottom w:val="0"/>
      <w:divBdr>
        <w:top w:val="none" w:sz="0" w:space="0" w:color="auto"/>
        <w:left w:val="none" w:sz="0" w:space="0" w:color="auto"/>
        <w:bottom w:val="none" w:sz="0" w:space="0" w:color="auto"/>
        <w:right w:val="none" w:sz="0" w:space="0" w:color="auto"/>
      </w:divBdr>
    </w:div>
    <w:div w:id="894589218">
      <w:bodyDiv w:val="1"/>
      <w:marLeft w:val="0"/>
      <w:marRight w:val="0"/>
      <w:marTop w:val="0"/>
      <w:marBottom w:val="0"/>
      <w:divBdr>
        <w:top w:val="none" w:sz="0" w:space="0" w:color="auto"/>
        <w:left w:val="none" w:sz="0" w:space="0" w:color="auto"/>
        <w:bottom w:val="none" w:sz="0" w:space="0" w:color="auto"/>
        <w:right w:val="none" w:sz="0" w:space="0" w:color="auto"/>
      </w:divBdr>
    </w:div>
    <w:div w:id="900024053">
      <w:bodyDiv w:val="1"/>
      <w:marLeft w:val="0"/>
      <w:marRight w:val="0"/>
      <w:marTop w:val="0"/>
      <w:marBottom w:val="0"/>
      <w:divBdr>
        <w:top w:val="none" w:sz="0" w:space="0" w:color="auto"/>
        <w:left w:val="none" w:sz="0" w:space="0" w:color="auto"/>
        <w:bottom w:val="none" w:sz="0" w:space="0" w:color="auto"/>
        <w:right w:val="none" w:sz="0" w:space="0" w:color="auto"/>
      </w:divBdr>
    </w:div>
    <w:div w:id="900288022">
      <w:bodyDiv w:val="1"/>
      <w:marLeft w:val="0"/>
      <w:marRight w:val="0"/>
      <w:marTop w:val="0"/>
      <w:marBottom w:val="0"/>
      <w:divBdr>
        <w:top w:val="none" w:sz="0" w:space="0" w:color="auto"/>
        <w:left w:val="none" w:sz="0" w:space="0" w:color="auto"/>
        <w:bottom w:val="none" w:sz="0" w:space="0" w:color="auto"/>
        <w:right w:val="none" w:sz="0" w:space="0" w:color="auto"/>
      </w:divBdr>
    </w:div>
    <w:div w:id="1002701513">
      <w:bodyDiv w:val="1"/>
      <w:marLeft w:val="0"/>
      <w:marRight w:val="0"/>
      <w:marTop w:val="0"/>
      <w:marBottom w:val="0"/>
      <w:divBdr>
        <w:top w:val="none" w:sz="0" w:space="0" w:color="auto"/>
        <w:left w:val="none" w:sz="0" w:space="0" w:color="auto"/>
        <w:bottom w:val="none" w:sz="0" w:space="0" w:color="auto"/>
        <w:right w:val="none" w:sz="0" w:space="0" w:color="auto"/>
      </w:divBdr>
    </w:div>
    <w:div w:id="1020620235">
      <w:bodyDiv w:val="1"/>
      <w:marLeft w:val="0"/>
      <w:marRight w:val="0"/>
      <w:marTop w:val="0"/>
      <w:marBottom w:val="0"/>
      <w:divBdr>
        <w:top w:val="none" w:sz="0" w:space="0" w:color="auto"/>
        <w:left w:val="none" w:sz="0" w:space="0" w:color="auto"/>
        <w:bottom w:val="none" w:sz="0" w:space="0" w:color="auto"/>
        <w:right w:val="none" w:sz="0" w:space="0" w:color="auto"/>
      </w:divBdr>
    </w:div>
    <w:div w:id="1030423238">
      <w:bodyDiv w:val="1"/>
      <w:marLeft w:val="0"/>
      <w:marRight w:val="0"/>
      <w:marTop w:val="0"/>
      <w:marBottom w:val="0"/>
      <w:divBdr>
        <w:top w:val="none" w:sz="0" w:space="0" w:color="auto"/>
        <w:left w:val="none" w:sz="0" w:space="0" w:color="auto"/>
        <w:bottom w:val="none" w:sz="0" w:space="0" w:color="auto"/>
        <w:right w:val="none" w:sz="0" w:space="0" w:color="auto"/>
      </w:divBdr>
    </w:div>
    <w:div w:id="1054541548">
      <w:bodyDiv w:val="1"/>
      <w:marLeft w:val="0"/>
      <w:marRight w:val="0"/>
      <w:marTop w:val="0"/>
      <w:marBottom w:val="0"/>
      <w:divBdr>
        <w:top w:val="none" w:sz="0" w:space="0" w:color="auto"/>
        <w:left w:val="none" w:sz="0" w:space="0" w:color="auto"/>
        <w:bottom w:val="none" w:sz="0" w:space="0" w:color="auto"/>
        <w:right w:val="none" w:sz="0" w:space="0" w:color="auto"/>
      </w:divBdr>
    </w:div>
    <w:div w:id="1079248528">
      <w:bodyDiv w:val="1"/>
      <w:marLeft w:val="0"/>
      <w:marRight w:val="0"/>
      <w:marTop w:val="0"/>
      <w:marBottom w:val="0"/>
      <w:divBdr>
        <w:top w:val="none" w:sz="0" w:space="0" w:color="auto"/>
        <w:left w:val="none" w:sz="0" w:space="0" w:color="auto"/>
        <w:bottom w:val="none" w:sz="0" w:space="0" w:color="auto"/>
        <w:right w:val="none" w:sz="0" w:space="0" w:color="auto"/>
      </w:divBdr>
      <w:divsChild>
        <w:div w:id="2080244795">
          <w:marLeft w:val="1800"/>
          <w:marRight w:val="0"/>
          <w:marTop w:val="200"/>
          <w:marBottom w:val="0"/>
          <w:divBdr>
            <w:top w:val="none" w:sz="0" w:space="0" w:color="auto"/>
            <w:left w:val="none" w:sz="0" w:space="0" w:color="auto"/>
            <w:bottom w:val="none" w:sz="0" w:space="0" w:color="auto"/>
            <w:right w:val="none" w:sz="0" w:space="0" w:color="auto"/>
          </w:divBdr>
        </w:div>
        <w:div w:id="1653219941">
          <w:marLeft w:val="1800"/>
          <w:marRight w:val="0"/>
          <w:marTop w:val="200"/>
          <w:marBottom w:val="0"/>
          <w:divBdr>
            <w:top w:val="none" w:sz="0" w:space="0" w:color="auto"/>
            <w:left w:val="none" w:sz="0" w:space="0" w:color="auto"/>
            <w:bottom w:val="none" w:sz="0" w:space="0" w:color="auto"/>
            <w:right w:val="none" w:sz="0" w:space="0" w:color="auto"/>
          </w:divBdr>
        </w:div>
        <w:div w:id="2067533408">
          <w:marLeft w:val="1800"/>
          <w:marRight w:val="0"/>
          <w:marTop w:val="200"/>
          <w:marBottom w:val="0"/>
          <w:divBdr>
            <w:top w:val="none" w:sz="0" w:space="0" w:color="auto"/>
            <w:left w:val="none" w:sz="0" w:space="0" w:color="auto"/>
            <w:bottom w:val="none" w:sz="0" w:space="0" w:color="auto"/>
            <w:right w:val="none" w:sz="0" w:space="0" w:color="auto"/>
          </w:divBdr>
        </w:div>
        <w:div w:id="1182208810">
          <w:marLeft w:val="1800"/>
          <w:marRight w:val="0"/>
          <w:marTop w:val="200"/>
          <w:marBottom w:val="0"/>
          <w:divBdr>
            <w:top w:val="none" w:sz="0" w:space="0" w:color="auto"/>
            <w:left w:val="none" w:sz="0" w:space="0" w:color="auto"/>
            <w:bottom w:val="none" w:sz="0" w:space="0" w:color="auto"/>
            <w:right w:val="none" w:sz="0" w:space="0" w:color="auto"/>
          </w:divBdr>
        </w:div>
      </w:divsChild>
    </w:div>
    <w:div w:id="1101297295">
      <w:bodyDiv w:val="1"/>
      <w:marLeft w:val="0"/>
      <w:marRight w:val="0"/>
      <w:marTop w:val="0"/>
      <w:marBottom w:val="0"/>
      <w:divBdr>
        <w:top w:val="none" w:sz="0" w:space="0" w:color="auto"/>
        <w:left w:val="none" w:sz="0" w:space="0" w:color="auto"/>
        <w:bottom w:val="none" w:sz="0" w:space="0" w:color="auto"/>
        <w:right w:val="none" w:sz="0" w:space="0" w:color="auto"/>
      </w:divBdr>
    </w:div>
    <w:div w:id="1130322672">
      <w:bodyDiv w:val="1"/>
      <w:marLeft w:val="0"/>
      <w:marRight w:val="0"/>
      <w:marTop w:val="0"/>
      <w:marBottom w:val="0"/>
      <w:divBdr>
        <w:top w:val="none" w:sz="0" w:space="0" w:color="auto"/>
        <w:left w:val="none" w:sz="0" w:space="0" w:color="auto"/>
        <w:bottom w:val="none" w:sz="0" w:space="0" w:color="auto"/>
        <w:right w:val="none" w:sz="0" w:space="0" w:color="auto"/>
      </w:divBdr>
    </w:div>
    <w:div w:id="1146319038">
      <w:bodyDiv w:val="1"/>
      <w:marLeft w:val="0"/>
      <w:marRight w:val="0"/>
      <w:marTop w:val="0"/>
      <w:marBottom w:val="0"/>
      <w:divBdr>
        <w:top w:val="none" w:sz="0" w:space="0" w:color="auto"/>
        <w:left w:val="none" w:sz="0" w:space="0" w:color="auto"/>
        <w:bottom w:val="none" w:sz="0" w:space="0" w:color="auto"/>
        <w:right w:val="none" w:sz="0" w:space="0" w:color="auto"/>
      </w:divBdr>
    </w:div>
    <w:div w:id="1156721223">
      <w:bodyDiv w:val="1"/>
      <w:marLeft w:val="0"/>
      <w:marRight w:val="0"/>
      <w:marTop w:val="0"/>
      <w:marBottom w:val="0"/>
      <w:divBdr>
        <w:top w:val="none" w:sz="0" w:space="0" w:color="auto"/>
        <w:left w:val="none" w:sz="0" w:space="0" w:color="auto"/>
        <w:bottom w:val="none" w:sz="0" w:space="0" w:color="auto"/>
        <w:right w:val="none" w:sz="0" w:space="0" w:color="auto"/>
      </w:divBdr>
      <w:divsChild>
        <w:div w:id="1577013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564714">
      <w:bodyDiv w:val="1"/>
      <w:marLeft w:val="0"/>
      <w:marRight w:val="0"/>
      <w:marTop w:val="0"/>
      <w:marBottom w:val="0"/>
      <w:divBdr>
        <w:top w:val="none" w:sz="0" w:space="0" w:color="auto"/>
        <w:left w:val="none" w:sz="0" w:space="0" w:color="auto"/>
        <w:bottom w:val="none" w:sz="0" w:space="0" w:color="auto"/>
        <w:right w:val="none" w:sz="0" w:space="0" w:color="auto"/>
      </w:divBdr>
    </w:div>
    <w:div w:id="1212382360">
      <w:bodyDiv w:val="1"/>
      <w:marLeft w:val="0"/>
      <w:marRight w:val="0"/>
      <w:marTop w:val="0"/>
      <w:marBottom w:val="0"/>
      <w:divBdr>
        <w:top w:val="none" w:sz="0" w:space="0" w:color="auto"/>
        <w:left w:val="none" w:sz="0" w:space="0" w:color="auto"/>
        <w:bottom w:val="none" w:sz="0" w:space="0" w:color="auto"/>
        <w:right w:val="none" w:sz="0" w:space="0" w:color="auto"/>
      </w:divBdr>
    </w:div>
    <w:div w:id="1216888710">
      <w:bodyDiv w:val="1"/>
      <w:marLeft w:val="0"/>
      <w:marRight w:val="0"/>
      <w:marTop w:val="0"/>
      <w:marBottom w:val="0"/>
      <w:divBdr>
        <w:top w:val="none" w:sz="0" w:space="0" w:color="auto"/>
        <w:left w:val="none" w:sz="0" w:space="0" w:color="auto"/>
        <w:bottom w:val="none" w:sz="0" w:space="0" w:color="auto"/>
        <w:right w:val="none" w:sz="0" w:space="0" w:color="auto"/>
      </w:divBdr>
    </w:div>
    <w:div w:id="1246571728">
      <w:bodyDiv w:val="1"/>
      <w:marLeft w:val="0"/>
      <w:marRight w:val="0"/>
      <w:marTop w:val="0"/>
      <w:marBottom w:val="0"/>
      <w:divBdr>
        <w:top w:val="none" w:sz="0" w:space="0" w:color="auto"/>
        <w:left w:val="none" w:sz="0" w:space="0" w:color="auto"/>
        <w:bottom w:val="none" w:sz="0" w:space="0" w:color="auto"/>
        <w:right w:val="none" w:sz="0" w:space="0" w:color="auto"/>
      </w:divBdr>
    </w:div>
    <w:div w:id="1246643131">
      <w:bodyDiv w:val="1"/>
      <w:marLeft w:val="0"/>
      <w:marRight w:val="0"/>
      <w:marTop w:val="0"/>
      <w:marBottom w:val="0"/>
      <w:divBdr>
        <w:top w:val="none" w:sz="0" w:space="0" w:color="auto"/>
        <w:left w:val="none" w:sz="0" w:space="0" w:color="auto"/>
        <w:bottom w:val="none" w:sz="0" w:space="0" w:color="auto"/>
        <w:right w:val="none" w:sz="0" w:space="0" w:color="auto"/>
      </w:divBdr>
    </w:div>
    <w:div w:id="1269700601">
      <w:bodyDiv w:val="1"/>
      <w:marLeft w:val="0"/>
      <w:marRight w:val="0"/>
      <w:marTop w:val="0"/>
      <w:marBottom w:val="0"/>
      <w:divBdr>
        <w:top w:val="none" w:sz="0" w:space="0" w:color="auto"/>
        <w:left w:val="none" w:sz="0" w:space="0" w:color="auto"/>
        <w:bottom w:val="none" w:sz="0" w:space="0" w:color="auto"/>
        <w:right w:val="none" w:sz="0" w:space="0" w:color="auto"/>
      </w:divBdr>
    </w:div>
    <w:div w:id="1280183291">
      <w:bodyDiv w:val="1"/>
      <w:marLeft w:val="0"/>
      <w:marRight w:val="0"/>
      <w:marTop w:val="0"/>
      <w:marBottom w:val="0"/>
      <w:divBdr>
        <w:top w:val="none" w:sz="0" w:space="0" w:color="auto"/>
        <w:left w:val="none" w:sz="0" w:space="0" w:color="auto"/>
        <w:bottom w:val="none" w:sz="0" w:space="0" w:color="auto"/>
        <w:right w:val="none" w:sz="0" w:space="0" w:color="auto"/>
      </w:divBdr>
    </w:div>
    <w:div w:id="1292175668">
      <w:bodyDiv w:val="1"/>
      <w:marLeft w:val="0"/>
      <w:marRight w:val="0"/>
      <w:marTop w:val="0"/>
      <w:marBottom w:val="0"/>
      <w:divBdr>
        <w:top w:val="none" w:sz="0" w:space="0" w:color="auto"/>
        <w:left w:val="none" w:sz="0" w:space="0" w:color="auto"/>
        <w:bottom w:val="none" w:sz="0" w:space="0" w:color="auto"/>
        <w:right w:val="none" w:sz="0" w:space="0" w:color="auto"/>
      </w:divBdr>
    </w:div>
    <w:div w:id="1331833272">
      <w:bodyDiv w:val="1"/>
      <w:marLeft w:val="0"/>
      <w:marRight w:val="0"/>
      <w:marTop w:val="0"/>
      <w:marBottom w:val="0"/>
      <w:divBdr>
        <w:top w:val="none" w:sz="0" w:space="0" w:color="auto"/>
        <w:left w:val="none" w:sz="0" w:space="0" w:color="auto"/>
        <w:bottom w:val="none" w:sz="0" w:space="0" w:color="auto"/>
        <w:right w:val="none" w:sz="0" w:space="0" w:color="auto"/>
      </w:divBdr>
    </w:div>
    <w:div w:id="1377390366">
      <w:bodyDiv w:val="1"/>
      <w:marLeft w:val="0"/>
      <w:marRight w:val="0"/>
      <w:marTop w:val="0"/>
      <w:marBottom w:val="0"/>
      <w:divBdr>
        <w:top w:val="none" w:sz="0" w:space="0" w:color="auto"/>
        <w:left w:val="none" w:sz="0" w:space="0" w:color="auto"/>
        <w:bottom w:val="none" w:sz="0" w:space="0" w:color="auto"/>
        <w:right w:val="none" w:sz="0" w:space="0" w:color="auto"/>
      </w:divBdr>
    </w:div>
    <w:div w:id="1387535573">
      <w:bodyDiv w:val="1"/>
      <w:marLeft w:val="0"/>
      <w:marRight w:val="0"/>
      <w:marTop w:val="0"/>
      <w:marBottom w:val="0"/>
      <w:divBdr>
        <w:top w:val="none" w:sz="0" w:space="0" w:color="auto"/>
        <w:left w:val="none" w:sz="0" w:space="0" w:color="auto"/>
        <w:bottom w:val="none" w:sz="0" w:space="0" w:color="auto"/>
        <w:right w:val="none" w:sz="0" w:space="0" w:color="auto"/>
      </w:divBdr>
    </w:div>
    <w:div w:id="1419017717">
      <w:bodyDiv w:val="1"/>
      <w:marLeft w:val="0"/>
      <w:marRight w:val="0"/>
      <w:marTop w:val="0"/>
      <w:marBottom w:val="0"/>
      <w:divBdr>
        <w:top w:val="none" w:sz="0" w:space="0" w:color="auto"/>
        <w:left w:val="none" w:sz="0" w:space="0" w:color="auto"/>
        <w:bottom w:val="none" w:sz="0" w:space="0" w:color="auto"/>
        <w:right w:val="none" w:sz="0" w:space="0" w:color="auto"/>
      </w:divBdr>
    </w:div>
    <w:div w:id="1432163152">
      <w:bodyDiv w:val="1"/>
      <w:marLeft w:val="0"/>
      <w:marRight w:val="0"/>
      <w:marTop w:val="0"/>
      <w:marBottom w:val="0"/>
      <w:divBdr>
        <w:top w:val="none" w:sz="0" w:space="0" w:color="auto"/>
        <w:left w:val="none" w:sz="0" w:space="0" w:color="auto"/>
        <w:bottom w:val="none" w:sz="0" w:space="0" w:color="auto"/>
        <w:right w:val="none" w:sz="0" w:space="0" w:color="auto"/>
      </w:divBdr>
    </w:div>
    <w:div w:id="1519614971">
      <w:bodyDiv w:val="1"/>
      <w:marLeft w:val="0"/>
      <w:marRight w:val="0"/>
      <w:marTop w:val="0"/>
      <w:marBottom w:val="0"/>
      <w:divBdr>
        <w:top w:val="none" w:sz="0" w:space="0" w:color="auto"/>
        <w:left w:val="none" w:sz="0" w:space="0" w:color="auto"/>
        <w:bottom w:val="none" w:sz="0" w:space="0" w:color="auto"/>
        <w:right w:val="none" w:sz="0" w:space="0" w:color="auto"/>
      </w:divBdr>
    </w:div>
    <w:div w:id="1554657994">
      <w:bodyDiv w:val="1"/>
      <w:marLeft w:val="0"/>
      <w:marRight w:val="0"/>
      <w:marTop w:val="0"/>
      <w:marBottom w:val="0"/>
      <w:divBdr>
        <w:top w:val="none" w:sz="0" w:space="0" w:color="auto"/>
        <w:left w:val="none" w:sz="0" w:space="0" w:color="auto"/>
        <w:bottom w:val="none" w:sz="0" w:space="0" w:color="auto"/>
        <w:right w:val="none" w:sz="0" w:space="0" w:color="auto"/>
      </w:divBdr>
    </w:div>
    <w:div w:id="1580751518">
      <w:bodyDiv w:val="1"/>
      <w:marLeft w:val="0"/>
      <w:marRight w:val="0"/>
      <w:marTop w:val="0"/>
      <w:marBottom w:val="0"/>
      <w:divBdr>
        <w:top w:val="none" w:sz="0" w:space="0" w:color="auto"/>
        <w:left w:val="none" w:sz="0" w:space="0" w:color="auto"/>
        <w:bottom w:val="none" w:sz="0" w:space="0" w:color="auto"/>
        <w:right w:val="none" w:sz="0" w:space="0" w:color="auto"/>
      </w:divBdr>
    </w:div>
    <w:div w:id="1639526100">
      <w:bodyDiv w:val="1"/>
      <w:marLeft w:val="0"/>
      <w:marRight w:val="0"/>
      <w:marTop w:val="0"/>
      <w:marBottom w:val="0"/>
      <w:divBdr>
        <w:top w:val="none" w:sz="0" w:space="0" w:color="auto"/>
        <w:left w:val="none" w:sz="0" w:space="0" w:color="auto"/>
        <w:bottom w:val="none" w:sz="0" w:space="0" w:color="auto"/>
        <w:right w:val="none" w:sz="0" w:space="0" w:color="auto"/>
      </w:divBdr>
    </w:div>
    <w:div w:id="1802504137">
      <w:bodyDiv w:val="1"/>
      <w:marLeft w:val="0"/>
      <w:marRight w:val="0"/>
      <w:marTop w:val="0"/>
      <w:marBottom w:val="0"/>
      <w:divBdr>
        <w:top w:val="none" w:sz="0" w:space="0" w:color="auto"/>
        <w:left w:val="none" w:sz="0" w:space="0" w:color="auto"/>
        <w:bottom w:val="none" w:sz="0" w:space="0" w:color="auto"/>
        <w:right w:val="none" w:sz="0" w:space="0" w:color="auto"/>
      </w:divBdr>
    </w:div>
    <w:div w:id="1832868383">
      <w:bodyDiv w:val="1"/>
      <w:marLeft w:val="0"/>
      <w:marRight w:val="0"/>
      <w:marTop w:val="0"/>
      <w:marBottom w:val="0"/>
      <w:divBdr>
        <w:top w:val="none" w:sz="0" w:space="0" w:color="auto"/>
        <w:left w:val="none" w:sz="0" w:space="0" w:color="auto"/>
        <w:bottom w:val="none" w:sz="0" w:space="0" w:color="auto"/>
        <w:right w:val="none" w:sz="0" w:space="0" w:color="auto"/>
      </w:divBdr>
    </w:div>
    <w:div w:id="1876235619">
      <w:bodyDiv w:val="1"/>
      <w:marLeft w:val="0"/>
      <w:marRight w:val="0"/>
      <w:marTop w:val="0"/>
      <w:marBottom w:val="0"/>
      <w:divBdr>
        <w:top w:val="none" w:sz="0" w:space="0" w:color="auto"/>
        <w:left w:val="none" w:sz="0" w:space="0" w:color="auto"/>
        <w:bottom w:val="none" w:sz="0" w:space="0" w:color="auto"/>
        <w:right w:val="none" w:sz="0" w:space="0" w:color="auto"/>
      </w:divBdr>
    </w:div>
    <w:div w:id="1880782526">
      <w:bodyDiv w:val="1"/>
      <w:marLeft w:val="0"/>
      <w:marRight w:val="0"/>
      <w:marTop w:val="0"/>
      <w:marBottom w:val="0"/>
      <w:divBdr>
        <w:top w:val="none" w:sz="0" w:space="0" w:color="auto"/>
        <w:left w:val="none" w:sz="0" w:space="0" w:color="auto"/>
        <w:bottom w:val="none" w:sz="0" w:space="0" w:color="auto"/>
        <w:right w:val="none" w:sz="0" w:space="0" w:color="auto"/>
      </w:divBdr>
    </w:div>
    <w:div w:id="1885096528">
      <w:bodyDiv w:val="1"/>
      <w:marLeft w:val="0"/>
      <w:marRight w:val="0"/>
      <w:marTop w:val="0"/>
      <w:marBottom w:val="0"/>
      <w:divBdr>
        <w:top w:val="none" w:sz="0" w:space="0" w:color="auto"/>
        <w:left w:val="none" w:sz="0" w:space="0" w:color="auto"/>
        <w:bottom w:val="none" w:sz="0" w:space="0" w:color="auto"/>
        <w:right w:val="none" w:sz="0" w:space="0" w:color="auto"/>
      </w:divBdr>
    </w:div>
    <w:div w:id="1907641029">
      <w:bodyDiv w:val="1"/>
      <w:marLeft w:val="0"/>
      <w:marRight w:val="0"/>
      <w:marTop w:val="0"/>
      <w:marBottom w:val="0"/>
      <w:divBdr>
        <w:top w:val="none" w:sz="0" w:space="0" w:color="auto"/>
        <w:left w:val="none" w:sz="0" w:space="0" w:color="auto"/>
        <w:bottom w:val="none" w:sz="0" w:space="0" w:color="auto"/>
        <w:right w:val="none" w:sz="0" w:space="0" w:color="auto"/>
      </w:divBdr>
    </w:div>
    <w:div w:id="1965497687">
      <w:bodyDiv w:val="1"/>
      <w:marLeft w:val="0"/>
      <w:marRight w:val="0"/>
      <w:marTop w:val="0"/>
      <w:marBottom w:val="0"/>
      <w:divBdr>
        <w:top w:val="none" w:sz="0" w:space="0" w:color="auto"/>
        <w:left w:val="none" w:sz="0" w:space="0" w:color="auto"/>
        <w:bottom w:val="none" w:sz="0" w:space="0" w:color="auto"/>
        <w:right w:val="none" w:sz="0" w:space="0" w:color="auto"/>
      </w:divBdr>
    </w:div>
    <w:div w:id="2002077161">
      <w:bodyDiv w:val="1"/>
      <w:marLeft w:val="0"/>
      <w:marRight w:val="0"/>
      <w:marTop w:val="0"/>
      <w:marBottom w:val="0"/>
      <w:divBdr>
        <w:top w:val="none" w:sz="0" w:space="0" w:color="auto"/>
        <w:left w:val="none" w:sz="0" w:space="0" w:color="auto"/>
        <w:bottom w:val="none" w:sz="0" w:space="0" w:color="auto"/>
        <w:right w:val="none" w:sz="0" w:space="0" w:color="auto"/>
      </w:divBdr>
    </w:div>
    <w:div w:id="2045129960">
      <w:bodyDiv w:val="1"/>
      <w:marLeft w:val="0"/>
      <w:marRight w:val="0"/>
      <w:marTop w:val="0"/>
      <w:marBottom w:val="0"/>
      <w:divBdr>
        <w:top w:val="none" w:sz="0" w:space="0" w:color="auto"/>
        <w:left w:val="none" w:sz="0" w:space="0" w:color="auto"/>
        <w:bottom w:val="none" w:sz="0" w:space="0" w:color="auto"/>
        <w:right w:val="none" w:sz="0" w:space="0" w:color="auto"/>
      </w:divBdr>
    </w:div>
    <w:div w:id="2048018435">
      <w:bodyDiv w:val="1"/>
      <w:marLeft w:val="0"/>
      <w:marRight w:val="0"/>
      <w:marTop w:val="0"/>
      <w:marBottom w:val="0"/>
      <w:divBdr>
        <w:top w:val="none" w:sz="0" w:space="0" w:color="auto"/>
        <w:left w:val="none" w:sz="0" w:space="0" w:color="auto"/>
        <w:bottom w:val="none" w:sz="0" w:space="0" w:color="auto"/>
        <w:right w:val="none" w:sz="0" w:space="0" w:color="auto"/>
      </w:divBdr>
    </w:div>
    <w:div w:id="2085028686">
      <w:bodyDiv w:val="1"/>
      <w:marLeft w:val="0"/>
      <w:marRight w:val="0"/>
      <w:marTop w:val="0"/>
      <w:marBottom w:val="0"/>
      <w:divBdr>
        <w:top w:val="none" w:sz="0" w:space="0" w:color="auto"/>
        <w:left w:val="none" w:sz="0" w:space="0" w:color="auto"/>
        <w:bottom w:val="none" w:sz="0" w:space="0" w:color="auto"/>
        <w:right w:val="none" w:sz="0" w:space="0" w:color="auto"/>
      </w:divBdr>
    </w:div>
    <w:div w:id="208575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hs.gov/hipaa/for-professionals/faq/3026/under-hipaa-may-an-individual-request-that-a-covered-entity-restrict-how-it-uses-or-discloses-that-individuals-protect-health-information/index.html" TargetMode="External"/><Relationship Id="rId13" Type="http://schemas.openxmlformats.org/officeDocument/2006/relationships/hyperlink" Target="https://www.hipaajournal.com/hipaa-and-hitech/"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hs.gov/hipaa/for-professionals/privacy/guidance/business-associates/factsheet/index.html" TargetMode="External"/><Relationship Id="rId12" Type="http://schemas.openxmlformats.org/officeDocument/2006/relationships/hyperlink" Target="https://www.financialresearch.gov/briefs/files/OFRBrief-24-05-change-healthcare-cyberattack.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hhs.gov/hipaa/for-professionals/special-topics/change-healthcare-cybersecurity-incident-frequently-asked-questions/index.html" TargetMode="External"/><Relationship Id="rId1" Type="http://schemas.openxmlformats.org/officeDocument/2006/relationships/numbering" Target="numbering.xml"/><Relationship Id="rId6" Type="http://schemas.openxmlformats.org/officeDocument/2006/relationships/hyperlink" Target="https://indianexpress.com/article/world/indiana-attorney-general-drops-suit-over-privacy-of-ohio-girl-9512600" TargetMode="External"/><Relationship Id="rId11" Type="http://schemas.openxmlformats.org/officeDocument/2006/relationships/hyperlink" Target="https://www.censinet.com/perspectives/hitech-vs-hipaa-business-associate-agreement-differences" TargetMode="External"/><Relationship Id="rId5" Type="http://schemas.openxmlformats.org/officeDocument/2006/relationships/hyperlink" Target="https://apnews.com/article/abortion-indiana-ohio-lawsuit-e3657f24a24a38fe915e521b210a0089" TargetMode="External"/><Relationship Id="rId15" Type="http://schemas.openxmlformats.org/officeDocument/2006/relationships/hyperlink" Target="https://www.hhs.gov/hipaa/for-professionals/privacy/guidance/business-associates/factsheet/index.html" TargetMode="External"/><Relationship Id="rId10" Type="http://schemas.openxmlformats.org/officeDocument/2006/relationships/hyperlink" Target="https://healthit.gov/resources/data-liquidity-affordability-and-access-the-history-growth-of-tefca/?utm_source=chatgpt.com" TargetMode="External"/><Relationship Id="rId4" Type="http://schemas.openxmlformats.org/officeDocument/2006/relationships/webSettings" Target="webSettings.xml"/><Relationship Id="rId9" Type="http://schemas.openxmlformats.org/officeDocument/2006/relationships/hyperlink" Target="https://www.hhs.gov/hipaa/for-professionals/special-topics/reproductive-health/final-rule-fact-sheet/index.html?utm_source=chatgpt.com" TargetMode="External"/><Relationship Id="rId14" Type="http://schemas.openxmlformats.org/officeDocument/2006/relationships/hyperlink" Target="https://www.hhs.gov/hipaa/for-professionals/privacy/guidance/business-associat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1754</TotalTime>
  <Pages>8</Pages>
  <Words>2875</Words>
  <Characters>16390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19227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11</cp:revision>
  <dcterms:created xsi:type="dcterms:W3CDTF">2026-07-08T20:14:00Z</dcterms:created>
  <dcterms:modified xsi:type="dcterms:W3CDTF">2026-07-15T12:03:00Z</dcterms:modified>
</cp:coreProperties>
</file>