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2A574" w14:textId="77777777" w:rsidR="00CF4A72" w:rsidRPr="00CF4A72" w:rsidRDefault="00CF4A72" w:rsidP="00CF4A72">
      <w:pPr>
        <w:ind w:firstLine="720"/>
        <w:rPr>
          <w:rFonts w:ascii="Times New Roman" w:hAnsi="Times New Roman" w:cs="Times New Roman"/>
          <w:sz w:val="24"/>
          <w:szCs w:val="24"/>
        </w:rPr>
      </w:pPr>
      <w:r w:rsidRPr="00CF4A72">
        <w:rPr>
          <w:rFonts w:ascii="Times New Roman" w:hAnsi="Times New Roman" w:cs="Times New Roman"/>
          <w:sz w:val="24"/>
          <w:szCs w:val="24"/>
        </w:rPr>
        <w:t>The right to restrict certain disclosures is an important Health Insurance Portability and Accountability Act (HIPAA) privacy right, particularly as it relates to reproductive health privacy. The Health Information Technology for Economic and Clinical Health (HITECH) Act, enacted as part of the American Recovery and Reinvestment Act (ARRA) in 2009, strengthened a patient’s ability to request restrictions on certain disclosures of protected health information (PHI) by covered entities (CEs), including disclosures to health plans for payment or healthcare operations under qualifying circumstances (U.S. Department of Health and Human Services [HHS], 2022).</w:t>
      </w:r>
    </w:p>
    <w:p w14:paraId="6CF20890" w14:textId="77777777" w:rsidR="00CF4A72" w:rsidRPr="00CF4A72" w:rsidRDefault="00CF4A72" w:rsidP="00CF4A72">
      <w:pPr>
        <w:ind w:firstLine="720"/>
        <w:rPr>
          <w:rFonts w:ascii="Times New Roman" w:hAnsi="Times New Roman" w:cs="Times New Roman"/>
          <w:sz w:val="24"/>
          <w:szCs w:val="24"/>
        </w:rPr>
      </w:pPr>
      <w:r w:rsidRPr="00CF4A72">
        <w:rPr>
          <w:rFonts w:ascii="Times New Roman" w:hAnsi="Times New Roman" w:cs="Times New Roman"/>
          <w:sz w:val="24"/>
          <w:szCs w:val="24"/>
        </w:rPr>
        <w:t>Prior to HITECH, HIPAA allowed patients to request restrictions on the use and disclosure of their PHI; however, covered entities generally had discretion in whether to agree to those requests except in limited circumstances. After HITECH, patients gained stronger privacy protections by requiring CEs to honor certain requests to restrict disclosures to health plans for payment or healthcare operations when the patient paid for the healthcare service in full and the disclosure was not otherwise required by law. HITECH also expanded HIPAA privacy and security responsibilities for business associates (BAs), increasing accountability for organizations that handle PHI (U.S. Department of Health and Human Services [HHS], 2021).</w:t>
      </w:r>
    </w:p>
    <w:p w14:paraId="1C3F69B6" w14:textId="77777777" w:rsidR="00CF4A72" w:rsidRPr="00CF4A72" w:rsidRDefault="00CF4A72" w:rsidP="00CF4A72">
      <w:pPr>
        <w:ind w:firstLine="720"/>
        <w:rPr>
          <w:rFonts w:ascii="Times New Roman" w:hAnsi="Times New Roman" w:cs="Times New Roman"/>
          <w:sz w:val="24"/>
          <w:szCs w:val="24"/>
        </w:rPr>
      </w:pPr>
      <w:r w:rsidRPr="00CF4A72">
        <w:rPr>
          <w:rFonts w:ascii="Times New Roman" w:hAnsi="Times New Roman" w:cs="Times New Roman"/>
          <w:sz w:val="24"/>
          <w:szCs w:val="24"/>
        </w:rPr>
        <w:t>The importance of these protections became more apparent with growing concerns surrounding reproductive health privacy. The Indiana case involving a 10-year-old Ohio girl who traveled to Indiana for abortion care became part of a national debate regarding healthcare privacy following the overturning of Roe v. Wade on June 24, 2022. After a physician discussed the case with a newspaper, questions were raised about whether sufficient patient information had been disclosed to permit identification of the patient (Associated Press, 2023). Although the matter generated significant public attention, it did not result in a HIPAA enforcement action (Associated Press, 2024).</w:t>
      </w:r>
    </w:p>
    <w:p w14:paraId="47C72616" w14:textId="77777777" w:rsidR="00CF4A72" w:rsidRPr="00CF4A72" w:rsidRDefault="00CF4A72" w:rsidP="00CF4A72">
      <w:pPr>
        <w:ind w:firstLine="720"/>
        <w:rPr>
          <w:rFonts w:ascii="Times New Roman" w:hAnsi="Times New Roman" w:cs="Times New Roman"/>
          <w:sz w:val="24"/>
          <w:szCs w:val="24"/>
        </w:rPr>
      </w:pPr>
      <w:r w:rsidRPr="00CF4A72">
        <w:rPr>
          <w:rFonts w:ascii="Times New Roman" w:hAnsi="Times New Roman" w:cs="Times New Roman"/>
          <w:sz w:val="24"/>
          <w:szCs w:val="24"/>
        </w:rPr>
        <w:t>The Ohio/Indiana health case demonstrates that while HIPAA and HITECH strengthened patient privacy rights, they did not address every concern involving sensitive health information. In response, the Office for Civil Rights (OCR) within the U.S. Department of Health and Human Services enhanced HIPAA privacy protections in 2024 through the HIPAA Privacy Rule to Support Reproductive Health Care Privacy. These provisions established additional safeguards to protect the privacy of reproductive health PHI and limit certain disclosures for prohibited purposes, including investigations or liability related to lawful reproductive healthcare (U.S. Department of Health and Human Services [HHS], 2024).</w:t>
      </w:r>
    </w:p>
    <w:p w14:paraId="3E0CF1F5" w14:textId="77777777" w:rsidR="00CF4A72" w:rsidRPr="00CF4A72" w:rsidRDefault="00CF4A72" w:rsidP="00CF4A72">
      <w:r w:rsidRPr="00CF4A72">
        <w:t> </w:t>
      </w:r>
    </w:p>
    <w:p w14:paraId="11AB2749" w14:textId="77777777" w:rsidR="00CF4A72" w:rsidRPr="00CF4A72" w:rsidRDefault="00CF4A72" w:rsidP="00CF4A72">
      <w:r w:rsidRPr="00CF4A72">
        <w:rPr>
          <w:b/>
          <w:bCs/>
        </w:rPr>
        <w:t>References:</w:t>
      </w:r>
    </w:p>
    <w:p w14:paraId="6E0EE8D8" w14:textId="77777777" w:rsidR="00CF4A72" w:rsidRPr="00CF4A72" w:rsidRDefault="00CF4A72" w:rsidP="00CF4A72">
      <w:r w:rsidRPr="00CF4A72">
        <w:rPr>
          <w:b/>
          <w:bCs/>
        </w:rPr>
        <w:t>Associated Press.</w:t>
      </w:r>
      <w:r w:rsidRPr="00CF4A72">
        <w:t> (2023, September 17). </w:t>
      </w:r>
      <w:r w:rsidRPr="00CF4A72">
        <w:rPr>
          <w:i/>
          <w:iCs/>
        </w:rPr>
        <w:t>Indiana attorney general drops suit over privacy of Ohio girl who traveled for abortion.</w:t>
      </w:r>
      <w:r w:rsidRPr="00CF4A72">
        <w:t> AP News. </w:t>
      </w:r>
      <w:hyperlink r:id="rId4" w:tgtFrame="_new" w:history="1">
        <w:r w:rsidRPr="00CF4A72">
          <w:rPr>
            <w:rStyle w:val="Hyperlink"/>
          </w:rPr>
          <w:t>https://apnews.com/article/abortion-indiana-ohio-lawsuit-e3657f24a24a38fe915e521b210a0089</w:t>
        </w:r>
      </w:hyperlink>
    </w:p>
    <w:p w14:paraId="4D0791B1" w14:textId="77777777" w:rsidR="00CF4A72" w:rsidRPr="00CF4A72" w:rsidRDefault="00CF4A72" w:rsidP="00CF4A72">
      <w:r w:rsidRPr="00CF4A72">
        <w:rPr>
          <w:b/>
          <w:bCs/>
        </w:rPr>
        <w:t>Associated Press.</w:t>
      </w:r>
      <w:r w:rsidRPr="00CF4A72">
        <w:t> (2024, August 14). </w:t>
      </w:r>
      <w:r w:rsidRPr="00CF4A72">
        <w:rPr>
          <w:i/>
          <w:iCs/>
        </w:rPr>
        <w:t>Indiana attorney general drops suit over privacy of Ohio girl who traveled for abortion</w:t>
      </w:r>
      <w:r w:rsidRPr="00CF4A72">
        <w:t>. The Indian Express. </w:t>
      </w:r>
      <w:hyperlink r:id="rId5" w:tgtFrame="_new" w:history="1">
        <w:r w:rsidRPr="00CF4A72">
          <w:rPr>
            <w:rStyle w:val="Hyperlink"/>
          </w:rPr>
          <w:t>https://indianexpress.com/article/world/indiana-attorney-general-drops-suit-over-privacy-of-ohio-girl-9512600</w:t>
        </w:r>
      </w:hyperlink>
    </w:p>
    <w:p w14:paraId="366D0A71" w14:textId="77777777" w:rsidR="00CF4A72" w:rsidRPr="00CF4A72" w:rsidRDefault="00CF4A72" w:rsidP="00CF4A72">
      <w:pPr>
        <w:rPr>
          <w:rFonts w:ascii="Times New Roman" w:hAnsi="Times New Roman" w:cs="Times New Roman"/>
          <w:sz w:val="24"/>
          <w:szCs w:val="24"/>
        </w:rPr>
      </w:pPr>
      <w:r w:rsidRPr="00CF4A72">
        <w:rPr>
          <w:rFonts w:ascii="Times New Roman" w:hAnsi="Times New Roman" w:cs="Times New Roman"/>
          <w:b/>
          <w:bCs/>
          <w:sz w:val="24"/>
          <w:szCs w:val="24"/>
        </w:rPr>
        <w:lastRenderedPageBreak/>
        <w:t>U.S. Department of Health and Human Services</w:t>
      </w:r>
      <w:r w:rsidRPr="00CF4A72">
        <w:rPr>
          <w:rFonts w:ascii="Times New Roman" w:hAnsi="Times New Roman" w:cs="Times New Roman"/>
          <w:sz w:val="24"/>
          <w:szCs w:val="24"/>
        </w:rPr>
        <w:t>. (2021, July 16). </w:t>
      </w:r>
      <w:r w:rsidRPr="00CF4A72">
        <w:rPr>
          <w:rFonts w:ascii="Times New Roman" w:hAnsi="Times New Roman" w:cs="Times New Roman"/>
          <w:i/>
          <w:iCs/>
          <w:sz w:val="24"/>
          <w:szCs w:val="24"/>
        </w:rPr>
        <w:t>Direct liability of business associates</w:t>
      </w:r>
      <w:r w:rsidRPr="00CF4A72">
        <w:rPr>
          <w:rFonts w:ascii="Times New Roman" w:hAnsi="Times New Roman" w:cs="Times New Roman"/>
          <w:sz w:val="24"/>
          <w:szCs w:val="24"/>
        </w:rPr>
        <w:t>. </w:t>
      </w:r>
      <w:hyperlink r:id="rId6" w:tgtFrame="_new" w:history="1">
        <w:r w:rsidRPr="00CF4A72">
          <w:rPr>
            <w:rStyle w:val="Hyperlink"/>
            <w:rFonts w:ascii="Times New Roman" w:hAnsi="Times New Roman" w:cs="Times New Roman"/>
            <w:sz w:val="24"/>
            <w:szCs w:val="24"/>
          </w:rPr>
          <w:t>https://www.hhs.gov/hipaa/for-professionals/privacy/guidance/business-associates/factsheet/index.html</w:t>
        </w:r>
      </w:hyperlink>
    </w:p>
    <w:p w14:paraId="10367469" w14:textId="77777777" w:rsidR="00CF4A72" w:rsidRPr="00CF4A72" w:rsidRDefault="00CF4A72" w:rsidP="00CF4A72">
      <w:pPr>
        <w:rPr>
          <w:rFonts w:ascii="Times New Roman" w:hAnsi="Times New Roman" w:cs="Times New Roman"/>
          <w:sz w:val="24"/>
          <w:szCs w:val="24"/>
        </w:rPr>
      </w:pPr>
      <w:r w:rsidRPr="00CF4A72">
        <w:rPr>
          <w:rFonts w:ascii="Times New Roman" w:hAnsi="Times New Roman" w:cs="Times New Roman"/>
          <w:b/>
          <w:bCs/>
          <w:sz w:val="24"/>
          <w:szCs w:val="24"/>
        </w:rPr>
        <w:t>U.S. Department of Health and Human Services</w:t>
      </w:r>
      <w:r w:rsidRPr="00CF4A72">
        <w:rPr>
          <w:rFonts w:ascii="Times New Roman" w:hAnsi="Times New Roman" w:cs="Times New Roman"/>
          <w:sz w:val="24"/>
          <w:szCs w:val="24"/>
        </w:rPr>
        <w:t>. (2022, December 28). </w:t>
      </w:r>
      <w:r w:rsidRPr="00CF4A72">
        <w:rPr>
          <w:rFonts w:ascii="Times New Roman" w:hAnsi="Times New Roman" w:cs="Times New Roman"/>
          <w:i/>
          <w:iCs/>
          <w:sz w:val="24"/>
          <w:szCs w:val="24"/>
        </w:rPr>
        <w:t>Under HIPAA, may an individual request that a covered entity restrict how it uses or discloses that individual’s protected health information (PHI)?</w:t>
      </w:r>
      <w:r w:rsidRPr="00CF4A72">
        <w:rPr>
          <w:rFonts w:ascii="Times New Roman" w:hAnsi="Times New Roman" w:cs="Times New Roman"/>
          <w:sz w:val="24"/>
          <w:szCs w:val="24"/>
        </w:rPr>
        <w:t> </w:t>
      </w:r>
      <w:hyperlink r:id="rId7" w:tgtFrame="_new" w:history="1">
        <w:r w:rsidRPr="00CF4A72">
          <w:rPr>
            <w:rStyle w:val="Hyperlink"/>
            <w:rFonts w:ascii="Times New Roman" w:hAnsi="Times New Roman" w:cs="Times New Roman"/>
            <w:sz w:val="24"/>
            <w:szCs w:val="24"/>
          </w:rPr>
          <w:t>https://www.hhs.gov/hipaa/for-professionals/faq/3026/under-hipaa-may-an-individual-request-that-a-covered-entity-restrict-how-it-uses-or-discloses-that-individuals-protect-health-information/index.html</w:t>
        </w:r>
      </w:hyperlink>
    </w:p>
    <w:p w14:paraId="141C8E14" w14:textId="77777777" w:rsidR="00CF4A72" w:rsidRPr="00CF4A72" w:rsidRDefault="00CF4A72" w:rsidP="00CF4A72">
      <w:pPr>
        <w:rPr>
          <w:rFonts w:ascii="Times New Roman" w:hAnsi="Times New Roman" w:cs="Times New Roman"/>
          <w:sz w:val="24"/>
          <w:szCs w:val="24"/>
        </w:rPr>
      </w:pPr>
      <w:r w:rsidRPr="00CF4A72">
        <w:rPr>
          <w:rFonts w:ascii="Times New Roman" w:hAnsi="Times New Roman" w:cs="Times New Roman"/>
          <w:b/>
          <w:bCs/>
          <w:sz w:val="24"/>
          <w:szCs w:val="24"/>
        </w:rPr>
        <w:t>U.S. Department of Health and Human Services</w:t>
      </w:r>
      <w:r w:rsidRPr="00CF4A72">
        <w:rPr>
          <w:rFonts w:ascii="Times New Roman" w:hAnsi="Times New Roman" w:cs="Times New Roman"/>
          <w:sz w:val="24"/>
          <w:szCs w:val="24"/>
        </w:rPr>
        <w:t>. (2024, April 22). </w:t>
      </w:r>
      <w:r w:rsidRPr="00CF4A72">
        <w:rPr>
          <w:rFonts w:ascii="Times New Roman" w:hAnsi="Times New Roman" w:cs="Times New Roman"/>
          <w:i/>
          <w:iCs/>
          <w:sz w:val="24"/>
          <w:szCs w:val="24"/>
        </w:rPr>
        <w:t>HIPAA Privacy Rule final rule to support reproductive health care privacy: Fact sheet.</w:t>
      </w:r>
      <w:r w:rsidRPr="00CF4A72">
        <w:rPr>
          <w:rFonts w:ascii="Times New Roman" w:hAnsi="Times New Roman" w:cs="Times New Roman"/>
          <w:sz w:val="24"/>
          <w:szCs w:val="24"/>
        </w:rPr>
        <w:t> </w:t>
      </w:r>
      <w:hyperlink r:id="rId8" w:tgtFrame="_new" w:history="1">
        <w:r w:rsidRPr="00CF4A72">
          <w:rPr>
            <w:rStyle w:val="Hyperlink"/>
            <w:rFonts w:ascii="Times New Roman" w:hAnsi="Times New Roman" w:cs="Times New Roman"/>
            <w:sz w:val="24"/>
            <w:szCs w:val="24"/>
          </w:rPr>
          <w:t>https://www.hhs.gov/hipaa/for-professionals/special-topics/reproductive-health/final-rule-fact-sheet/index.html</w:t>
        </w:r>
      </w:hyperlink>
    </w:p>
    <w:p w14:paraId="26835601" w14:textId="77777777" w:rsidR="00CF4A72" w:rsidRPr="00CF4A72" w:rsidRDefault="00CF4A72" w:rsidP="00CF4A72">
      <w:pPr>
        <w:rPr>
          <w:rFonts w:ascii="Times New Roman" w:hAnsi="Times New Roman" w:cs="Times New Roman"/>
          <w:sz w:val="24"/>
          <w:szCs w:val="24"/>
        </w:rPr>
      </w:pPr>
      <w:r w:rsidRPr="00CF4A72">
        <w:rPr>
          <w:rFonts w:ascii="Times New Roman" w:hAnsi="Times New Roman" w:cs="Times New Roman"/>
          <w:sz w:val="24"/>
          <w:szCs w:val="24"/>
        </w:rPr>
        <w:t>AI assistance disclosure: ChatGPT (OpenAI) was used to assist with grammar, organization, APA formatting, and editing. All factual content, citations, and final written work were reviewed and verified by the author.</w:t>
      </w:r>
    </w:p>
    <w:p w14:paraId="31C0B06D" w14:textId="77777777" w:rsidR="002035C7" w:rsidRDefault="002035C7"/>
    <w:sectPr w:rsidR="00203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FC"/>
    <w:rsid w:val="002035C7"/>
    <w:rsid w:val="003C69FC"/>
    <w:rsid w:val="0050371B"/>
    <w:rsid w:val="00AA55F2"/>
    <w:rsid w:val="00CF4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5F6F"/>
  <w15:chartTrackingRefBased/>
  <w15:docId w15:val="{A12C33C4-10A7-4D2E-986E-AD583786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9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69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69F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69F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69F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F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69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69F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69F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69F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FC"/>
    <w:rPr>
      <w:rFonts w:eastAsiaTheme="majorEastAsia" w:cstheme="majorBidi"/>
      <w:color w:val="272727" w:themeColor="text1" w:themeTint="D8"/>
    </w:rPr>
  </w:style>
  <w:style w:type="paragraph" w:styleId="Title">
    <w:name w:val="Title"/>
    <w:basedOn w:val="Normal"/>
    <w:next w:val="Normal"/>
    <w:link w:val="TitleChar"/>
    <w:uiPriority w:val="10"/>
    <w:qFormat/>
    <w:rsid w:val="003C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FC"/>
    <w:pPr>
      <w:spacing w:before="160"/>
      <w:jc w:val="center"/>
    </w:pPr>
    <w:rPr>
      <w:i/>
      <w:iCs/>
      <w:color w:val="404040" w:themeColor="text1" w:themeTint="BF"/>
    </w:rPr>
  </w:style>
  <w:style w:type="character" w:customStyle="1" w:styleId="QuoteChar">
    <w:name w:val="Quote Char"/>
    <w:basedOn w:val="DefaultParagraphFont"/>
    <w:link w:val="Quote"/>
    <w:uiPriority w:val="29"/>
    <w:rsid w:val="003C69FC"/>
    <w:rPr>
      <w:i/>
      <w:iCs/>
      <w:color w:val="404040" w:themeColor="text1" w:themeTint="BF"/>
    </w:rPr>
  </w:style>
  <w:style w:type="paragraph" w:styleId="ListParagraph">
    <w:name w:val="List Paragraph"/>
    <w:basedOn w:val="Normal"/>
    <w:uiPriority w:val="34"/>
    <w:qFormat/>
    <w:rsid w:val="003C69FC"/>
    <w:pPr>
      <w:ind w:left="720"/>
      <w:contextualSpacing/>
    </w:pPr>
  </w:style>
  <w:style w:type="character" w:styleId="IntenseEmphasis">
    <w:name w:val="Intense Emphasis"/>
    <w:basedOn w:val="DefaultParagraphFont"/>
    <w:uiPriority w:val="21"/>
    <w:qFormat/>
    <w:rsid w:val="003C69FC"/>
    <w:rPr>
      <w:i/>
      <w:iCs/>
      <w:color w:val="2E74B5" w:themeColor="accent1" w:themeShade="BF"/>
    </w:rPr>
  </w:style>
  <w:style w:type="paragraph" w:styleId="IntenseQuote">
    <w:name w:val="Intense Quote"/>
    <w:basedOn w:val="Normal"/>
    <w:next w:val="Normal"/>
    <w:link w:val="IntenseQuoteChar"/>
    <w:uiPriority w:val="30"/>
    <w:qFormat/>
    <w:rsid w:val="003C69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69FC"/>
    <w:rPr>
      <w:i/>
      <w:iCs/>
      <w:color w:val="2E74B5" w:themeColor="accent1" w:themeShade="BF"/>
    </w:rPr>
  </w:style>
  <w:style w:type="character" w:styleId="IntenseReference">
    <w:name w:val="Intense Reference"/>
    <w:basedOn w:val="DefaultParagraphFont"/>
    <w:uiPriority w:val="32"/>
    <w:qFormat/>
    <w:rsid w:val="003C69FC"/>
    <w:rPr>
      <w:b/>
      <w:bCs/>
      <w:smallCaps/>
      <w:color w:val="2E74B5" w:themeColor="accent1" w:themeShade="BF"/>
      <w:spacing w:val="5"/>
    </w:rPr>
  </w:style>
  <w:style w:type="character" w:styleId="Hyperlink">
    <w:name w:val="Hyperlink"/>
    <w:basedOn w:val="DefaultParagraphFont"/>
    <w:uiPriority w:val="99"/>
    <w:unhideWhenUsed/>
    <w:rsid w:val="00CF4A72"/>
    <w:rPr>
      <w:color w:val="0563C1" w:themeColor="hyperlink"/>
      <w:u w:val="single"/>
    </w:rPr>
  </w:style>
  <w:style w:type="character" w:styleId="UnresolvedMention">
    <w:name w:val="Unresolved Mention"/>
    <w:basedOn w:val="DefaultParagraphFont"/>
    <w:uiPriority w:val="99"/>
    <w:semiHidden/>
    <w:unhideWhenUsed/>
    <w:rsid w:val="00CF4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51665">
      <w:bodyDiv w:val="1"/>
      <w:marLeft w:val="0"/>
      <w:marRight w:val="0"/>
      <w:marTop w:val="0"/>
      <w:marBottom w:val="0"/>
      <w:divBdr>
        <w:top w:val="none" w:sz="0" w:space="0" w:color="auto"/>
        <w:left w:val="none" w:sz="0" w:space="0" w:color="auto"/>
        <w:bottom w:val="none" w:sz="0" w:space="0" w:color="auto"/>
        <w:right w:val="none" w:sz="0" w:space="0" w:color="auto"/>
      </w:divBdr>
    </w:div>
    <w:div w:id="78762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for-professionals/special-topics/reproductive-health/final-rule-fact-sheet/index.html?utm_source=chatgpt.com" TargetMode="External"/><Relationship Id="rId3" Type="http://schemas.openxmlformats.org/officeDocument/2006/relationships/webSettings" Target="webSettings.xml"/><Relationship Id="rId7" Type="http://schemas.openxmlformats.org/officeDocument/2006/relationships/hyperlink" Target="https://www.hhs.gov/hipaa/for-professionals/faq/3026/under-hipaa-may-an-individual-request-that-a-covered-entity-restrict-how-it-uses-or-discloses-that-individuals-protect-health-information/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hs.gov/hipaa/for-professionals/privacy/guidance/business-associates/factsheet/index.html" TargetMode="External"/><Relationship Id="rId5" Type="http://schemas.openxmlformats.org/officeDocument/2006/relationships/hyperlink" Target="https://indianexpress.com/article/world/indiana-attorney-general-drops-suit-over-privacy-of-ohio-girl-9512600" TargetMode="External"/><Relationship Id="rId10" Type="http://schemas.openxmlformats.org/officeDocument/2006/relationships/theme" Target="theme/theme1.xml"/><Relationship Id="rId4" Type="http://schemas.openxmlformats.org/officeDocument/2006/relationships/hyperlink" Target="https://apnews.com/article/abortion-indiana-ohio-lawsuit-e3657f24a24a38fe915e521b210a008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766</Words>
  <Characters>4369</Characters>
  <Application>Microsoft Office Word</Application>
  <DocSecurity>0</DocSecurity>
  <Lines>36</Lines>
  <Paragraphs>10</Paragraphs>
  <ScaleCrop>false</ScaleCrop>
  <Company>Catholic Health Services - LI</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cp:revision>
  <dcterms:created xsi:type="dcterms:W3CDTF">2026-07-14T16:52:00Z</dcterms:created>
  <dcterms:modified xsi:type="dcterms:W3CDTF">2026-07-14T16:54:00Z</dcterms:modified>
</cp:coreProperties>
</file>