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82704" w14:textId="77777777" w:rsidR="00E52BAC" w:rsidRDefault="00E52BAC" w:rsidP="009A64DB">
      <w:pPr>
        <w:spacing w:line="480" w:lineRule="auto"/>
        <w:jc w:val="center"/>
        <w:rPr>
          <w:rFonts w:ascii="Times New Roman" w:hAnsi="Times New Roman" w:cs="Times New Roman"/>
          <w:b/>
          <w:bCs/>
          <w:sz w:val="24"/>
          <w:szCs w:val="24"/>
        </w:rPr>
      </w:pPr>
      <w:r w:rsidRPr="00E52BAC">
        <w:rPr>
          <w:rFonts w:ascii="Times New Roman" w:hAnsi="Times New Roman" w:cs="Times New Roman"/>
          <w:b/>
          <w:bCs/>
          <w:sz w:val="24"/>
          <w:szCs w:val="24"/>
        </w:rPr>
        <w:t>Meaningful Use to Secure Interoperability</w:t>
      </w:r>
    </w:p>
    <w:p w14:paraId="26DB6ADC" w14:textId="261485A7" w:rsidR="00E52BAC" w:rsidRDefault="00E52BAC" w:rsidP="009A64DB">
      <w:pPr>
        <w:spacing w:line="480" w:lineRule="auto"/>
        <w:jc w:val="center"/>
        <w:rPr>
          <w:rFonts w:ascii="Times New Roman" w:hAnsi="Times New Roman" w:cs="Times New Roman"/>
          <w:b/>
          <w:bCs/>
          <w:sz w:val="24"/>
          <w:szCs w:val="24"/>
        </w:rPr>
      </w:pPr>
      <w:r w:rsidRPr="00E52BAC">
        <w:rPr>
          <w:rFonts w:ascii="Times New Roman" w:hAnsi="Times New Roman" w:cs="Times New Roman"/>
          <w:b/>
          <w:bCs/>
          <w:sz w:val="24"/>
          <w:szCs w:val="24"/>
        </w:rPr>
        <w:t>Addressing Cybersecurity Risks in Healthcare</w:t>
      </w:r>
    </w:p>
    <w:p w14:paraId="60E7B53A" w14:textId="16A08357" w:rsidR="009A64DB" w:rsidRPr="004D0E21" w:rsidRDefault="009A64DB" w:rsidP="009A64DB">
      <w:pPr>
        <w:spacing w:line="480" w:lineRule="auto"/>
        <w:jc w:val="center"/>
        <w:rPr>
          <w:rFonts w:ascii="Times New Roman" w:hAnsi="Times New Roman" w:cs="Times New Roman"/>
          <w:sz w:val="24"/>
          <w:szCs w:val="24"/>
        </w:rPr>
      </w:pPr>
      <w:r>
        <w:rPr>
          <w:rFonts w:ascii="Times New Roman" w:hAnsi="Times New Roman" w:cs="Times New Roman"/>
          <w:sz w:val="24"/>
          <w:szCs w:val="24"/>
        </w:rPr>
        <w:t>Yatza Lo</w:t>
      </w:r>
      <w:r w:rsidRPr="00C46A0E">
        <w:rPr>
          <w:rFonts w:ascii="Times New Roman" w:hAnsi="Times New Roman" w:cs="Times New Roman"/>
          <w:sz w:val="24"/>
          <w:szCs w:val="24"/>
        </w:rPr>
        <w:br/>
        <w:t>School of Health Professions, Stony Brook University</w:t>
      </w:r>
      <w:r w:rsidRPr="00C46A0E">
        <w:rPr>
          <w:rFonts w:ascii="Times New Roman" w:hAnsi="Times New Roman" w:cs="Times New Roman"/>
          <w:sz w:val="24"/>
          <w:szCs w:val="24"/>
        </w:rPr>
        <w:br/>
      </w:r>
      <w:r w:rsidRPr="004D0E21">
        <w:rPr>
          <w:rFonts w:ascii="Times New Roman" w:hAnsi="Times New Roman" w:cs="Times New Roman"/>
          <w:sz w:val="24"/>
          <w:szCs w:val="24"/>
        </w:rPr>
        <w:t>HHA 503 - Healthcare Cybersecurity: Regulations, Confidentiality, and Privacy</w:t>
      </w:r>
    </w:p>
    <w:p w14:paraId="34204970" w14:textId="438DC15E" w:rsidR="009A64DB" w:rsidRDefault="009A64DB" w:rsidP="009A64DB">
      <w:pPr>
        <w:spacing w:line="480" w:lineRule="auto"/>
        <w:jc w:val="center"/>
        <w:rPr>
          <w:rFonts w:ascii="Times New Roman" w:hAnsi="Times New Roman" w:cs="Times New Roman"/>
          <w:sz w:val="24"/>
          <w:szCs w:val="24"/>
        </w:rPr>
      </w:pPr>
      <w:r w:rsidRPr="004D0E21">
        <w:rPr>
          <w:rFonts w:ascii="Times New Roman" w:hAnsi="Times New Roman" w:cs="Times New Roman"/>
          <w:sz w:val="24"/>
          <w:szCs w:val="24"/>
        </w:rPr>
        <w:t>Professor Blake Benz</w:t>
      </w:r>
      <w:r w:rsidRPr="00C46A0E">
        <w:rPr>
          <w:rFonts w:ascii="Times New Roman" w:hAnsi="Times New Roman" w:cs="Times New Roman"/>
          <w:sz w:val="24"/>
          <w:szCs w:val="24"/>
        </w:rPr>
        <w:br/>
      </w:r>
      <w:r>
        <w:rPr>
          <w:rFonts w:ascii="Times New Roman" w:hAnsi="Times New Roman" w:cs="Times New Roman"/>
          <w:sz w:val="24"/>
          <w:szCs w:val="24"/>
        </w:rPr>
        <w:t xml:space="preserve">August </w:t>
      </w:r>
      <w:r w:rsidR="004516B1">
        <w:rPr>
          <w:rFonts w:ascii="Times New Roman" w:hAnsi="Times New Roman" w:cs="Times New Roman"/>
          <w:sz w:val="24"/>
          <w:szCs w:val="24"/>
        </w:rPr>
        <w:t>1</w:t>
      </w:r>
      <w:r w:rsidR="003037D9">
        <w:rPr>
          <w:rFonts w:ascii="Times New Roman" w:hAnsi="Times New Roman" w:cs="Times New Roman"/>
          <w:sz w:val="24"/>
          <w:szCs w:val="24"/>
        </w:rPr>
        <w:t>3</w:t>
      </w:r>
      <w:r>
        <w:rPr>
          <w:rFonts w:ascii="Times New Roman" w:hAnsi="Times New Roman" w:cs="Times New Roman"/>
          <w:sz w:val="24"/>
          <w:szCs w:val="24"/>
        </w:rPr>
        <w:t>, 2026</w:t>
      </w:r>
    </w:p>
    <w:p w14:paraId="13FE856D" w14:textId="77777777" w:rsidR="009A64DB" w:rsidRDefault="009A64DB">
      <w:pPr>
        <w:rPr>
          <w:rFonts w:ascii="Times New Roman" w:hAnsi="Times New Roman" w:cs="Times New Roman"/>
          <w:sz w:val="24"/>
          <w:szCs w:val="24"/>
        </w:rPr>
      </w:pPr>
      <w:r>
        <w:rPr>
          <w:rFonts w:ascii="Times New Roman" w:hAnsi="Times New Roman" w:cs="Times New Roman"/>
          <w:sz w:val="24"/>
          <w:szCs w:val="24"/>
        </w:rPr>
        <w:br w:type="page"/>
      </w:r>
    </w:p>
    <w:p w14:paraId="4A1F9050" w14:textId="250933D0" w:rsidR="0057592A" w:rsidRDefault="0057592A" w:rsidP="0057592A">
      <w:pPr>
        <w:spacing w:line="480" w:lineRule="auto"/>
        <w:ind w:firstLine="720"/>
        <w:rPr>
          <w:rFonts w:ascii="Times New Roman" w:hAnsi="Times New Roman" w:cs="Times New Roman"/>
          <w:sz w:val="24"/>
          <w:szCs w:val="24"/>
        </w:rPr>
      </w:pPr>
      <w:r w:rsidRPr="00C276C0">
        <w:rPr>
          <w:rFonts w:ascii="Times New Roman" w:hAnsi="Times New Roman" w:cs="Times New Roman"/>
          <w:sz w:val="24"/>
          <w:szCs w:val="24"/>
        </w:rPr>
        <w:lastRenderedPageBreak/>
        <w:t xml:space="preserve">The Health Information Technology for Economic and Clinical Health (HITECH) Act </w:t>
      </w:r>
      <w:r w:rsidR="00115108">
        <w:rPr>
          <w:rFonts w:ascii="Times New Roman" w:hAnsi="Times New Roman" w:cs="Times New Roman"/>
          <w:sz w:val="24"/>
          <w:szCs w:val="24"/>
        </w:rPr>
        <w:t>accelerated</w:t>
      </w:r>
      <w:r w:rsidRPr="00C276C0">
        <w:rPr>
          <w:rFonts w:ascii="Times New Roman" w:hAnsi="Times New Roman" w:cs="Times New Roman"/>
          <w:sz w:val="24"/>
          <w:szCs w:val="24"/>
        </w:rPr>
        <w:t xml:space="preserve"> the adoption of electronic health records (EHRs), while the Meaningful Use program provided financial incentives beginning in 2011 to expand EHR adoption </w:t>
      </w:r>
      <w:r w:rsidR="00AA2B5E">
        <w:rPr>
          <w:rFonts w:ascii="Times New Roman" w:hAnsi="Times New Roman" w:cs="Times New Roman"/>
          <w:sz w:val="24"/>
          <w:szCs w:val="24"/>
        </w:rPr>
        <w:t xml:space="preserve">by </w:t>
      </w:r>
      <w:r w:rsidRPr="00C276C0">
        <w:rPr>
          <w:rFonts w:ascii="Times New Roman" w:hAnsi="Times New Roman" w:cs="Times New Roman"/>
          <w:sz w:val="24"/>
          <w:szCs w:val="24"/>
        </w:rPr>
        <w:t>encourag</w:t>
      </w:r>
      <w:r w:rsidR="00AA2B5E">
        <w:rPr>
          <w:rFonts w:ascii="Times New Roman" w:hAnsi="Times New Roman" w:cs="Times New Roman"/>
          <w:sz w:val="24"/>
          <w:szCs w:val="24"/>
        </w:rPr>
        <w:t>ing</w:t>
      </w:r>
      <w:r w:rsidRPr="00C276C0">
        <w:rPr>
          <w:rFonts w:ascii="Times New Roman" w:hAnsi="Times New Roman" w:cs="Times New Roman"/>
          <w:sz w:val="24"/>
          <w:szCs w:val="24"/>
        </w:rPr>
        <w:t xml:space="preserve"> the use of technologies such as clinical decision support (CDS), computerized provider order entry (CPOE), electronic prescribing (e-prescribing), and health information exchange (HIE), </w:t>
      </w:r>
      <w:r w:rsidR="007F7950">
        <w:rPr>
          <w:rFonts w:ascii="Times New Roman" w:hAnsi="Times New Roman" w:cs="Times New Roman"/>
          <w:sz w:val="24"/>
          <w:szCs w:val="24"/>
        </w:rPr>
        <w:t xml:space="preserve">which </w:t>
      </w:r>
      <w:r w:rsidRPr="00C276C0">
        <w:rPr>
          <w:rFonts w:ascii="Times New Roman" w:hAnsi="Times New Roman" w:cs="Times New Roman"/>
          <w:sz w:val="24"/>
          <w:szCs w:val="24"/>
        </w:rPr>
        <w:t>improv</w:t>
      </w:r>
      <w:r w:rsidR="007F7950">
        <w:rPr>
          <w:rFonts w:ascii="Times New Roman" w:hAnsi="Times New Roman" w:cs="Times New Roman"/>
          <w:sz w:val="24"/>
          <w:szCs w:val="24"/>
        </w:rPr>
        <w:t>ed</w:t>
      </w:r>
      <w:r w:rsidRPr="00C276C0">
        <w:rPr>
          <w:rFonts w:ascii="Times New Roman" w:hAnsi="Times New Roman" w:cs="Times New Roman"/>
          <w:sz w:val="24"/>
          <w:szCs w:val="24"/>
        </w:rPr>
        <w:t xml:space="preserve"> access to health information and </w:t>
      </w:r>
      <w:r w:rsidR="007D4824">
        <w:rPr>
          <w:rFonts w:ascii="Times New Roman" w:hAnsi="Times New Roman" w:cs="Times New Roman"/>
          <w:sz w:val="24"/>
          <w:szCs w:val="24"/>
        </w:rPr>
        <w:t>quality</w:t>
      </w:r>
      <w:r w:rsidR="006267BE">
        <w:rPr>
          <w:rFonts w:ascii="Times New Roman" w:hAnsi="Times New Roman" w:cs="Times New Roman"/>
          <w:sz w:val="24"/>
          <w:szCs w:val="24"/>
        </w:rPr>
        <w:t xml:space="preserve"> of care</w:t>
      </w:r>
      <w:r w:rsidRPr="00C276C0">
        <w:rPr>
          <w:rFonts w:ascii="Times New Roman" w:hAnsi="Times New Roman" w:cs="Times New Roman"/>
          <w:sz w:val="24"/>
          <w:szCs w:val="24"/>
        </w:rPr>
        <w:t xml:space="preserve"> (Centers for Medicare &amp; Medicaid Services [CMS], 2023; Kan, 2011; Jones et al., 2014).</w:t>
      </w:r>
    </w:p>
    <w:p w14:paraId="5F4D271B" w14:textId="220D7679" w:rsidR="00F86968" w:rsidRDefault="005E376F" w:rsidP="0057592A">
      <w:pPr>
        <w:spacing w:line="480" w:lineRule="auto"/>
        <w:ind w:firstLine="720"/>
        <w:rPr>
          <w:rFonts w:ascii="Times New Roman" w:hAnsi="Times New Roman" w:cs="Times New Roman"/>
          <w:sz w:val="24"/>
          <w:szCs w:val="24"/>
        </w:rPr>
      </w:pPr>
      <w:r w:rsidRPr="005E376F">
        <w:rPr>
          <w:rFonts w:ascii="Times New Roman" w:hAnsi="Times New Roman" w:cs="Times New Roman"/>
          <w:sz w:val="24"/>
          <w:szCs w:val="24"/>
        </w:rPr>
        <w:t>As healthcare organizations expanded their exposure footprint through interoperability and exchanged information across access points, the number of dependencies requiring protection also increased</w:t>
      </w:r>
      <w:r w:rsidR="00163CF9" w:rsidRPr="00163CF9">
        <w:rPr>
          <w:rFonts w:ascii="Times New Roman" w:hAnsi="Times New Roman" w:cs="Times New Roman"/>
          <w:sz w:val="24"/>
          <w:szCs w:val="24"/>
        </w:rPr>
        <w:t xml:space="preserve"> (</w:t>
      </w:r>
      <w:r w:rsidR="00E11BCB" w:rsidRPr="00D4429E">
        <w:rPr>
          <w:rFonts w:ascii="Times New Roman" w:hAnsi="Times New Roman" w:cs="Times New Roman"/>
          <w:sz w:val="24"/>
          <w:szCs w:val="24"/>
        </w:rPr>
        <w:t>Office of the National Coordinator for Health Information Technology</w:t>
      </w:r>
      <w:r w:rsidR="00E11BCB" w:rsidRPr="00163CF9">
        <w:rPr>
          <w:rFonts w:ascii="Times New Roman" w:hAnsi="Times New Roman" w:cs="Times New Roman"/>
          <w:sz w:val="24"/>
          <w:szCs w:val="24"/>
        </w:rPr>
        <w:t xml:space="preserve"> </w:t>
      </w:r>
      <w:r w:rsidR="00E11BCB">
        <w:rPr>
          <w:rFonts w:ascii="Times New Roman" w:hAnsi="Times New Roman" w:cs="Times New Roman"/>
          <w:sz w:val="24"/>
          <w:szCs w:val="24"/>
        </w:rPr>
        <w:t>[</w:t>
      </w:r>
      <w:r w:rsidR="00163CF9" w:rsidRPr="00163CF9">
        <w:rPr>
          <w:rFonts w:ascii="Times New Roman" w:hAnsi="Times New Roman" w:cs="Times New Roman"/>
          <w:sz w:val="24"/>
          <w:szCs w:val="24"/>
        </w:rPr>
        <w:t>ONC</w:t>
      </w:r>
      <w:r w:rsidR="00E11BCB">
        <w:rPr>
          <w:rFonts w:ascii="Times New Roman" w:hAnsi="Times New Roman" w:cs="Times New Roman"/>
          <w:sz w:val="24"/>
          <w:szCs w:val="24"/>
        </w:rPr>
        <w:t>]</w:t>
      </w:r>
      <w:r w:rsidR="00163CF9" w:rsidRPr="00163CF9">
        <w:rPr>
          <w:rFonts w:ascii="Times New Roman" w:hAnsi="Times New Roman" w:cs="Times New Roman"/>
          <w:sz w:val="24"/>
          <w:szCs w:val="24"/>
        </w:rPr>
        <w:t xml:space="preserve">, 2026; Coventry &amp; </w:t>
      </w:r>
      <w:proofErr w:type="spellStart"/>
      <w:r w:rsidR="00163CF9" w:rsidRPr="00163CF9">
        <w:rPr>
          <w:rFonts w:ascii="Times New Roman" w:hAnsi="Times New Roman" w:cs="Times New Roman"/>
          <w:sz w:val="24"/>
          <w:szCs w:val="24"/>
        </w:rPr>
        <w:t>Branley</w:t>
      </w:r>
      <w:proofErr w:type="spellEnd"/>
      <w:r w:rsidR="00163CF9" w:rsidRPr="00163CF9">
        <w:rPr>
          <w:rFonts w:ascii="Times New Roman" w:hAnsi="Times New Roman" w:cs="Times New Roman"/>
          <w:sz w:val="24"/>
          <w:szCs w:val="24"/>
        </w:rPr>
        <w:t>, 2018).</w:t>
      </w:r>
      <w:r w:rsidR="00AA2B5E">
        <w:rPr>
          <w:rFonts w:ascii="Times New Roman" w:hAnsi="Times New Roman" w:cs="Times New Roman"/>
          <w:sz w:val="24"/>
          <w:szCs w:val="24"/>
        </w:rPr>
        <w:t xml:space="preserve"> </w:t>
      </w:r>
      <w:r w:rsidRPr="005E376F">
        <w:rPr>
          <w:rFonts w:ascii="Times New Roman" w:hAnsi="Times New Roman" w:cs="Times New Roman"/>
          <w:sz w:val="24"/>
          <w:szCs w:val="24"/>
        </w:rPr>
        <w:t>The acceleration of technology through HITECH and Meaningful Use produced new cybersecurity responsibilities associated with interoperability.</w:t>
      </w:r>
    </w:p>
    <w:p w14:paraId="5F2B8FFE" w14:textId="61D24E95" w:rsidR="007E4FBE" w:rsidRDefault="007E4FBE" w:rsidP="0057592A">
      <w:pPr>
        <w:spacing w:line="480" w:lineRule="auto"/>
        <w:ind w:firstLine="720"/>
        <w:rPr>
          <w:rFonts w:ascii="Times New Roman" w:hAnsi="Times New Roman" w:cs="Times New Roman"/>
          <w:sz w:val="24"/>
          <w:szCs w:val="24"/>
        </w:rPr>
      </w:pPr>
      <w:r w:rsidRPr="007E4FBE">
        <w:rPr>
          <w:rFonts w:ascii="Times New Roman" w:hAnsi="Times New Roman" w:cs="Times New Roman"/>
          <w:sz w:val="24"/>
          <w:szCs w:val="24"/>
        </w:rPr>
        <w:t xml:space="preserve">Fast Healthcare Interoperability Resources (FHIR) </w:t>
      </w:r>
      <w:r w:rsidR="004E1EAC">
        <w:rPr>
          <w:rFonts w:ascii="Times New Roman" w:hAnsi="Times New Roman" w:cs="Times New Roman"/>
          <w:sz w:val="24"/>
          <w:szCs w:val="24"/>
        </w:rPr>
        <w:t>shows</w:t>
      </w:r>
      <w:r w:rsidRPr="007E4FBE">
        <w:rPr>
          <w:rFonts w:ascii="Times New Roman" w:hAnsi="Times New Roman" w:cs="Times New Roman"/>
          <w:sz w:val="24"/>
          <w:szCs w:val="24"/>
        </w:rPr>
        <w:t xml:space="preserve"> how increased interoperability can create new cybersecurity challenges by enabling </w:t>
      </w:r>
      <w:r w:rsidR="00A92E65">
        <w:rPr>
          <w:rFonts w:ascii="Times New Roman" w:hAnsi="Times New Roman" w:cs="Times New Roman"/>
          <w:sz w:val="24"/>
          <w:szCs w:val="24"/>
        </w:rPr>
        <w:t>a</w:t>
      </w:r>
      <w:r w:rsidR="00322A3F">
        <w:rPr>
          <w:rFonts w:ascii="Times New Roman" w:hAnsi="Times New Roman" w:cs="Times New Roman"/>
          <w:sz w:val="24"/>
          <w:szCs w:val="24"/>
        </w:rPr>
        <w:t xml:space="preserve">pplication </w:t>
      </w:r>
      <w:r w:rsidR="00A92E65">
        <w:rPr>
          <w:rFonts w:ascii="Times New Roman" w:hAnsi="Times New Roman" w:cs="Times New Roman"/>
          <w:sz w:val="24"/>
          <w:szCs w:val="24"/>
        </w:rPr>
        <w:t>p</w:t>
      </w:r>
      <w:r w:rsidR="00322A3F">
        <w:rPr>
          <w:rFonts w:ascii="Times New Roman" w:hAnsi="Times New Roman" w:cs="Times New Roman"/>
          <w:sz w:val="24"/>
          <w:szCs w:val="24"/>
        </w:rPr>
        <w:t xml:space="preserve">rogramming </w:t>
      </w:r>
      <w:r w:rsidR="00A92E65">
        <w:rPr>
          <w:rFonts w:ascii="Times New Roman" w:hAnsi="Times New Roman" w:cs="Times New Roman"/>
          <w:sz w:val="24"/>
          <w:szCs w:val="24"/>
        </w:rPr>
        <w:t>i</w:t>
      </w:r>
      <w:r w:rsidR="00322A3F">
        <w:rPr>
          <w:rFonts w:ascii="Times New Roman" w:hAnsi="Times New Roman" w:cs="Times New Roman"/>
          <w:sz w:val="24"/>
          <w:szCs w:val="24"/>
        </w:rPr>
        <w:t>nterface (</w:t>
      </w:r>
      <w:r w:rsidRPr="007E4FBE">
        <w:rPr>
          <w:rFonts w:ascii="Times New Roman" w:hAnsi="Times New Roman" w:cs="Times New Roman"/>
          <w:sz w:val="24"/>
          <w:szCs w:val="24"/>
        </w:rPr>
        <w:t>API</w:t>
      </w:r>
      <w:r w:rsidR="00322A3F">
        <w:rPr>
          <w:rFonts w:ascii="Times New Roman" w:hAnsi="Times New Roman" w:cs="Times New Roman"/>
          <w:sz w:val="24"/>
          <w:szCs w:val="24"/>
        </w:rPr>
        <w:t>)</w:t>
      </w:r>
      <w:r w:rsidRPr="007E4FBE">
        <w:rPr>
          <w:rFonts w:ascii="Times New Roman" w:hAnsi="Times New Roman" w:cs="Times New Roman"/>
          <w:sz w:val="24"/>
          <w:szCs w:val="24"/>
        </w:rPr>
        <w:t xml:space="preserve">-based communication among EHR platforms, mobile applications, patient portals, and other healthcare technologies (Health Level Seven International [HL7], 2023; </w:t>
      </w:r>
      <w:proofErr w:type="spellStart"/>
      <w:r w:rsidRPr="007E4FBE">
        <w:rPr>
          <w:rFonts w:ascii="Times New Roman" w:hAnsi="Times New Roman" w:cs="Times New Roman"/>
          <w:sz w:val="24"/>
          <w:szCs w:val="24"/>
        </w:rPr>
        <w:t>Saripalle</w:t>
      </w:r>
      <w:proofErr w:type="spellEnd"/>
      <w:r w:rsidRPr="007E4FBE">
        <w:rPr>
          <w:rFonts w:ascii="Times New Roman" w:hAnsi="Times New Roman" w:cs="Times New Roman"/>
          <w:sz w:val="24"/>
          <w:szCs w:val="24"/>
        </w:rPr>
        <w:t xml:space="preserve"> et al., 2019). </w:t>
      </w:r>
      <w:r w:rsidR="005E376F" w:rsidRPr="005E376F">
        <w:rPr>
          <w:rFonts w:ascii="Times New Roman" w:hAnsi="Times New Roman" w:cs="Times New Roman"/>
          <w:sz w:val="24"/>
          <w:szCs w:val="24"/>
        </w:rPr>
        <w:t>As access to sensitive health information becomes increasingly widespread, the risk of data leakage also grows</w:t>
      </w:r>
      <w:r w:rsidR="00936198" w:rsidRPr="00936198">
        <w:rPr>
          <w:rFonts w:ascii="Times New Roman" w:hAnsi="Times New Roman" w:cs="Times New Roman"/>
          <w:sz w:val="24"/>
          <w:szCs w:val="24"/>
        </w:rPr>
        <w:t>.</w:t>
      </w:r>
      <w:r w:rsidR="00936198">
        <w:rPr>
          <w:rFonts w:ascii="Times New Roman" w:hAnsi="Times New Roman" w:cs="Times New Roman"/>
          <w:sz w:val="24"/>
          <w:szCs w:val="24"/>
        </w:rPr>
        <w:t xml:space="preserve"> </w:t>
      </w:r>
      <w:r w:rsidR="00B05A8E" w:rsidRPr="00B05A8E">
        <w:rPr>
          <w:rFonts w:ascii="Times New Roman" w:hAnsi="Times New Roman" w:cs="Times New Roman"/>
          <w:sz w:val="24"/>
          <w:szCs w:val="24"/>
        </w:rPr>
        <w:t xml:space="preserve">For example, CVE-2026-24487 affected the </w:t>
      </w:r>
      <w:proofErr w:type="spellStart"/>
      <w:r w:rsidR="00B05A8E" w:rsidRPr="00B05A8E">
        <w:rPr>
          <w:rFonts w:ascii="Times New Roman" w:hAnsi="Times New Roman" w:cs="Times New Roman"/>
          <w:sz w:val="24"/>
          <w:szCs w:val="24"/>
        </w:rPr>
        <w:t>OpenEMR</w:t>
      </w:r>
      <w:proofErr w:type="spellEnd"/>
      <w:r w:rsidR="00B05A8E" w:rsidRPr="00B05A8E">
        <w:rPr>
          <w:rFonts w:ascii="Times New Roman" w:hAnsi="Times New Roman" w:cs="Times New Roman"/>
          <w:sz w:val="24"/>
          <w:szCs w:val="24"/>
        </w:rPr>
        <w:t xml:space="preserve"> FHIR </w:t>
      </w:r>
      <w:proofErr w:type="spellStart"/>
      <w:r w:rsidR="00B05A8E" w:rsidRPr="00B05A8E">
        <w:rPr>
          <w:rFonts w:ascii="Times New Roman" w:hAnsi="Times New Roman" w:cs="Times New Roman"/>
          <w:sz w:val="24"/>
          <w:szCs w:val="24"/>
        </w:rPr>
        <w:t>CareTeam</w:t>
      </w:r>
      <w:proofErr w:type="spellEnd"/>
      <w:r w:rsidR="00B05A8E" w:rsidRPr="00B05A8E">
        <w:rPr>
          <w:rFonts w:ascii="Times New Roman" w:hAnsi="Times New Roman" w:cs="Times New Roman"/>
          <w:sz w:val="24"/>
          <w:szCs w:val="24"/>
        </w:rPr>
        <w:t xml:space="preserve"> endpoint and allowed patient-scoped tokens to access care team data belonging to other patients (</w:t>
      </w:r>
      <w:r w:rsidR="00B05A8E" w:rsidRPr="00CF4D7E">
        <w:rPr>
          <w:rFonts w:ascii="Times New Roman" w:hAnsi="Times New Roman" w:cs="Times New Roman"/>
          <w:sz w:val="24"/>
          <w:szCs w:val="24"/>
        </w:rPr>
        <w:t>National Institute of Standards and Technology</w:t>
      </w:r>
      <w:r w:rsidR="00B05A8E" w:rsidRPr="00B05A8E">
        <w:rPr>
          <w:rFonts w:ascii="Times New Roman" w:hAnsi="Times New Roman" w:cs="Times New Roman"/>
          <w:sz w:val="24"/>
          <w:szCs w:val="24"/>
        </w:rPr>
        <w:t xml:space="preserve"> </w:t>
      </w:r>
      <w:r w:rsidR="00B05A8E">
        <w:rPr>
          <w:rFonts w:ascii="Times New Roman" w:hAnsi="Times New Roman" w:cs="Times New Roman"/>
          <w:sz w:val="24"/>
          <w:szCs w:val="24"/>
        </w:rPr>
        <w:t>[</w:t>
      </w:r>
      <w:r w:rsidR="00B05A8E" w:rsidRPr="00B05A8E">
        <w:rPr>
          <w:rFonts w:ascii="Times New Roman" w:hAnsi="Times New Roman" w:cs="Times New Roman"/>
          <w:sz w:val="24"/>
          <w:szCs w:val="24"/>
        </w:rPr>
        <w:t>NIST</w:t>
      </w:r>
      <w:r w:rsidR="00B05A8E">
        <w:rPr>
          <w:rFonts w:ascii="Times New Roman" w:hAnsi="Times New Roman" w:cs="Times New Roman"/>
          <w:sz w:val="24"/>
          <w:szCs w:val="24"/>
        </w:rPr>
        <w:t>]</w:t>
      </w:r>
      <w:r w:rsidR="00B05A8E" w:rsidRPr="00B05A8E">
        <w:rPr>
          <w:rFonts w:ascii="Times New Roman" w:hAnsi="Times New Roman" w:cs="Times New Roman"/>
          <w:sz w:val="24"/>
          <w:szCs w:val="24"/>
        </w:rPr>
        <w:t xml:space="preserve">, 2026; </w:t>
      </w:r>
      <w:proofErr w:type="spellStart"/>
      <w:r w:rsidR="00B05A8E" w:rsidRPr="00B05A8E">
        <w:rPr>
          <w:rFonts w:ascii="Times New Roman" w:hAnsi="Times New Roman" w:cs="Times New Roman"/>
          <w:sz w:val="24"/>
          <w:szCs w:val="24"/>
        </w:rPr>
        <w:t>SentinelOne</w:t>
      </w:r>
      <w:proofErr w:type="spellEnd"/>
      <w:r w:rsidR="00B05A8E" w:rsidRPr="00B05A8E">
        <w:rPr>
          <w:rFonts w:ascii="Times New Roman" w:hAnsi="Times New Roman" w:cs="Times New Roman"/>
          <w:sz w:val="24"/>
          <w:szCs w:val="24"/>
        </w:rPr>
        <w:t xml:space="preserve">, 2026). </w:t>
      </w:r>
      <w:r w:rsidR="00936198" w:rsidRPr="00936198">
        <w:rPr>
          <w:rFonts w:ascii="Times New Roman" w:hAnsi="Times New Roman" w:cs="Times New Roman"/>
          <w:sz w:val="24"/>
          <w:szCs w:val="24"/>
        </w:rPr>
        <w:t xml:space="preserve">This vulnerability </w:t>
      </w:r>
      <w:r w:rsidR="00671EC9">
        <w:rPr>
          <w:rFonts w:ascii="Times New Roman" w:hAnsi="Times New Roman" w:cs="Times New Roman"/>
          <w:sz w:val="24"/>
          <w:szCs w:val="24"/>
        </w:rPr>
        <w:t>highlight</w:t>
      </w:r>
      <w:r w:rsidR="00936198" w:rsidRPr="00936198">
        <w:rPr>
          <w:rFonts w:ascii="Times New Roman" w:hAnsi="Times New Roman" w:cs="Times New Roman"/>
          <w:sz w:val="24"/>
          <w:szCs w:val="24"/>
        </w:rPr>
        <w:t xml:space="preserve">s </w:t>
      </w:r>
      <w:r w:rsidR="00EB01A5">
        <w:rPr>
          <w:rFonts w:ascii="Times New Roman" w:hAnsi="Times New Roman" w:cs="Times New Roman"/>
          <w:sz w:val="24"/>
          <w:szCs w:val="24"/>
        </w:rPr>
        <w:t>how</w:t>
      </w:r>
      <w:r w:rsidR="00936198" w:rsidRPr="00936198">
        <w:rPr>
          <w:rFonts w:ascii="Times New Roman" w:hAnsi="Times New Roman" w:cs="Times New Roman"/>
          <w:sz w:val="24"/>
          <w:szCs w:val="24"/>
        </w:rPr>
        <w:t xml:space="preserve"> authentication alone is </w:t>
      </w:r>
      <w:r w:rsidR="00EB01A5">
        <w:rPr>
          <w:rFonts w:ascii="Times New Roman" w:hAnsi="Times New Roman" w:cs="Times New Roman"/>
          <w:sz w:val="24"/>
          <w:szCs w:val="24"/>
        </w:rPr>
        <w:t>not enough</w:t>
      </w:r>
      <w:r w:rsidR="00936198" w:rsidRPr="00936198">
        <w:rPr>
          <w:rFonts w:ascii="Times New Roman" w:hAnsi="Times New Roman" w:cs="Times New Roman"/>
          <w:sz w:val="24"/>
          <w:szCs w:val="24"/>
        </w:rPr>
        <w:t xml:space="preserve">; organizations must also verify </w:t>
      </w:r>
      <w:r w:rsidR="006559F3">
        <w:rPr>
          <w:rFonts w:ascii="Times New Roman" w:hAnsi="Times New Roman" w:cs="Times New Roman"/>
          <w:sz w:val="24"/>
          <w:szCs w:val="24"/>
        </w:rPr>
        <w:t xml:space="preserve">that </w:t>
      </w:r>
      <w:r w:rsidR="00936198" w:rsidRPr="00936198">
        <w:rPr>
          <w:rFonts w:ascii="Times New Roman" w:hAnsi="Times New Roman" w:cs="Times New Roman"/>
          <w:sz w:val="24"/>
          <w:szCs w:val="24"/>
        </w:rPr>
        <w:t xml:space="preserve">each </w:t>
      </w:r>
      <w:r w:rsidR="00EB01A5">
        <w:rPr>
          <w:rFonts w:ascii="Times New Roman" w:hAnsi="Times New Roman" w:cs="Times New Roman"/>
          <w:sz w:val="24"/>
          <w:szCs w:val="24"/>
        </w:rPr>
        <w:t xml:space="preserve">endpoint </w:t>
      </w:r>
      <w:r w:rsidR="00936198" w:rsidRPr="00936198">
        <w:rPr>
          <w:rFonts w:ascii="Times New Roman" w:hAnsi="Times New Roman" w:cs="Times New Roman"/>
          <w:sz w:val="24"/>
          <w:szCs w:val="24"/>
        </w:rPr>
        <w:t>API request is authorized for the specific patient information requested.</w:t>
      </w:r>
      <w:r w:rsidR="00936198">
        <w:rPr>
          <w:rFonts w:ascii="Times New Roman" w:hAnsi="Times New Roman" w:cs="Times New Roman"/>
          <w:sz w:val="24"/>
          <w:szCs w:val="24"/>
        </w:rPr>
        <w:t xml:space="preserve"> </w:t>
      </w:r>
      <w:r w:rsidR="006559F3" w:rsidRPr="006559F3">
        <w:rPr>
          <w:rFonts w:ascii="Times New Roman" w:hAnsi="Times New Roman" w:cs="Times New Roman"/>
          <w:sz w:val="24"/>
          <w:szCs w:val="24"/>
        </w:rPr>
        <w:t xml:space="preserve">Encryption mechanisms such as Transport Layer Security (TLS) can protect FHIR data during </w:t>
      </w:r>
      <w:r w:rsidR="006559F3" w:rsidRPr="006559F3">
        <w:rPr>
          <w:rFonts w:ascii="Times New Roman" w:hAnsi="Times New Roman" w:cs="Times New Roman"/>
          <w:sz w:val="24"/>
          <w:szCs w:val="24"/>
        </w:rPr>
        <w:lastRenderedPageBreak/>
        <w:t>transmission, but they do not determine whether an authenticated user is authorized to access another patient's information.</w:t>
      </w:r>
      <w:r w:rsidR="006559F3">
        <w:rPr>
          <w:rFonts w:ascii="Times New Roman" w:hAnsi="Times New Roman" w:cs="Times New Roman"/>
          <w:sz w:val="24"/>
          <w:szCs w:val="24"/>
        </w:rPr>
        <w:t xml:space="preserve"> </w:t>
      </w:r>
      <w:r w:rsidR="007F7950" w:rsidRPr="007F7950">
        <w:rPr>
          <w:rFonts w:ascii="Times New Roman" w:hAnsi="Times New Roman" w:cs="Times New Roman"/>
          <w:sz w:val="24"/>
          <w:szCs w:val="24"/>
        </w:rPr>
        <w:t xml:space="preserve">Because FHIR enables </w:t>
      </w:r>
      <w:r w:rsidR="008C7234">
        <w:rPr>
          <w:rFonts w:ascii="Times New Roman" w:hAnsi="Times New Roman" w:cs="Times New Roman"/>
          <w:sz w:val="24"/>
          <w:szCs w:val="24"/>
        </w:rPr>
        <w:t xml:space="preserve">the </w:t>
      </w:r>
      <w:r w:rsidR="007F7950" w:rsidRPr="007F7950">
        <w:rPr>
          <w:rFonts w:ascii="Times New Roman" w:hAnsi="Times New Roman" w:cs="Times New Roman"/>
          <w:sz w:val="24"/>
          <w:szCs w:val="24"/>
        </w:rPr>
        <w:t>exchange of clinical information</w:t>
      </w:r>
      <w:r w:rsidR="009A14F1" w:rsidRPr="009A14F1">
        <w:rPr>
          <w:rFonts w:ascii="Times New Roman" w:hAnsi="Times New Roman" w:cs="Times New Roman"/>
          <w:sz w:val="24"/>
          <w:szCs w:val="24"/>
        </w:rPr>
        <w:t xml:space="preserve"> across interconnected systems, authorization failures can become patient-safety concerns when inappropriate information enters clinical </w:t>
      </w:r>
      <w:r w:rsidR="00EB01A5">
        <w:rPr>
          <w:rFonts w:ascii="Times New Roman" w:hAnsi="Times New Roman" w:cs="Times New Roman"/>
          <w:sz w:val="24"/>
          <w:szCs w:val="24"/>
        </w:rPr>
        <w:t xml:space="preserve">treatment </w:t>
      </w:r>
      <w:r w:rsidR="009A14F1" w:rsidRPr="009A14F1">
        <w:rPr>
          <w:rFonts w:ascii="Times New Roman" w:hAnsi="Times New Roman" w:cs="Times New Roman"/>
          <w:sz w:val="24"/>
          <w:szCs w:val="24"/>
        </w:rPr>
        <w:t>workflows. Secur</w:t>
      </w:r>
      <w:r w:rsidR="00EB01A5">
        <w:rPr>
          <w:rFonts w:ascii="Times New Roman" w:hAnsi="Times New Roman" w:cs="Times New Roman"/>
          <w:sz w:val="24"/>
          <w:szCs w:val="24"/>
        </w:rPr>
        <w:t>ing</w:t>
      </w:r>
      <w:r w:rsidR="009A14F1" w:rsidRPr="009A14F1">
        <w:rPr>
          <w:rFonts w:ascii="Times New Roman" w:hAnsi="Times New Roman" w:cs="Times New Roman"/>
          <w:sz w:val="24"/>
          <w:szCs w:val="24"/>
        </w:rPr>
        <w:t xml:space="preserve"> interoperability requires</w:t>
      </w:r>
      <w:r w:rsidR="00EB01A5">
        <w:rPr>
          <w:rFonts w:ascii="Times New Roman" w:hAnsi="Times New Roman" w:cs="Times New Roman"/>
          <w:sz w:val="24"/>
          <w:szCs w:val="24"/>
        </w:rPr>
        <w:t xml:space="preserve"> </w:t>
      </w:r>
      <w:r w:rsidR="009A14F1" w:rsidRPr="009A14F1">
        <w:rPr>
          <w:rFonts w:ascii="Times New Roman" w:hAnsi="Times New Roman" w:cs="Times New Roman"/>
          <w:sz w:val="24"/>
          <w:szCs w:val="24"/>
        </w:rPr>
        <w:t>reliable information exchange and appropriate patient-level access controls.</w:t>
      </w:r>
    </w:p>
    <w:p w14:paraId="2DD251FE" w14:textId="455D2CAD" w:rsidR="004841ED" w:rsidRDefault="008043FB" w:rsidP="00BB2CA8">
      <w:pPr>
        <w:spacing w:line="480" w:lineRule="auto"/>
        <w:ind w:firstLine="720"/>
        <w:rPr>
          <w:rFonts w:ascii="Times New Roman" w:hAnsi="Times New Roman" w:cs="Times New Roman"/>
          <w:sz w:val="24"/>
          <w:szCs w:val="24"/>
        </w:rPr>
      </w:pPr>
      <w:r w:rsidRPr="008043FB">
        <w:rPr>
          <w:rFonts w:ascii="Times New Roman" w:hAnsi="Times New Roman" w:cs="Times New Roman"/>
          <w:sz w:val="24"/>
          <w:szCs w:val="24"/>
        </w:rPr>
        <w:t>Digital Imaging and Communications in Medicine (DICOM) is another example of how interoperability can introduce cybersecurity risks within healthcare systems</w:t>
      </w:r>
      <w:r w:rsidR="000370CA" w:rsidRPr="000370CA">
        <w:rPr>
          <w:rFonts w:ascii="Times New Roman" w:hAnsi="Times New Roman" w:cs="Times New Roman"/>
          <w:sz w:val="24"/>
          <w:szCs w:val="24"/>
        </w:rPr>
        <w:t xml:space="preserve"> (National Electrical Manufacturers Association [NEMA], n.d.; Desjardins et al., 2020).</w:t>
      </w:r>
      <w:r w:rsidR="000370CA">
        <w:rPr>
          <w:rFonts w:ascii="Times New Roman" w:hAnsi="Times New Roman" w:cs="Times New Roman"/>
          <w:sz w:val="24"/>
          <w:szCs w:val="24"/>
        </w:rPr>
        <w:t xml:space="preserve"> </w:t>
      </w:r>
      <w:r w:rsidR="007E4FBE" w:rsidRPr="007E4FBE">
        <w:rPr>
          <w:rFonts w:ascii="Times New Roman" w:hAnsi="Times New Roman" w:cs="Times New Roman"/>
          <w:sz w:val="24"/>
          <w:szCs w:val="24"/>
        </w:rPr>
        <w:t xml:space="preserve">DICOM-enabled imaging systems have improved teleradiology by </w:t>
      </w:r>
      <w:r w:rsidR="00EB01A5">
        <w:rPr>
          <w:rFonts w:ascii="Times New Roman" w:hAnsi="Times New Roman" w:cs="Times New Roman"/>
          <w:sz w:val="24"/>
          <w:szCs w:val="24"/>
        </w:rPr>
        <w:t>enabling</w:t>
      </w:r>
      <w:r w:rsidR="007E4FBE" w:rsidRPr="007E4FBE">
        <w:rPr>
          <w:rFonts w:ascii="Times New Roman" w:hAnsi="Times New Roman" w:cs="Times New Roman"/>
          <w:sz w:val="24"/>
          <w:szCs w:val="24"/>
        </w:rPr>
        <w:t xml:space="preserve"> radiologists to interpret images remotely and access results more efficiently (CARE, 2025). </w:t>
      </w:r>
      <w:r w:rsidR="00FB147E" w:rsidRPr="00FB147E">
        <w:rPr>
          <w:rFonts w:ascii="Times New Roman" w:hAnsi="Times New Roman" w:cs="Times New Roman"/>
          <w:sz w:val="24"/>
          <w:szCs w:val="24"/>
        </w:rPr>
        <w:t>However, Black Hat research identified 18.2 million patient records in the United States that were exposed to the internet through insecure DICOM servers.</w:t>
      </w:r>
      <w:r w:rsidR="00EB01A5">
        <w:rPr>
          <w:rFonts w:ascii="Times New Roman" w:hAnsi="Times New Roman" w:cs="Times New Roman"/>
          <w:sz w:val="24"/>
          <w:szCs w:val="24"/>
        </w:rPr>
        <w:t xml:space="preserve"> This </w:t>
      </w:r>
      <w:r w:rsidR="00FE6FA6" w:rsidRPr="00FE6FA6">
        <w:rPr>
          <w:rFonts w:ascii="Times New Roman" w:hAnsi="Times New Roman" w:cs="Times New Roman"/>
          <w:sz w:val="24"/>
          <w:szCs w:val="24"/>
        </w:rPr>
        <w:t>exposure can increase the risk of ransomware attacks, data breaches, identity theft, and fraud (</w:t>
      </w:r>
      <w:proofErr w:type="spellStart"/>
      <w:r w:rsidR="00FE6FA6" w:rsidRPr="00FE6FA6">
        <w:rPr>
          <w:rFonts w:ascii="Times New Roman" w:hAnsi="Times New Roman" w:cs="Times New Roman"/>
          <w:sz w:val="24"/>
          <w:szCs w:val="24"/>
        </w:rPr>
        <w:t>Yazdanmehr</w:t>
      </w:r>
      <w:proofErr w:type="spellEnd"/>
      <w:r w:rsidR="00FE6FA6" w:rsidRPr="00FE6FA6">
        <w:rPr>
          <w:rFonts w:ascii="Times New Roman" w:hAnsi="Times New Roman" w:cs="Times New Roman"/>
          <w:sz w:val="24"/>
          <w:szCs w:val="24"/>
        </w:rPr>
        <w:t xml:space="preserve">, 2023a, 2023b). These risks </w:t>
      </w:r>
      <w:r w:rsidR="00EB01A5">
        <w:rPr>
          <w:rFonts w:ascii="Times New Roman" w:hAnsi="Times New Roman" w:cs="Times New Roman"/>
          <w:sz w:val="24"/>
          <w:szCs w:val="24"/>
        </w:rPr>
        <w:t>can lead to</w:t>
      </w:r>
      <w:r w:rsidR="00FE6FA6" w:rsidRPr="00FE6FA6">
        <w:rPr>
          <w:rFonts w:ascii="Times New Roman" w:hAnsi="Times New Roman" w:cs="Times New Roman"/>
          <w:sz w:val="24"/>
          <w:szCs w:val="24"/>
        </w:rPr>
        <w:t xml:space="preserve"> broader cybersecurity concerns in healthcare, where interconnected systems and vulnerabilities can </w:t>
      </w:r>
      <w:r w:rsidR="00EB01A5">
        <w:rPr>
          <w:rFonts w:ascii="Times New Roman" w:hAnsi="Times New Roman" w:cs="Times New Roman"/>
          <w:sz w:val="24"/>
          <w:szCs w:val="24"/>
        </w:rPr>
        <w:t xml:space="preserve">lead to </w:t>
      </w:r>
      <w:r w:rsidR="00FE6FA6" w:rsidRPr="00FE6FA6">
        <w:rPr>
          <w:rFonts w:ascii="Times New Roman" w:hAnsi="Times New Roman" w:cs="Times New Roman"/>
          <w:sz w:val="24"/>
          <w:szCs w:val="24"/>
        </w:rPr>
        <w:t xml:space="preserve">data breaches and operational disruption (Coventry &amp; </w:t>
      </w:r>
      <w:proofErr w:type="spellStart"/>
      <w:r w:rsidR="00FE6FA6" w:rsidRPr="00FE6FA6">
        <w:rPr>
          <w:rFonts w:ascii="Times New Roman" w:hAnsi="Times New Roman" w:cs="Times New Roman"/>
          <w:sz w:val="24"/>
          <w:szCs w:val="24"/>
        </w:rPr>
        <w:t>Branley</w:t>
      </w:r>
      <w:proofErr w:type="spellEnd"/>
      <w:r w:rsidR="00FE6FA6" w:rsidRPr="00FE6FA6">
        <w:rPr>
          <w:rFonts w:ascii="Times New Roman" w:hAnsi="Times New Roman" w:cs="Times New Roman"/>
          <w:sz w:val="24"/>
          <w:szCs w:val="24"/>
        </w:rPr>
        <w:t>, 2018; Kruse et al., 2017)</w:t>
      </w:r>
      <w:r w:rsidR="00FE6FA6">
        <w:rPr>
          <w:rFonts w:ascii="Times New Roman" w:hAnsi="Times New Roman" w:cs="Times New Roman"/>
          <w:sz w:val="24"/>
          <w:szCs w:val="24"/>
        </w:rPr>
        <w:t xml:space="preserve">. </w:t>
      </w:r>
      <w:r w:rsidR="00AF2004" w:rsidRPr="00AF2004">
        <w:rPr>
          <w:rFonts w:ascii="Times New Roman" w:hAnsi="Times New Roman" w:cs="Times New Roman"/>
          <w:sz w:val="24"/>
          <w:szCs w:val="24"/>
        </w:rPr>
        <w:t xml:space="preserve">Internet-exposed DICOM servers can allow attackers to modify images or introduce malicious code </w:t>
      </w:r>
      <w:r w:rsidR="00EB01A5">
        <w:rPr>
          <w:rFonts w:ascii="Times New Roman" w:hAnsi="Times New Roman" w:cs="Times New Roman"/>
          <w:sz w:val="24"/>
          <w:szCs w:val="24"/>
        </w:rPr>
        <w:t>to connected picture</w:t>
      </w:r>
      <w:r w:rsidR="00AF2004" w:rsidRPr="00AF2004">
        <w:rPr>
          <w:rFonts w:ascii="Times New Roman" w:hAnsi="Times New Roman" w:cs="Times New Roman"/>
          <w:sz w:val="24"/>
          <w:szCs w:val="24"/>
        </w:rPr>
        <w:t xml:space="preserve"> </w:t>
      </w:r>
      <w:r w:rsidR="005E376F">
        <w:rPr>
          <w:rFonts w:ascii="Times New Roman" w:hAnsi="Times New Roman" w:cs="Times New Roman"/>
          <w:sz w:val="24"/>
          <w:szCs w:val="24"/>
        </w:rPr>
        <w:t>archiving</w:t>
      </w:r>
      <w:r w:rsidR="00EB01A5">
        <w:rPr>
          <w:rFonts w:ascii="Times New Roman" w:hAnsi="Times New Roman" w:cs="Times New Roman"/>
          <w:sz w:val="24"/>
          <w:szCs w:val="24"/>
        </w:rPr>
        <w:t xml:space="preserve"> systems (</w:t>
      </w:r>
      <w:r w:rsidR="00AF2004" w:rsidRPr="00AF2004">
        <w:rPr>
          <w:rFonts w:ascii="Times New Roman" w:hAnsi="Times New Roman" w:cs="Times New Roman"/>
          <w:sz w:val="24"/>
          <w:szCs w:val="24"/>
        </w:rPr>
        <w:t>PACS</w:t>
      </w:r>
      <w:r w:rsidR="00EB01A5">
        <w:rPr>
          <w:rFonts w:ascii="Times New Roman" w:hAnsi="Times New Roman" w:cs="Times New Roman"/>
          <w:sz w:val="24"/>
          <w:szCs w:val="24"/>
        </w:rPr>
        <w:t>)</w:t>
      </w:r>
      <w:r w:rsidR="00AF2004" w:rsidRPr="00AF2004">
        <w:rPr>
          <w:rFonts w:ascii="Times New Roman" w:hAnsi="Times New Roman" w:cs="Times New Roman"/>
          <w:sz w:val="24"/>
          <w:szCs w:val="24"/>
        </w:rPr>
        <w:t xml:space="preserve"> and other </w:t>
      </w:r>
      <w:r w:rsidR="00EB01A5">
        <w:rPr>
          <w:rFonts w:ascii="Times New Roman" w:hAnsi="Times New Roman" w:cs="Times New Roman"/>
          <w:sz w:val="24"/>
          <w:szCs w:val="24"/>
        </w:rPr>
        <w:t>inter</w:t>
      </w:r>
      <w:r w:rsidR="00AF2004" w:rsidRPr="00AF2004">
        <w:rPr>
          <w:rFonts w:ascii="Times New Roman" w:hAnsi="Times New Roman" w:cs="Times New Roman"/>
          <w:sz w:val="24"/>
          <w:szCs w:val="24"/>
        </w:rPr>
        <w:t>connected systems</w:t>
      </w:r>
      <w:r w:rsidR="007B0FE4" w:rsidRPr="007B0FE4">
        <w:t xml:space="preserve"> </w:t>
      </w:r>
      <w:r w:rsidR="007B0FE4" w:rsidRPr="007B0FE4">
        <w:rPr>
          <w:rFonts w:ascii="Times New Roman" w:hAnsi="Times New Roman" w:cs="Times New Roman"/>
          <w:sz w:val="24"/>
          <w:szCs w:val="24"/>
        </w:rPr>
        <w:t>(Desjardins et al., 2020).</w:t>
      </w:r>
      <w:r w:rsidR="00AF2004" w:rsidRPr="00AF2004">
        <w:rPr>
          <w:rFonts w:ascii="Times New Roman" w:hAnsi="Times New Roman" w:cs="Times New Roman"/>
          <w:sz w:val="24"/>
          <w:szCs w:val="24"/>
        </w:rPr>
        <w:t xml:space="preserve"> Legacy systems can further increase </w:t>
      </w:r>
      <w:r w:rsidR="005E376F">
        <w:rPr>
          <w:rFonts w:ascii="Times New Roman" w:hAnsi="Times New Roman" w:cs="Times New Roman"/>
          <w:sz w:val="24"/>
          <w:szCs w:val="24"/>
        </w:rPr>
        <w:t xml:space="preserve">security </w:t>
      </w:r>
      <w:r w:rsidR="00AF2004" w:rsidRPr="00AF2004">
        <w:rPr>
          <w:rFonts w:ascii="Times New Roman" w:hAnsi="Times New Roman" w:cs="Times New Roman"/>
          <w:sz w:val="24"/>
          <w:szCs w:val="24"/>
        </w:rPr>
        <w:t>risk</w:t>
      </w:r>
      <w:r w:rsidR="00EB01A5">
        <w:rPr>
          <w:rFonts w:ascii="Times New Roman" w:hAnsi="Times New Roman" w:cs="Times New Roman"/>
          <w:sz w:val="24"/>
          <w:szCs w:val="24"/>
        </w:rPr>
        <w:t>s</w:t>
      </w:r>
      <w:r w:rsidR="00AF2004" w:rsidRPr="00AF2004">
        <w:rPr>
          <w:rFonts w:ascii="Times New Roman" w:hAnsi="Times New Roman" w:cs="Times New Roman"/>
          <w:sz w:val="24"/>
          <w:szCs w:val="24"/>
        </w:rPr>
        <w:t xml:space="preserve"> when they remain </w:t>
      </w:r>
      <w:r w:rsidR="00EB01A5">
        <w:rPr>
          <w:rFonts w:ascii="Times New Roman" w:hAnsi="Times New Roman" w:cs="Times New Roman"/>
          <w:sz w:val="24"/>
          <w:szCs w:val="24"/>
        </w:rPr>
        <w:t>actively connected to new technologies within the healthcare network</w:t>
      </w:r>
      <w:r w:rsidR="00AF2004" w:rsidRPr="00AF2004">
        <w:rPr>
          <w:rFonts w:ascii="Times New Roman" w:hAnsi="Times New Roman" w:cs="Times New Roman"/>
          <w:sz w:val="24"/>
          <w:szCs w:val="24"/>
        </w:rPr>
        <w:t>. C</w:t>
      </w:r>
      <w:r w:rsidR="002F79E2" w:rsidRPr="002F79E2">
        <w:rPr>
          <w:rFonts w:ascii="Times New Roman" w:hAnsi="Times New Roman" w:cs="Times New Roman"/>
          <w:sz w:val="24"/>
          <w:szCs w:val="24"/>
        </w:rPr>
        <w:t>ompromised images can undermine diagnostic accuracy, and ransomware can lead to denial of service to clinical system</w:t>
      </w:r>
      <w:r w:rsidR="00AF2004" w:rsidRPr="00AF2004">
        <w:rPr>
          <w:rFonts w:ascii="Times New Roman" w:hAnsi="Times New Roman" w:cs="Times New Roman"/>
          <w:sz w:val="24"/>
          <w:szCs w:val="24"/>
        </w:rPr>
        <w:t>s, forcing clinicians to delay treatment or make decisions with incomplete information. These disruptions can directly affect patient safety and, in severe cases, result in patient harm or death (Computer Fraud &amp; Security, 2020).</w:t>
      </w:r>
      <w:r w:rsidR="00AF2004">
        <w:rPr>
          <w:rFonts w:ascii="Times New Roman" w:hAnsi="Times New Roman" w:cs="Times New Roman"/>
          <w:sz w:val="24"/>
          <w:szCs w:val="24"/>
        </w:rPr>
        <w:t xml:space="preserve"> </w:t>
      </w:r>
    </w:p>
    <w:p w14:paraId="5CFA8FE2" w14:textId="2287C922" w:rsidR="009712F0" w:rsidRDefault="00702E7E" w:rsidP="009712F0">
      <w:pPr>
        <w:spacing w:line="480" w:lineRule="auto"/>
        <w:ind w:firstLine="720"/>
        <w:rPr>
          <w:rFonts w:ascii="Times New Roman" w:hAnsi="Times New Roman" w:cs="Times New Roman"/>
          <w:sz w:val="24"/>
          <w:szCs w:val="24"/>
        </w:rPr>
      </w:pPr>
      <w:r w:rsidRPr="00702E7E">
        <w:rPr>
          <w:rFonts w:ascii="Times New Roman" w:hAnsi="Times New Roman" w:cs="Times New Roman"/>
          <w:sz w:val="24"/>
          <w:szCs w:val="24"/>
        </w:rPr>
        <w:lastRenderedPageBreak/>
        <w:t xml:space="preserve">The FHIR and DICOM examples </w:t>
      </w:r>
      <w:r w:rsidR="003F3EFF">
        <w:rPr>
          <w:rFonts w:ascii="Times New Roman" w:hAnsi="Times New Roman" w:cs="Times New Roman"/>
          <w:sz w:val="24"/>
          <w:szCs w:val="24"/>
        </w:rPr>
        <w:t>confirm</w:t>
      </w:r>
      <w:r w:rsidR="00E05EAB" w:rsidRPr="00E05EAB">
        <w:rPr>
          <w:rFonts w:ascii="Times New Roman" w:hAnsi="Times New Roman" w:cs="Times New Roman"/>
          <w:sz w:val="24"/>
          <w:szCs w:val="24"/>
        </w:rPr>
        <w:t xml:space="preserve"> </w:t>
      </w:r>
      <w:r w:rsidR="003F3EFF">
        <w:rPr>
          <w:rFonts w:ascii="Times New Roman" w:hAnsi="Times New Roman" w:cs="Times New Roman"/>
          <w:sz w:val="24"/>
          <w:szCs w:val="24"/>
        </w:rPr>
        <w:t xml:space="preserve">that </w:t>
      </w:r>
      <w:r w:rsidRPr="00702E7E">
        <w:rPr>
          <w:rFonts w:ascii="Times New Roman" w:hAnsi="Times New Roman" w:cs="Times New Roman"/>
          <w:sz w:val="24"/>
          <w:szCs w:val="24"/>
        </w:rPr>
        <w:t>interoperability requires layered security controls addressing unauthorized access, data manipulation, and system disruption. Because a compromise in one environment can affect interconnected clinical systems</w:t>
      </w:r>
      <w:r w:rsidR="0018356C">
        <w:rPr>
          <w:rFonts w:ascii="Times New Roman" w:hAnsi="Times New Roman" w:cs="Times New Roman"/>
          <w:sz w:val="24"/>
          <w:szCs w:val="24"/>
        </w:rPr>
        <w:t xml:space="preserve"> across the entire network and beyond</w:t>
      </w:r>
      <w:r w:rsidRPr="00702E7E">
        <w:rPr>
          <w:rFonts w:ascii="Times New Roman" w:hAnsi="Times New Roman" w:cs="Times New Roman"/>
          <w:sz w:val="24"/>
          <w:szCs w:val="24"/>
        </w:rPr>
        <w:t>, organizations should prioritize these controls based on their potential impact on clinical operations and patient safety</w:t>
      </w:r>
      <w:r>
        <w:rPr>
          <w:rFonts w:ascii="Times New Roman" w:hAnsi="Times New Roman" w:cs="Times New Roman"/>
          <w:sz w:val="24"/>
          <w:szCs w:val="24"/>
        </w:rPr>
        <w:t>.</w:t>
      </w:r>
      <w:r w:rsidR="009712F0">
        <w:rPr>
          <w:rFonts w:ascii="Times New Roman" w:hAnsi="Times New Roman" w:cs="Times New Roman"/>
          <w:sz w:val="24"/>
          <w:szCs w:val="24"/>
        </w:rPr>
        <w:t xml:space="preserve"> </w:t>
      </w:r>
      <w:r w:rsidR="007F7950">
        <w:rPr>
          <w:rFonts w:ascii="Times New Roman" w:hAnsi="Times New Roman" w:cs="Times New Roman"/>
          <w:sz w:val="24"/>
          <w:szCs w:val="24"/>
        </w:rPr>
        <w:t>Because</w:t>
      </w:r>
      <w:r w:rsidR="007E4FBE" w:rsidRPr="007E4FBE">
        <w:rPr>
          <w:rFonts w:ascii="Times New Roman" w:hAnsi="Times New Roman" w:cs="Times New Roman"/>
          <w:sz w:val="24"/>
          <w:szCs w:val="24"/>
        </w:rPr>
        <w:t xml:space="preserve"> compromised data and unavailable systems can result in patient harm, cybersecurity should be treated as part of patient safety and clinical risk management rather than solely as a technical or compliance function.</w:t>
      </w:r>
    </w:p>
    <w:p w14:paraId="24874E12" w14:textId="009D1549" w:rsidR="007E4FBE" w:rsidRDefault="007E4FBE" w:rsidP="002048DE">
      <w:pPr>
        <w:spacing w:line="480" w:lineRule="auto"/>
        <w:ind w:firstLine="720"/>
        <w:rPr>
          <w:rFonts w:ascii="Times New Roman" w:hAnsi="Times New Roman" w:cs="Times New Roman"/>
          <w:sz w:val="24"/>
          <w:szCs w:val="24"/>
        </w:rPr>
      </w:pPr>
      <w:r w:rsidRPr="007E4FBE">
        <w:rPr>
          <w:rFonts w:ascii="Times New Roman" w:hAnsi="Times New Roman" w:cs="Times New Roman"/>
          <w:sz w:val="24"/>
          <w:szCs w:val="24"/>
        </w:rPr>
        <w:t xml:space="preserve"> </w:t>
      </w:r>
      <w:r w:rsidR="001C3965">
        <w:rPr>
          <w:rFonts w:ascii="Times New Roman" w:hAnsi="Times New Roman" w:cs="Times New Roman"/>
          <w:sz w:val="24"/>
          <w:szCs w:val="24"/>
        </w:rPr>
        <w:t>Security</w:t>
      </w:r>
      <w:r w:rsidRPr="007E4FBE">
        <w:rPr>
          <w:rFonts w:ascii="Times New Roman" w:hAnsi="Times New Roman" w:cs="Times New Roman"/>
          <w:sz w:val="24"/>
          <w:szCs w:val="24"/>
        </w:rPr>
        <w:t xml:space="preserve"> controls such as zero trust principles, session timeouts, and multi-factor authentication (MFA) can strengthen authentication and help ensure that access requests are appropriately verified. </w:t>
      </w:r>
      <w:r w:rsidR="00EC43CE" w:rsidRPr="00EC43CE">
        <w:rPr>
          <w:rFonts w:ascii="Times New Roman" w:hAnsi="Times New Roman" w:cs="Times New Roman"/>
          <w:sz w:val="24"/>
          <w:szCs w:val="24"/>
        </w:rPr>
        <w:t xml:space="preserve">Role-based access control (RBAC) further strengthens security by limiting users’ access to the information necessary for their intended functions, supporting the HIPAA Privacy Rule’s minimum necessary </w:t>
      </w:r>
      <w:r w:rsidR="00E33EFF">
        <w:rPr>
          <w:rFonts w:ascii="Times New Roman" w:hAnsi="Times New Roman" w:cs="Times New Roman"/>
          <w:sz w:val="24"/>
          <w:szCs w:val="24"/>
        </w:rPr>
        <w:t>standard</w:t>
      </w:r>
      <w:r w:rsidR="00EC43CE" w:rsidRPr="00EC43CE">
        <w:rPr>
          <w:rFonts w:ascii="Times New Roman" w:hAnsi="Times New Roman" w:cs="Times New Roman"/>
          <w:sz w:val="24"/>
          <w:szCs w:val="24"/>
        </w:rPr>
        <w:t xml:space="preserve"> (U.S. Department of Health </w:t>
      </w:r>
      <w:r w:rsidR="000A3708">
        <w:rPr>
          <w:rFonts w:ascii="Times New Roman" w:hAnsi="Times New Roman" w:cs="Times New Roman"/>
          <w:sz w:val="24"/>
          <w:szCs w:val="24"/>
        </w:rPr>
        <w:t>and</w:t>
      </w:r>
      <w:r w:rsidR="00EC43CE" w:rsidRPr="00EC43CE">
        <w:rPr>
          <w:rFonts w:ascii="Times New Roman" w:hAnsi="Times New Roman" w:cs="Times New Roman"/>
          <w:sz w:val="24"/>
          <w:szCs w:val="24"/>
        </w:rPr>
        <w:t xml:space="preserve"> Human Services [HHS], n.d.-a).</w:t>
      </w:r>
      <w:r w:rsidR="00EC43CE">
        <w:rPr>
          <w:rFonts w:ascii="Times New Roman" w:hAnsi="Times New Roman" w:cs="Times New Roman"/>
          <w:sz w:val="24"/>
          <w:szCs w:val="24"/>
        </w:rPr>
        <w:t xml:space="preserve"> </w:t>
      </w:r>
      <w:r w:rsidRPr="007E4FBE">
        <w:rPr>
          <w:rFonts w:ascii="Times New Roman" w:hAnsi="Times New Roman" w:cs="Times New Roman"/>
          <w:sz w:val="24"/>
          <w:szCs w:val="24"/>
        </w:rPr>
        <w:t xml:space="preserve">Encryption of data in transit and at rest helps protect sensitive information from unauthorized disclosure, while additional integrity controls can help detect unauthorized modification of data. API governance and network segmentation can further limit unauthorized access and contain the effects of a compromise across interconnected clinical systems. </w:t>
      </w:r>
      <w:r w:rsidR="0063066B" w:rsidRPr="0063066B">
        <w:rPr>
          <w:rFonts w:ascii="Times New Roman" w:hAnsi="Times New Roman" w:cs="Times New Roman"/>
          <w:sz w:val="24"/>
          <w:szCs w:val="24"/>
        </w:rPr>
        <w:t>Effective downtime procedures can limit disruptions to clinical decision-making</w:t>
      </w:r>
      <w:r w:rsidR="007F7950">
        <w:rPr>
          <w:rFonts w:ascii="Times New Roman" w:hAnsi="Times New Roman" w:cs="Times New Roman"/>
          <w:sz w:val="24"/>
          <w:szCs w:val="24"/>
        </w:rPr>
        <w:t>. R</w:t>
      </w:r>
      <w:r w:rsidR="0063066B" w:rsidRPr="0063066B">
        <w:rPr>
          <w:rFonts w:ascii="Times New Roman" w:hAnsi="Times New Roman" w:cs="Times New Roman"/>
          <w:sz w:val="24"/>
          <w:szCs w:val="24"/>
        </w:rPr>
        <w:t>egular patching and maintenance reduc</w:t>
      </w:r>
      <w:r w:rsidR="007F7950">
        <w:rPr>
          <w:rFonts w:ascii="Times New Roman" w:hAnsi="Times New Roman" w:cs="Times New Roman"/>
          <w:sz w:val="24"/>
          <w:szCs w:val="24"/>
        </w:rPr>
        <w:t xml:space="preserve">e </w:t>
      </w:r>
      <w:r w:rsidR="0063066B" w:rsidRPr="0063066B">
        <w:rPr>
          <w:rFonts w:ascii="Times New Roman" w:hAnsi="Times New Roman" w:cs="Times New Roman"/>
          <w:sz w:val="24"/>
          <w:szCs w:val="24"/>
        </w:rPr>
        <w:t>vulnerabilities that contribute to system outages (</w:t>
      </w:r>
      <w:proofErr w:type="spellStart"/>
      <w:r w:rsidR="0063066B" w:rsidRPr="0063066B">
        <w:rPr>
          <w:rFonts w:ascii="Times New Roman" w:hAnsi="Times New Roman" w:cs="Times New Roman"/>
          <w:sz w:val="24"/>
          <w:szCs w:val="24"/>
        </w:rPr>
        <w:t>Vukotich</w:t>
      </w:r>
      <w:proofErr w:type="spellEnd"/>
      <w:r w:rsidR="0063066B" w:rsidRPr="0063066B">
        <w:rPr>
          <w:rFonts w:ascii="Times New Roman" w:hAnsi="Times New Roman" w:cs="Times New Roman"/>
          <w:sz w:val="24"/>
          <w:szCs w:val="24"/>
        </w:rPr>
        <w:t>, 2023).</w:t>
      </w:r>
      <w:r w:rsidR="0063066B">
        <w:rPr>
          <w:rFonts w:ascii="Times New Roman" w:hAnsi="Times New Roman" w:cs="Times New Roman"/>
          <w:sz w:val="24"/>
          <w:szCs w:val="24"/>
        </w:rPr>
        <w:t xml:space="preserve"> </w:t>
      </w:r>
      <w:r w:rsidRPr="007E4FBE">
        <w:rPr>
          <w:rFonts w:ascii="Times New Roman" w:hAnsi="Times New Roman" w:cs="Times New Roman"/>
          <w:sz w:val="24"/>
          <w:szCs w:val="24"/>
        </w:rPr>
        <w:t xml:space="preserve">These architectural concerns also extend to AI-enabled clinical technologies, which increasingly rely on APIs, cloud services, and third-party applications to process healthcare information. </w:t>
      </w:r>
      <w:r w:rsidR="000A3708" w:rsidRPr="000A3708">
        <w:rPr>
          <w:rFonts w:ascii="Times New Roman" w:hAnsi="Times New Roman" w:cs="Times New Roman"/>
          <w:sz w:val="24"/>
          <w:szCs w:val="24"/>
        </w:rPr>
        <w:t>The NIST Cybersecurity Framework (CSF) 2.0 provides a general framework for managing cybersecurity risks that can be applied to healthcare system</w:t>
      </w:r>
      <w:r w:rsidR="008F128F" w:rsidRPr="008F128F">
        <w:rPr>
          <w:rFonts w:ascii="Times New Roman" w:hAnsi="Times New Roman" w:cs="Times New Roman"/>
          <w:sz w:val="24"/>
          <w:szCs w:val="24"/>
        </w:rPr>
        <w:t>s, while t</w:t>
      </w:r>
      <w:r w:rsidR="00FE17AC" w:rsidRPr="00FE17AC">
        <w:rPr>
          <w:rFonts w:ascii="Times New Roman" w:hAnsi="Times New Roman" w:cs="Times New Roman"/>
          <w:sz w:val="24"/>
          <w:szCs w:val="24"/>
        </w:rPr>
        <w:t xml:space="preserve">he </w:t>
      </w:r>
      <w:r w:rsidR="00FE17AC" w:rsidRPr="00FE17AC">
        <w:rPr>
          <w:rFonts w:ascii="Times New Roman" w:hAnsi="Times New Roman" w:cs="Times New Roman"/>
          <w:sz w:val="24"/>
          <w:szCs w:val="24"/>
        </w:rPr>
        <w:lastRenderedPageBreak/>
        <w:t>AI Risk Management Framework (AI RMF 1.0) focuses on risks associated with the reliability of artificial intelligence (AI) technologies (NIST, 2023, 2024).</w:t>
      </w:r>
    </w:p>
    <w:p w14:paraId="59FE84D0" w14:textId="5AA55521" w:rsidR="000C254E" w:rsidRDefault="007E4FBE" w:rsidP="001A6F33">
      <w:pPr>
        <w:spacing w:line="480" w:lineRule="auto"/>
        <w:ind w:firstLine="720"/>
        <w:rPr>
          <w:rFonts w:ascii="Times New Roman" w:hAnsi="Times New Roman" w:cs="Times New Roman"/>
          <w:sz w:val="24"/>
          <w:szCs w:val="24"/>
        </w:rPr>
      </w:pPr>
      <w:r w:rsidRPr="007E4FBE">
        <w:rPr>
          <w:rFonts w:ascii="Times New Roman" w:hAnsi="Times New Roman" w:cs="Times New Roman"/>
          <w:sz w:val="24"/>
          <w:szCs w:val="24"/>
        </w:rPr>
        <w:t>In conclusion, Meaningful Use improved access to health information and</w:t>
      </w:r>
      <w:r w:rsidR="0018356C">
        <w:rPr>
          <w:rFonts w:ascii="Times New Roman" w:hAnsi="Times New Roman" w:cs="Times New Roman"/>
          <w:sz w:val="24"/>
          <w:szCs w:val="24"/>
        </w:rPr>
        <w:t xml:space="preserve"> </w:t>
      </w:r>
      <w:r w:rsidRPr="007E4FBE">
        <w:rPr>
          <w:rFonts w:ascii="Times New Roman" w:hAnsi="Times New Roman" w:cs="Times New Roman"/>
          <w:sz w:val="24"/>
          <w:szCs w:val="24"/>
        </w:rPr>
        <w:t xml:space="preserve">interoperability, </w:t>
      </w:r>
      <w:r w:rsidR="0018356C">
        <w:rPr>
          <w:rFonts w:ascii="Times New Roman" w:hAnsi="Times New Roman" w:cs="Times New Roman"/>
          <w:sz w:val="24"/>
          <w:szCs w:val="24"/>
        </w:rPr>
        <w:t xml:space="preserve">but this acceleration in growth </w:t>
      </w:r>
      <w:r w:rsidRPr="007E4FBE">
        <w:rPr>
          <w:rFonts w:ascii="Times New Roman" w:hAnsi="Times New Roman" w:cs="Times New Roman"/>
          <w:sz w:val="24"/>
          <w:szCs w:val="24"/>
        </w:rPr>
        <w:t xml:space="preserve">created more complex security responsibilities. </w:t>
      </w:r>
      <w:r w:rsidR="00DD50DC">
        <w:rPr>
          <w:rFonts w:ascii="Times New Roman" w:hAnsi="Times New Roman" w:cs="Times New Roman"/>
          <w:sz w:val="24"/>
          <w:szCs w:val="24"/>
        </w:rPr>
        <w:t>C</w:t>
      </w:r>
      <w:r w:rsidRPr="007E4FBE">
        <w:rPr>
          <w:rFonts w:ascii="Times New Roman" w:hAnsi="Times New Roman" w:cs="Times New Roman"/>
          <w:sz w:val="24"/>
          <w:szCs w:val="24"/>
        </w:rPr>
        <w:t xml:space="preserve">ybersecurity must </w:t>
      </w:r>
      <w:r w:rsidR="0018356C">
        <w:rPr>
          <w:rFonts w:ascii="Times New Roman" w:hAnsi="Times New Roman" w:cs="Times New Roman"/>
          <w:sz w:val="24"/>
          <w:szCs w:val="24"/>
        </w:rPr>
        <w:t>mature</w:t>
      </w:r>
      <w:r w:rsidRPr="007E4FBE">
        <w:rPr>
          <w:rFonts w:ascii="Times New Roman" w:hAnsi="Times New Roman" w:cs="Times New Roman"/>
          <w:sz w:val="24"/>
          <w:szCs w:val="24"/>
        </w:rPr>
        <w:t xml:space="preserve"> </w:t>
      </w:r>
      <w:r w:rsidR="00301CF7">
        <w:rPr>
          <w:rFonts w:ascii="Times New Roman" w:hAnsi="Times New Roman" w:cs="Times New Roman"/>
          <w:sz w:val="24"/>
          <w:szCs w:val="24"/>
        </w:rPr>
        <w:t>in tandem with</w:t>
      </w:r>
      <w:r w:rsidRPr="007E4FBE">
        <w:rPr>
          <w:rFonts w:ascii="Times New Roman" w:hAnsi="Times New Roman" w:cs="Times New Roman"/>
          <w:sz w:val="24"/>
          <w:szCs w:val="24"/>
        </w:rPr>
        <w:t xml:space="preserve"> interoperability while addressing both legacy and emerging </w:t>
      </w:r>
      <w:r w:rsidR="00E33EFF">
        <w:rPr>
          <w:rFonts w:ascii="Times New Roman" w:hAnsi="Times New Roman" w:cs="Times New Roman"/>
          <w:sz w:val="24"/>
          <w:szCs w:val="24"/>
        </w:rPr>
        <w:t xml:space="preserve">AI-enabled </w:t>
      </w:r>
      <w:r w:rsidR="0018356C" w:rsidRPr="007E4FBE">
        <w:rPr>
          <w:rFonts w:ascii="Times New Roman" w:hAnsi="Times New Roman" w:cs="Times New Roman"/>
          <w:sz w:val="24"/>
          <w:szCs w:val="24"/>
        </w:rPr>
        <w:t>technical debt</w:t>
      </w:r>
      <w:r w:rsidRPr="007E4FBE">
        <w:rPr>
          <w:rFonts w:ascii="Times New Roman" w:hAnsi="Times New Roman" w:cs="Times New Roman"/>
          <w:sz w:val="24"/>
          <w:szCs w:val="24"/>
        </w:rPr>
        <w:t xml:space="preserve">. Although the HIPAA Security Rule requires administrative, physical, and technical safeguards to protect ePHI, it does not prescribe specific technologies or a </w:t>
      </w:r>
      <w:r w:rsidR="0018356C" w:rsidRPr="007E4FBE">
        <w:rPr>
          <w:rFonts w:ascii="Times New Roman" w:hAnsi="Times New Roman" w:cs="Times New Roman"/>
          <w:sz w:val="24"/>
          <w:szCs w:val="24"/>
        </w:rPr>
        <w:t>particular cybersecurity framework</w:t>
      </w:r>
      <w:r w:rsidR="0018356C">
        <w:rPr>
          <w:rFonts w:ascii="Times New Roman" w:hAnsi="Times New Roman" w:cs="Times New Roman"/>
          <w:sz w:val="24"/>
          <w:szCs w:val="24"/>
        </w:rPr>
        <w:t xml:space="preserve"> for compliance</w:t>
      </w:r>
      <w:r w:rsidRPr="007E4FBE">
        <w:rPr>
          <w:rFonts w:ascii="Times New Roman" w:hAnsi="Times New Roman" w:cs="Times New Roman"/>
          <w:sz w:val="24"/>
          <w:szCs w:val="24"/>
        </w:rPr>
        <w:t xml:space="preserve"> </w:t>
      </w:r>
      <w:r w:rsidR="004820E0">
        <w:rPr>
          <w:rFonts w:ascii="Times New Roman" w:hAnsi="Times New Roman" w:cs="Times New Roman"/>
          <w:sz w:val="24"/>
          <w:szCs w:val="24"/>
        </w:rPr>
        <w:t>(</w:t>
      </w:r>
      <w:r w:rsidRPr="007E4FBE">
        <w:rPr>
          <w:rFonts w:ascii="Times New Roman" w:hAnsi="Times New Roman" w:cs="Times New Roman"/>
          <w:sz w:val="24"/>
          <w:szCs w:val="24"/>
        </w:rPr>
        <w:t>HHS, n.d.</w:t>
      </w:r>
      <w:r w:rsidR="007F42B7">
        <w:rPr>
          <w:rFonts w:ascii="Times New Roman" w:hAnsi="Times New Roman" w:cs="Times New Roman"/>
          <w:sz w:val="24"/>
          <w:szCs w:val="24"/>
        </w:rPr>
        <w:t>-b</w:t>
      </w:r>
      <w:r w:rsidRPr="007E4FBE">
        <w:rPr>
          <w:rFonts w:ascii="Times New Roman" w:hAnsi="Times New Roman" w:cs="Times New Roman"/>
          <w:sz w:val="24"/>
          <w:szCs w:val="24"/>
        </w:rPr>
        <w:t>). Healthcare organizations must apply risk-based practices such as system patching, legacy modernization, risk management, and vendor oversight to achieve secure interoperability beyond basic HIPAA compliance</w:t>
      </w:r>
      <w:r w:rsidR="0018356C">
        <w:rPr>
          <w:rFonts w:ascii="Times New Roman" w:hAnsi="Times New Roman" w:cs="Times New Roman"/>
          <w:sz w:val="24"/>
          <w:szCs w:val="24"/>
        </w:rPr>
        <w:t xml:space="preserve"> requirements</w:t>
      </w:r>
      <w:r w:rsidRPr="007E4FBE">
        <w:rPr>
          <w:rFonts w:ascii="Times New Roman" w:hAnsi="Times New Roman" w:cs="Times New Roman"/>
          <w:sz w:val="24"/>
          <w:szCs w:val="24"/>
        </w:rPr>
        <w:t xml:space="preserve">. </w:t>
      </w:r>
      <w:r w:rsidR="006267BE" w:rsidRPr="006267BE">
        <w:rPr>
          <w:rFonts w:ascii="Times New Roman" w:hAnsi="Times New Roman" w:cs="Times New Roman"/>
          <w:sz w:val="24"/>
          <w:szCs w:val="24"/>
        </w:rPr>
        <w:t>Future interoperability initiatives should evaluate security maturity alongside connectivity rather than treating cybersecurity as a secondary consideration.</w:t>
      </w:r>
      <w:r w:rsidR="006267BE">
        <w:rPr>
          <w:rFonts w:ascii="Times New Roman" w:hAnsi="Times New Roman" w:cs="Times New Roman"/>
          <w:sz w:val="24"/>
          <w:szCs w:val="24"/>
        </w:rPr>
        <w:t xml:space="preserve"> </w:t>
      </w:r>
      <w:r w:rsidR="00767855" w:rsidRPr="00767855">
        <w:rPr>
          <w:rFonts w:ascii="Times New Roman" w:hAnsi="Times New Roman" w:cs="Times New Roman"/>
          <w:sz w:val="24"/>
          <w:szCs w:val="24"/>
        </w:rPr>
        <w:t>Ultimately, interoperability should be measured and managed by considering the trade-offs between information accessibility and cybersecurity restrictions and evaluating whether the systems that deliver information can be trusted when patient care depends on them.</w:t>
      </w:r>
    </w:p>
    <w:p w14:paraId="4474E4D4" w14:textId="77777777" w:rsidR="00221833" w:rsidRDefault="00221833">
      <w:pPr>
        <w:rPr>
          <w:rFonts w:ascii="Times New Roman" w:hAnsi="Times New Roman" w:cs="Times New Roman"/>
          <w:b/>
          <w:bCs/>
          <w:sz w:val="24"/>
          <w:szCs w:val="24"/>
        </w:rPr>
      </w:pPr>
      <w:r>
        <w:rPr>
          <w:rFonts w:ascii="Times New Roman" w:hAnsi="Times New Roman" w:cs="Times New Roman"/>
          <w:b/>
          <w:bCs/>
          <w:sz w:val="24"/>
          <w:szCs w:val="24"/>
        </w:rPr>
        <w:br w:type="page"/>
      </w:r>
    </w:p>
    <w:p w14:paraId="32636371" w14:textId="3D88CEDE" w:rsidR="0057592A" w:rsidRPr="00D4429E" w:rsidRDefault="0057592A" w:rsidP="0057592A">
      <w:pPr>
        <w:spacing w:line="480" w:lineRule="auto"/>
        <w:rPr>
          <w:rFonts w:ascii="Times New Roman" w:hAnsi="Times New Roman" w:cs="Times New Roman"/>
          <w:b/>
          <w:bCs/>
          <w:sz w:val="24"/>
          <w:szCs w:val="24"/>
        </w:rPr>
      </w:pPr>
      <w:r w:rsidRPr="00D4429E">
        <w:rPr>
          <w:rFonts w:ascii="Times New Roman" w:hAnsi="Times New Roman" w:cs="Times New Roman"/>
          <w:b/>
          <w:bCs/>
          <w:sz w:val="24"/>
          <w:szCs w:val="24"/>
        </w:rPr>
        <w:lastRenderedPageBreak/>
        <w:t>References</w:t>
      </w:r>
    </w:p>
    <w:p w14:paraId="29EABFF7" w14:textId="37CEACFB"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CARE. (202</w:t>
      </w:r>
      <w:r w:rsidR="00101D12">
        <w:rPr>
          <w:rFonts w:ascii="Times New Roman" w:hAnsi="Times New Roman" w:cs="Times New Roman"/>
          <w:sz w:val="24"/>
          <w:szCs w:val="24"/>
        </w:rPr>
        <w:t>5</w:t>
      </w:r>
      <w:r w:rsidRPr="00D4429E">
        <w:rPr>
          <w:rFonts w:ascii="Times New Roman" w:hAnsi="Times New Roman" w:cs="Times New Roman"/>
          <w:sz w:val="24"/>
          <w:szCs w:val="24"/>
        </w:rPr>
        <w:t xml:space="preserve">). Building a scalable teleradiology ecosystem to combat burnout. </w:t>
      </w:r>
      <w:hyperlink r:id="rId4" w:history="1">
        <w:r w:rsidRPr="00D4429E">
          <w:rPr>
            <w:rStyle w:val="Hyperlink"/>
            <w:rFonts w:ascii="Times New Roman" w:hAnsi="Times New Roman" w:cs="Times New Roman"/>
            <w:sz w:val="24"/>
            <w:szCs w:val="24"/>
          </w:rPr>
          <w:t>https://care.io/blog/building-a-scalable-teleradiology-ecosystem-to-combat-burnout</w:t>
        </w:r>
      </w:hyperlink>
    </w:p>
    <w:p w14:paraId="261B0AA3" w14:textId="77777777" w:rsidR="000D56D6" w:rsidRDefault="000D56D6" w:rsidP="009C6042">
      <w:pPr>
        <w:spacing w:line="480" w:lineRule="auto"/>
        <w:ind w:left="720" w:hanging="720"/>
        <w:rPr>
          <w:rFonts w:ascii="Times New Roman" w:hAnsi="Times New Roman" w:cs="Times New Roman"/>
          <w:sz w:val="24"/>
          <w:szCs w:val="24"/>
        </w:rPr>
      </w:pPr>
      <w:r w:rsidRPr="000D56D6">
        <w:rPr>
          <w:rFonts w:ascii="Times New Roman" w:hAnsi="Times New Roman" w:cs="Times New Roman"/>
          <w:sz w:val="24"/>
          <w:szCs w:val="24"/>
        </w:rPr>
        <w:t xml:space="preserve">Centers for Medicare &amp; Medicaid Services. (2023). </w:t>
      </w:r>
      <w:r w:rsidRPr="000D56D6">
        <w:rPr>
          <w:rFonts w:ascii="Times New Roman" w:hAnsi="Times New Roman" w:cs="Times New Roman"/>
          <w:i/>
          <w:iCs/>
          <w:sz w:val="24"/>
          <w:szCs w:val="24"/>
        </w:rPr>
        <w:t>Promoting interoperability programs.</w:t>
      </w:r>
      <w:r w:rsidRPr="000D56D6">
        <w:rPr>
          <w:rFonts w:ascii="Times New Roman" w:hAnsi="Times New Roman" w:cs="Times New Roman"/>
          <w:sz w:val="24"/>
          <w:szCs w:val="24"/>
        </w:rPr>
        <w:t xml:space="preserve"> </w:t>
      </w:r>
      <w:hyperlink r:id="rId5" w:tgtFrame="_new" w:history="1">
        <w:r w:rsidRPr="000D56D6">
          <w:rPr>
            <w:rStyle w:val="Hyperlink"/>
            <w:rFonts w:ascii="Times New Roman" w:hAnsi="Times New Roman" w:cs="Times New Roman"/>
            <w:sz w:val="24"/>
            <w:szCs w:val="24"/>
          </w:rPr>
          <w:t>https://www.cms.gov/medicare/regulations-guidance/promoting-interoperability-programs</w:t>
        </w:r>
      </w:hyperlink>
    </w:p>
    <w:p w14:paraId="1C32F4C8" w14:textId="1765592E"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Computer Fraud &amp; Security. (2020). Ransomware claims first fatality as healthcare under renewed assault. </w:t>
      </w:r>
      <w:r w:rsidRPr="00D4429E">
        <w:rPr>
          <w:rFonts w:ascii="Times New Roman" w:hAnsi="Times New Roman" w:cs="Times New Roman"/>
          <w:i/>
          <w:iCs/>
          <w:sz w:val="24"/>
          <w:szCs w:val="24"/>
        </w:rPr>
        <w:t>Computer Fraud &amp; Security, 2020</w:t>
      </w:r>
      <w:r w:rsidRPr="00D4429E">
        <w:rPr>
          <w:rFonts w:ascii="Times New Roman" w:hAnsi="Times New Roman" w:cs="Times New Roman"/>
          <w:sz w:val="24"/>
          <w:szCs w:val="24"/>
        </w:rPr>
        <w:t xml:space="preserve">(10), 1–3. </w:t>
      </w:r>
      <w:hyperlink r:id="rId6" w:history="1">
        <w:r w:rsidRPr="00D4429E">
          <w:rPr>
            <w:rStyle w:val="Hyperlink"/>
            <w:rFonts w:ascii="Times New Roman" w:hAnsi="Times New Roman" w:cs="Times New Roman"/>
            <w:sz w:val="24"/>
            <w:szCs w:val="24"/>
          </w:rPr>
          <w:t>https://pmc.ncbi.nlm.nih.gov/articles/PMC7575255/</w:t>
        </w:r>
      </w:hyperlink>
    </w:p>
    <w:p w14:paraId="69E56B41"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Coventry, L., &amp; </w:t>
      </w:r>
      <w:proofErr w:type="spellStart"/>
      <w:r w:rsidRPr="00D4429E">
        <w:rPr>
          <w:rFonts w:ascii="Times New Roman" w:hAnsi="Times New Roman" w:cs="Times New Roman"/>
          <w:sz w:val="24"/>
          <w:szCs w:val="24"/>
        </w:rPr>
        <w:t>Branley</w:t>
      </w:r>
      <w:proofErr w:type="spellEnd"/>
      <w:r w:rsidRPr="00D4429E">
        <w:rPr>
          <w:rFonts w:ascii="Times New Roman" w:hAnsi="Times New Roman" w:cs="Times New Roman"/>
          <w:sz w:val="24"/>
          <w:szCs w:val="24"/>
        </w:rPr>
        <w:t xml:space="preserve">, D. (2018). Cybersecurity in healthcare: A narrative review of trends, threats and ways forward. </w:t>
      </w:r>
      <w:proofErr w:type="spellStart"/>
      <w:r w:rsidRPr="00D4429E">
        <w:rPr>
          <w:rFonts w:ascii="Times New Roman" w:hAnsi="Times New Roman" w:cs="Times New Roman"/>
          <w:i/>
          <w:iCs/>
          <w:sz w:val="24"/>
          <w:szCs w:val="24"/>
        </w:rPr>
        <w:t>Maturitas</w:t>
      </w:r>
      <w:proofErr w:type="spellEnd"/>
      <w:r w:rsidRPr="00D4429E">
        <w:rPr>
          <w:rFonts w:ascii="Times New Roman" w:hAnsi="Times New Roman" w:cs="Times New Roman"/>
          <w:i/>
          <w:iCs/>
          <w:sz w:val="24"/>
          <w:szCs w:val="24"/>
        </w:rPr>
        <w:t>, 113</w:t>
      </w:r>
      <w:r w:rsidRPr="00D4429E">
        <w:rPr>
          <w:rFonts w:ascii="Times New Roman" w:hAnsi="Times New Roman" w:cs="Times New Roman"/>
          <w:sz w:val="24"/>
          <w:szCs w:val="24"/>
        </w:rPr>
        <w:t xml:space="preserve">, 48–52. </w:t>
      </w:r>
      <w:hyperlink r:id="rId7" w:history="1">
        <w:r w:rsidRPr="00D4429E">
          <w:rPr>
            <w:rStyle w:val="Hyperlink"/>
            <w:rFonts w:ascii="Times New Roman" w:hAnsi="Times New Roman" w:cs="Times New Roman"/>
            <w:sz w:val="24"/>
            <w:szCs w:val="24"/>
          </w:rPr>
          <w:t>https://doi.org/10.1016/j.maturitas.2018.04.008</w:t>
        </w:r>
      </w:hyperlink>
    </w:p>
    <w:p w14:paraId="21508B36"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Desjardins, B., Mirsky, Y., Ortiz, M. P., </w:t>
      </w:r>
      <w:proofErr w:type="spellStart"/>
      <w:r w:rsidRPr="00D4429E">
        <w:rPr>
          <w:rFonts w:ascii="Times New Roman" w:hAnsi="Times New Roman" w:cs="Times New Roman"/>
          <w:sz w:val="24"/>
          <w:szCs w:val="24"/>
        </w:rPr>
        <w:t>Glozman</w:t>
      </w:r>
      <w:proofErr w:type="spellEnd"/>
      <w:r w:rsidRPr="00D4429E">
        <w:rPr>
          <w:rFonts w:ascii="Times New Roman" w:hAnsi="Times New Roman" w:cs="Times New Roman"/>
          <w:sz w:val="24"/>
          <w:szCs w:val="24"/>
        </w:rPr>
        <w:t xml:space="preserve">, Z., Tarbox, L., Horn, R., &amp; Horii, S. C. (2020). DICOM images have been hacked! Now what? </w:t>
      </w:r>
      <w:r w:rsidRPr="00D4429E">
        <w:rPr>
          <w:rFonts w:ascii="Times New Roman" w:hAnsi="Times New Roman" w:cs="Times New Roman"/>
          <w:i/>
          <w:iCs/>
          <w:sz w:val="24"/>
          <w:szCs w:val="24"/>
        </w:rPr>
        <w:t>American Journal of Roentgenology, 214</w:t>
      </w:r>
      <w:r w:rsidRPr="00D4429E">
        <w:rPr>
          <w:rFonts w:ascii="Times New Roman" w:hAnsi="Times New Roman" w:cs="Times New Roman"/>
          <w:sz w:val="24"/>
          <w:szCs w:val="24"/>
        </w:rPr>
        <w:t xml:space="preserve">(4), 727–735. </w:t>
      </w:r>
      <w:hyperlink r:id="rId8" w:history="1">
        <w:r w:rsidRPr="00D4429E">
          <w:rPr>
            <w:rStyle w:val="Hyperlink"/>
            <w:rFonts w:ascii="Times New Roman" w:hAnsi="Times New Roman" w:cs="Times New Roman"/>
            <w:sz w:val="24"/>
            <w:szCs w:val="24"/>
          </w:rPr>
          <w:t>https://doi.org/10.2214/AJR.19.21958</w:t>
        </w:r>
      </w:hyperlink>
    </w:p>
    <w:p w14:paraId="29F94DFE"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Health Level Seven International. (2023). FHIR overview. </w:t>
      </w:r>
      <w:hyperlink r:id="rId9" w:history="1">
        <w:r w:rsidRPr="00D4429E">
          <w:rPr>
            <w:rStyle w:val="Hyperlink"/>
            <w:rFonts w:ascii="Times New Roman" w:hAnsi="Times New Roman" w:cs="Times New Roman"/>
            <w:sz w:val="24"/>
            <w:szCs w:val="24"/>
          </w:rPr>
          <w:t>https://www.hl7.org/fhir/</w:t>
        </w:r>
      </w:hyperlink>
    </w:p>
    <w:p w14:paraId="5C31C5AA"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Jones, S. S., Rudin, R. S., Perry, T., &amp; </w:t>
      </w:r>
      <w:proofErr w:type="spellStart"/>
      <w:r w:rsidRPr="00D4429E">
        <w:rPr>
          <w:rFonts w:ascii="Times New Roman" w:hAnsi="Times New Roman" w:cs="Times New Roman"/>
          <w:sz w:val="24"/>
          <w:szCs w:val="24"/>
        </w:rPr>
        <w:t>Shekelle</w:t>
      </w:r>
      <w:proofErr w:type="spellEnd"/>
      <w:r w:rsidRPr="00D4429E">
        <w:rPr>
          <w:rFonts w:ascii="Times New Roman" w:hAnsi="Times New Roman" w:cs="Times New Roman"/>
          <w:sz w:val="24"/>
          <w:szCs w:val="24"/>
        </w:rPr>
        <w:t xml:space="preserve">, P. G. (2014). Health information technology: An updated systematic review with a focus on meaningful use. </w:t>
      </w:r>
      <w:r w:rsidRPr="00D4429E">
        <w:rPr>
          <w:rFonts w:ascii="Times New Roman" w:hAnsi="Times New Roman" w:cs="Times New Roman"/>
          <w:i/>
          <w:iCs/>
          <w:sz w:val="24"/>
          <w:szCs w:val="24"/>
        </w:rPr>
        <w:t>Annals of Internal Medicine, 160</w:t>
      </w:r>
      <w:r w:rsidRPr="00D4429E">
        <w:rPr>
          <w:rFonts w:ascii="Times New Roman" w:hAnsi="Times New Roman" w:cs="Times New Roman"/>
          <w:sz w:val="24"/>
          <w:szCs w:val="24"/>
        </w:rPr>
        <w:t xml:space="preserve">(1), 48–54. </w:t>
      </w:r>
      <w:hyperlink r:id="rId10" w:history="1">
        <w:r w:rsidRPr="00D4429E">
          <w:rPr>
            <w:rStyle w:val="Hyperlink"/>
            <w:rFonts w:ascii="Times New Roman" w:hAnsi="Times New Roman" w:cs="Times New Roman"/>
            <w:sz w:val="24"/>
            <w:szCs w:val="24"/>
          </w:rPr>
          <w:t>https://doi.org/10.7326/M13-1531</w:t>
        </w:r>
      </w:hyperlink>
    </w:p>
    <w:p w14:paraId="7C78F407"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Kan, J. T. (2011). The 2011 Medicare Electronic Health Records Incentive Program. </w:t>
      </w:r>
      <w:r w:rsidRPr="00D4429E">
        <w:rPr>
          <w:rFonts w:ascii="Times New Roman" w:hAnsi="Times New Roman" w:cs="Times New Roman"/>
          <w:i/>
          <w:iCs/>
          <w:sz w:val="24"/>
          <w:szCs w:val="24"/>
        </w:rPr>
        <w:t>Journal of Oncology Practice, 7</w:t>
      </w:r>
      <w:r w:rsidRPr="00D4429E">
        <w:rPr>
          <w:rFonts w:ascii="Times New Roman" w:hAnsi="Times New Roman" w:cs="Times New Roman"/>
          <w:sz w:val="24"/>
          <w:szCs w:val="24"/>
        </w:rPr>
        <w:t xml:space="preserve">(4), 271–272. </w:t>
      </w:r>
      <w:hyperlink r:id="rId11" w:history="1">
        <w:r w:rsidRPr="00D4429E">
          <w:rPr>
            <w:rStyle w:val="Hyperlink"/>
            <w:rFonts w:ascii="Times New Roman" w:hAnsi="Times New Roman" w:cs="Times New Roman"/>
            <w:sz w:val="24"/>
            <w:szCs w:val="24"/>
          </w:rPr>
          <w:t>https://doi.org/10.1200/JOP.2011.000348</w:t>
        </w:r>
      </w:hyperlink>
    </w:p>
    <w:p w14:paraId="4736B89D"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lastRenderedPageBreak/>
        <w:t xml:space="preserve">Kruse, C. S., Frederick, B., Jacobson, T., &amp; </w:t>
      </w:r>
      <w:proofErr w:type="spellStart"/>
      <w:r w:rsidRPr="00D4429E">
        <w:rPr>
          <w:rFonts w:ascii="Times New Roman" w:hAnsi="Times New Roman" w:cs="Times New Roman"/>
          <w:sz w:val="24"/>
          <w:szCs w:val="24"/>
        </w:rPr>
        <w:t>Monticone</w:t>
      </w:r>
      <w:proofErr w:type="spellEnd"/>
      <w:r w:rsidRPr="00D4429E">
        <w:rPr>
          <w:rFonts w:ascii="Times New Roman" w:hAnsi="Times New Roman" w:cs="Times New Roman"/>
          <w:sz w:val="24"/>
          <w:szCs w:val="24"/>
        </w:rPr>
        <w:t xml:space="preserve">, D. K. (2017). Cybersecurity in healthcare: A systematic review of modern threats and trends. </w:t>
      </w:r>
      <w:r w:rsidRPr="00D4429E">
        <w:rPr>
          <w:rFonts w:ascii="Times New Roman" w:hAnsi="Times New Roman" w:cs="Times New Roman"/>
          <w:i/>
          <w:iCs/>
          <w:sz w:val="24"/>
          <w:szCs w:val="24"/>
        </w:rPr>
        <w:t>Technology and Health Care, 25</w:t>
      </w:r>
      <w:r w:rsidRPr="00D4429E">
        <w:rPr>
          <w:rFonts w:ascii="Times New Roman" w:hAnsi="Times New Roman" w:cs="Times New Roman"/>
          <w:sz w:val="24"/>
          <w:szCs w:val="24"/>
        </w:rPr>
        <w:t xml:space="preserve">(1), 1–10. </w:t>
      </w:r>
      <w:hyperlink r:id="rId12" w:history="1">
        <w:r w:rsidRPr="00D4429E">
          <w:rPr>
            <w:rStyle w:val="Hyperlink"/>
            <w:rFonts w:ascii="Times New Roman" w:hAnsi="Times New Roman" w:cs="Times New Roman"/>
            <w:sz w:val="24"/>
            <w:szCs w:val="24"/>
          </w:rPr>
          <w:t>https://doi.org/10.3233/THC-161263</w:t>
        </w:r>
      </w:hyperlink>
    </w:p>
    <w:p w14:paraId="1955337B"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Electrical Manufacturers Association. (n.d.). About DICOM. DICOM Standard. </w:t>
      </w:r>
      <w:hyperlink r:id="rId13" w:history="1">
        <w:r w:rsidRPr="00D4429E">
          <w:rPr>
            <w:rStyle w:val="Hyperlink"/>
            <w:rFonts w:ascii="Times New Roman" w:hAnsi="Times New Roman" w:cs="Times New Roman"/>
            <w:sz w:val="24"/>
            <w:szCs w:val="24"/>
          </w:rPr>
          <w:t>https://www.dicomstandard.org/about/</w:t>
        </w:r>
      </w:hyperlink>
    </w:p>
    <w:p w14:paraId="74A4C45B"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(2023). </w:t>
      </w:r>
      <w:r w:rsidRPr="00D4429E">
        <w:rPr>
          <w:rFonts w:ascii="Times New Roman" w:hAnsi="Times New Roman" w:cs="Times New Roman"/>
          <w:i/>
          <w:iCs/>
          <w:sz w:val="24"/>
          <w:szCs w:val="24"/>
        </w:rPr>
        <w:t>Artificial intelligence risk management framework (AI RMF 1.0)</w:t>
      </w:r>
      <w:r w:rsidRPr="00D4429E">
        <w:rPr>
          <w:rFonts w:ascii="Times New Roman" w:hAnsi="Times New Roman" w:cs="Times New Roman"/>
          <w:sz w:val="24"/>
          <w:szCs w:val="24"/>
        </w:rPr>
        <w:t xml:space="preserve"> (NIST AI 100-1). U.S. Department of Commerce. </w:t>
      </w:r>
      <w:hyperlink r:id="rId14" w:history="1">
        <w:r w:rsidRPr="00D4429E">
          <w:rPr>
            <w:rStyle w:val="Hyperlink"/>
            <w:rFonts w:ascii="Times New Roman" w:hAnsi="Times New Roman" w:cs="Times New Roman"/>
            <w:sz w:val="24"/>
            <w:szCs w:val="24"/>
          </w:rPr>
          <w:t>https://doi.org/10.6028/NIST.AI.100-1</w:t>
        </w:r>
      </w:hyperlink>
    </w:p>
    <w:p w14:paraId="700DCC9E"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(2024). </w:t>
      </w:r>
      <w:r w:rsidRPr="00D4429E">
        <w:rPr>
          <w:rFonts w:ascii="Times New Roman" w:hAnsi="Times New Roman" w:cs="Times New Roman"/>
          <w:i/>
          <w:iCs/>
          <w:sz w:val="24"/>
          <w:szCs w:val="24"/>
        </w:rPr>
        <w:t>Cybersecurity framework (CSF) 2.0</w:t>
      </w:r>
      <w:r w:rsidRPr="00D4429E">
        <w:rPr>
          <w:rFonts w:ascii="Times New Roman" w:hAnsi="Times New Roman" w:cs="Times New Roman"/>
          <w:sz w:val="24"/>
          <w:szCs w:val="24"/>
        </w:rPr>
        <w:t xml:space="preserve">. U.S. Department of Commerce. </w:t>
      </w:r>
      <w:hyperlink r:id="rId15" w:history="1">
        <w:r w:rsidRPr="00D4429E">
          <w:rPr>
            <w:rStyle w:val="Hyperlink"/>
            <w:rFonts w:ascii="Times New Roman" w:hAnsi="Times New Roman" w:cs="Times New Roman"/>
            <w:sz w:val="24"/>
            <w:szCs w:val="24"/>
          </w:rPr>
          <w:t>https://doi.org/10.6028/NIST.CSWP.29</w:t>
        </w:r>
      </w:hyperlink>
    </w:p>
    <w:p w14:paraId="5C6FC973"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(2026). CVE-2026-24487 detail. National Vulnerability Database. </w:t>
      </w:r>
      <w:hyperlink r:id="rId16" w:history="1">
        <w:r w:rsidRPr="00D4429E">
          <w:rPr>
            <w:rStyle w:val="Hyperlink"/>
            <w:rFonts w:ascii="Times New Roman" w:hAnsi="Times New Roman" w:cs="Times New Roman"/>
            <w:sz w:val="24"/>
            <w:szCs w:val="24"/>
          </w:rPr>
          <w:t>https://nvd.nist.gov/vuln/detail/CVE-2026-24487</w:t>
        </w:r>
      </w:hyperlink>
    </w:p>
    <w:p w14:paraId="47902AF3"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Office of the National Coordinator for Health Information Technology. (2026, April 1). Benefits of health IT. </w:t>
      </w:r>
      <w:hyperlink r:id="rId17" w:history="1">
        <w:r w:rsidRPr="00D4429E">
          <w:rPr>
            <w:rStyle w:val="Hyperlink"/>
            <w:rFonts w:ascii="Times New Roman" w:hAnsi="Times New Roman" w:cs="Times New Roman"/>
            <w:sz w:val="24"/>
            <w:szCs w:val="24"/>
          </w:rPr>
          <w:t>https://healthit.gov/health-it-basics/benefits-health-it/</w:t>
        </w:r>
      </w:hyperlink>
    </w:p>
    <w:p w14:paraId="00CC94E2" w14:textId="77777777" w:rsidR="0057592A" w:rsidRPr="00D4429E" w:rsidRDefault="0057592A" w:rsidP="009C60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Saripalle</w:t>
      </w:r>
      <w:proofErr w:type="spellEnd"/>
      <w:r w:rsidRPr="00D4429E">
        <w:rPr>
          <w:rFonts w:ascii="Times New Roman" w:hAnsi="Times New Roman" w:cs="Times New Roman"/>
          <w:sz w:val="24"/>
          <w:szCs w:val="24"/>
        </w:rPr>
        <w:t xml:space="preserve">, R., Runyan, C., &amp; Russell, M. (2019). Using HL7 FHIR to achieve interoperability in patient health record. </w:t>
      </w:r>
      <w:r w:rsidRPr="00D4429E">
        <w:rPr>
          <w:rFonts w:ascii="Times New Roman" w:hAnsi="Times New Roman" w:cs="Times New Roman"/>
          <w:i/>
          <w:iCs/>
          <w:sz w:val="24"/>
          <w:szCs w:val="24"/>
        </w:rPr>
        <w:t>Journal of Biomedical Informatics, 94</w:t>
      </w:r>
      <w:r w:rsidRPr="00D4429E">
        <w:rPr>
          <w:rFonts w:ascii="Times New Roman" w:hAnsi="Times New Roman" w:cs="Times New Roman"/>
          <w:sz w:val="24"/>
          <w:szCs w:val="24"/>
        </w:rPr>
        <w:t xml:space="preserve">, Article 103188. </w:t>
      </w:r>
      <w:hyperlink r:id="rId18" w:history="1">
        <w:r w:rsidRPr="00D4429E">
          <w:rPr>
            <w:rStyle w:val="Hyperlink"/>
            <w:rFonts w:ascii="Times New Roman" w:hAnsi="Times New Roman" w:cs="Times New Roman"/>
            <w:sz w:val="24"/>
            <w:szCs w:val="24"/>
          </w:rPr>
          <w:t>https://doi.org/10.1016/j.jbi.2019.103188</w:t>
        </w:r>
      </w:hyperlink>
    </w:p>
    <w:p w14:paraId="43784518" w14:textId="77777777" w:rsidR="0057592A" w:rsidRPr="00D4429E" w:rsidRDefault="0057592A" w:rsidP="009C60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SentinelOne</w:t>
      </w:r>
      <w:proofErr w:type="spellEnd"/>
      <w:r w:rsidRPr="00D4429E">
        <w:rPr>
          <w:rFonts w:ascii="Times New Roman" w:hAnsi="Times New Roman" w:cs="Times New Roman"/>
          <w:sz w:val="24"/>
          <w:szCs w:val="24"/>
        </w:rPr>
        <w:t xml:space="preserve">. (2026, February 27). CVE-2026-24487: </w:t>
      </w:r>
      <w:proofErr w:type="spellStart"/>
      <w:r w:rsidRPr="00D4429E">
        <w:rPr>
          <w:rFonts w:ascii="Times New Roman" w:hAnsi="Times New Roman" w:cs="Times New Roman"/>
          <w:sz w:val="24"/>
          <w:szCs w:val="24"/>
        </w:rPr>
        <w:t>OpenEMR</w:t>
      </w:r>
      <w:proofErr w:type="spellEnd"/>
      <w:r w:rsidRPr="00D4429E">
        <w:rPr>
          <w:rFonts w:ascii="Times New Roman" w:hAnsi="Times New Roman" w:cs="Times New Roman"/>
          <w:sz w:val="24"/>
          <w:szCs w:val="24"/>
        </w:rPr>
        <w:t xml:space="preserve"> auth bypass vulnerability. </w:t>
      </w:r>
      <w:proofErr w:type="spellStart"/>
      <w:r w:rsidRPr="00D4429E">
        <w:rPr>
          <w:rFonts w:ascii="Times New Roman" w:hAnsi="Times New Roman" w:cs="Times New Roman"/>
          <w:sz w:val="24"/>
          <w:szCs w:val="24"/>
        </w:rPr>
        <w:t>SentinelOne</w:t>
      </w:r>
      <w:proofErr w:type="spellEnd"/>
      <w:r w:rsidRPr="00D4429E">
        <w:rPr>
          <w:rFonts w:ascii="Times New Roman" w:hAnsi="Times New Roman" w:cs="Times New Roman"/>
          <w:sz w:val="24"/>
          <w:szCs w:val="24"/>
        </w:rPr>
        <w:t xml:space="preserve"> Vulnerability Database. </w:t>
      </w:r>
      <w:hyperlink r:id="rId19" w:history="1">
        <w:r w:rsidRPr="00D4429E">
          <w:rPr>
            <w:rStyle w:val="Hyperlink"/>
            <w:rFonts w:ascii="Times New Roman" w:hAnsi="Times New Roman" w:cs="Times New Roman"/>
            <w:sz w:val="24"/>
            <w:szCs w:val="24"/>
          </w:rPr>
          <w:t>https://www.sentinelone.com/vulnerability-database/cve-2026-24487/</w:t>
        </w:r>
      </w:hyperlink>
    </w:p>
    <w:p w14:paraId="47C4D5F5" w14:textId="09845F52" w:rsidR="007F42B7" w:rsidRDefault="007F42B7" w:rsidP="009C6042">
      <w:pPr>
        <w:spacing w:line="480" w:lineRule="auto"/>
        <w:ind w:left="720" w:hanging="720"/>
        <w:rPr>
          <w:rFonts w:ascii="Times New Roman" w:hAnsi="Times New Roman" w:cs="Times New Roman"/>
          <w:sz w:val="24"/>
          <w:szCs w:val="24"/>
        </w:rPr>
      </w:pPr>
      <w:r w:rsidRPr="007F42B7">
        <w:rPr>
          <w:rFonts w:ascii="Times New Roman" w:hAnsi="Times New Roman" w:cs="Times New Roman"/>
          <w:sz w:val="24"/>
          <w:szCs w:val="24"/>
        </w:rPr>
        <w:lastRenderedPageBreak/>
        <w:t xml:space="preserve">U.S. Department of Health </w:t>
      </w:r>
      <w:r w:rsidR="00E33EFF">
        <w:rPr>
          <w:rFonts w:ascii="Times New Roman" w:hAnsi="Times New Roman" w:cs="Times New Roman"/>
          <w:sz w:val="24"/>
          <w:szCs w:val="24"/>
        </w:rPr>
        <w:t xml:space="preserve">and </w:t>
      </w:r>
      <w:r w:rsidRPr="007F42B7">
        <w:rPr>
          <w:rFonts w:ascii="Times New Roman" w:hAnsi="Times New Roman" w:cs="Times New Roman"/>
          <w:sz w:val="24"/>
          <w:szCs w:val="24"/>
        </w:rPr>
        <w:t>Human Services. (n.d.</w:t>
      </w:r>
      <w:r>
        <w:rPr>
          <w:rFonts w:ascii="Times New Roman" w:hAnsi="Times New Roman" w:cs="Times New Roman"/>
          <w:sz w:val="24"/>
          <w:szCs w:val="24"/>
        </w:rPr>
        <w:t>-a</w:t>
      </w:r>
      <w:r w:rsidRPr="007F42B7">
        <w:rPr>
          <w:rFonts w:ascii="Times New Roman" w:hAnsi="Times New Roman" w:cs="Times New Roman"/>
          <w:sz w:val="24"/>
          <w:szCs w:val="24"/>
        </w:rPr>
        <w:t xml:space="preserve">). </w:t>
      </w:r>
      <w:r w:rsidRPr="007F42B7">
        <w:rPr>
          <w:rFonts w:ascii="Times New Roman" w:hAnsi="Times New Roman" w:cs="Times New Roman"/>
          <w:i/>
          <w:iCs/>
          <w:sz w:val="24"/>
          <w:szCs w:val="24"/>
        </w:rPr>
        <w:t>Minimum necessary requirement</w:t>
      </w:r>
      <w:r w:rsidRPr="007F42B7">
        <w:rPr>
          <w:rFonts w:ascii="Times New Roman" w:hAnsi="Times New Roman" w:cs="Times New Roman"/>
          <w:sz w:val="24"/>
          <w:szCs w:val="24"/>
        </w:rPr>
        <w:t xml:space="preserve">. </w:t>
      </w:r>
      <w:hyperlink r:id="rId20" w:tgtFrame="_new" w:history="1">
        <w:r w:rsidRPr="007F42B7">
          <w:rPr>
            <w:rStyle w:val="Hyperlink"/>
            <w:rFonts w:ascii="Times New Roman" w:hAnsi="Times New Roman" w:cs="Times New Roman"/>
            <w:sz w:val="24"/>
            <w:szCs w:val="24"/>
          </w:rPr>
          <w:t>https://www.hhs.gov/hipaa/for-professionals/privacy/guidance/minimum-necessary-requirement/index.html</w:t>
        </w:r>
      </w:hyperlink>
    </w:p>
    <w:p w14:paraId="77FF7CE3" w14:textId="314F66AD" w:rsidR="0057592A" w:rsidRDefault="0057592A" w:rsidP="009C6042">
      <w:pPr>
        <w:spacing w:line="480" w:lineRule="auto"/>
        <w:ind w:left="720" w:hanging="720"/>
        <w:rPr>
          <w:rStyle w:val="Hyperlink"/>
          <w:rFonts w:ascii="Times New Roman" w:hAnsi="Times New Roman" w:cs="Times New Roman"/>
          <w:sz w:val="24"/>
          <w:szCs w:val="24"/>
        </w:rPr>
      </w:pPr>
      <w:r w:rsidRPr="00D4429E">
        <w:rPr>
          <w:rFonts w:ascii="Times New Roman" w:hAnsi="Times New Roman" w:cs="Times New Roman"/>
          <w:sz w:val="24"/>
          <w:szCs w:val="24"/>
        </w:rPr>
        <w:t>U.S. Department of Health</w:t>
      </w:r>
      <w:r w:rsidR="00E33EFF">
        <w:rPr>
          <w:rFonts w:ascii="Times New Roman" w:hAnsi="Times New Roman" w:cs="Times New Roman"/>
          <w:sz w:val="24"/>
          <w:szCs w:val="24"/>
        </w:rPr>
        <w:t xml:space="preserve"> and</w:t>
      </w:r>
      <w:r w:rsidRPr="00D4429E">
        <w:rPr>
          <w:rFonts w:ascii="Times New Roman" w:hAnsi="Times New Roman" w:cs="Times New Roman"/>
          <w:sz w:val="24"/>
          <w:szCs w:val="24"/>
        </w:rPr>
        <w:t xml:space="preserve"> Human Services. (n.d.</w:t>
      </w:r>
      <w:r w:rsidR="007F42B7">
        <w:rPr>
          <w:rFonts w:ascii="Times New Roman" w:hAnsi="Times New Roman" w:cs="Times New Roman"/>
          <w:sz w:val="24"/>
          <w:szCs w:val="24"/>
        </w:rPr>
        <w:t>-b</w:t>
      </w:r>
      <w:r w:rsidRPr="00D4429E">
        <w:rPr>
          <w:rFonts w:ascii="Times New Roman" w:hAnsi="Times New Roman" w:cs="Times New Roman"/>
          <w:sz w:val="24"/>
          <w:szCs w:val="24"/>
        </w:rPr>
        <w:t xml:space="preserve">). Summary of the HIPAA Security Rule. </w:t>
      </w:r>
      <w:hyperlink r:id="rId21" w:history="1">
        <w:r w:rsidRPr="00D4429E">
          <w:rPr>
            <w:rStyle w:val="Hyperlink"/>
            <w:rFonts w:ascii="Times New Roman" w:hAnsi="Times New Roman" w:cs="Times New Roman"/>
            <w:sz w:val="24"/>
            <w:szCs w:val="24"/>
          </w:rPr>
          <w:t>https://www.hhs.gov/hipaa/for-professionals/security/index.html</w:t>
        </w:r>
      </w:hyperlink>
    </w:p>
    <w:p w14:paraId="1F670D99" w14:textId="77777777" w:rsidR="0057592A" w:rsidRPr="00D4429E" w:rsidRDefault="0057592A" w:rsidP="009C60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Vukotich</w:t>
      </w:r>
      <w:proofErr w:type="spellEnd"/>
      <w:r w:rsidRPr="00D4429E">
        <w:rPr>
          <w:rFonts w:ascii="Times New Roman" w:hAnsi="Times New Roman" w:cs="Times New Roman"/>
          <w:sz w:val="24"/>
          <w:szCs w:val="24"/>
        </w:rPr>
        <w:t xml:space="preserve">, G. (2023). Healthcare and cybersecurity: Taking a </w:t>
      </w:r>
      <w:proofErr w:type="gramStart"/>
      <w:r w:rsidRPr="00D4429E">
        <w:rPr>
          <w:rFonts w:ascii="Times New Roman" w:hAnsi="Times New Roman" w:cs="Times New Roman"/>
          <w:sz w:val="24"/>
          <w:szCs w:val="24"/>
        </w:rPr>
        <w:t>zero trust</w:t>
      </w:r>
      <w:proofErr w:type="gramEnd"/>
      <w:r w:rsidRPr="00D4429E">
        <w:rPr>
          <w:rFonts w:ascii="Times New Roman" w:hAnsi="Times New Roman" w:cs="Times New Roman"/>
          <w:sz w:val="24"/>
          <w:szCs w:val="24"/>
        </w:rPr>
        <w:t xml:space="preserve"> approach. </w:t>
      </w:r>
      <w:r w:rsidRPr="00D4429E">
        <w:rPr>
          <w:rFonts w:ascii="Times New Roman" w:hAnsi="Times New Roman" w:cs="Times New Roman"/>
          <w:i/>
          <w:iCs/>
          <w:sz w:val="24"/>
          <w:szCs w:val="24"/>
        </w:rPr>
        <w:t>Health Services Insights, 16</w:t>
      </w:r>
      <w:r w:rsidRPr="00D4429E">
        <w:rPr>
          <w:rFonts w:ascii="Times New Roman" w:hAnsi="Times New Roman" w:cs="Times New Roman"/>
          <w:sz w:val="24"/>
          <w:szCs w:val="24"/>
        </w:rPr>
        <w:t xml:space="preserve">, 11786329231187826. </w:t>
      </w:r>
      <w:hyperlink r:id="rId22" w:history="1">
        <w:r w:rsidRPr="00D4429E">
          <w:rPr>
            <w:rStyle w:val="Hyperlink"/>
            <w:rFonts w:ascii="Times New Roman" w:hAnsi="Times New Roman" w:cs="Times New Roman"/>
            <w:sz w:val="24"/>
            <w:szCs w:val="24"/>
          </w:rPr>
          <w:t>https://doi.org/10.1177/11786329231187826</w:t>
        </w:r>
      </w:hyperlink>
    </w:p>
    <w:p w14:paraId="4E9F3663" w14:textId="4CF64E54" w:rsidR="00CF6AE9" w:rsidRDefault="00CF6AE9" w:rsidP="009C6042">
      <w:pPr>
        <w:spacing w:line="480" w:lineRule="auto"/>
        <w:ind w:left="720" w:hanging="720"/>
        <w:rPr>
          <w:rFonts w:ascii="Times New Roman" w:hAnsi="Times New Roman" w:cs="Times New Roman"/>
          <w:sz w:val="24"/>
          <w:szCs w:val="24"/>
        </w:rPr>
      </w:pPr>
      <w:proofErr w:type="spellStart"/>
      <w:r w:rsidRPr="00101D12">
        <w:rPr>
          <w:rFonts w:ascii="Times New Roman" w:hAnsi="Times New Roman" w:cs="Times New Roman"/>
          <w:sz w:val="24"/>
          <w:szCs w:val="24"/>
        </w:rPr>
        <w:t>Yazdanmehr</w:t>
      </w:r>
      <w:proofErr w:type="spellEnd"/>
      <w:r w:rsidRPr="00101D12">
        <w:rPr>
          <w:rFonts w:ascii="Times New Roman" w:hAnsi="Times New Roman" w:cs="Times New Roman"/>
          <w:sz w:val="24"/>
          <w:szCs w:val="24"/>
        </w:rPr>
        <w:t>, S. (2023</w:t>
      </w:r>
      <w:r>
        <w:rPr>
          <w:rFonts w:ascii="Times New Roman" w:hAnsi="Times New Roman" w:cs="Times New Roman"/>
          <w:sz w:val="24"/>
          <w:szCs w:val="24"/>
        </w:rPr>
        <w:t>a</w:t>
      </w:r>
      <w:r w:rsidRPr="00101D12">
        <w:rPr>
          <w:rFonts w:ascii="Times New Roman" w:hAnsi="Times New Roman" w:cs="Times New Roman"/>
          <w:sz w:val="24"/>
          <w:szCs w:val="24"/>
        </w:rPr>
        <w:t xml:space="preserve">). </w:t>
      </w:r>
      <w:r w:rsidRPr="00101D12">
        <w:rPr>
          <w:rFonts w:ascii="Times New Roman" w:hAnsi="Times New Roman" w:cs="Times New Roman"/>
          <w:i/>
          <w:iCs/>
          <w:sz w:val="24"/>
          <w:szCs w:val="24"/>
        </w:rPr>
        <w:t>Millions of patient records at risk: The perils of legacy protocols</w:t>
      </w:r>
      <w:r w:rsidRPr="00101D12">
        <w:rPr>
          <w:rFonts w:ascii="Times New Roman" w:hAnsi="Times New Roman" w:cs="Times New Roman"/>
          <w:sz w:val="24"/>
          <w:szCs w:val="24"/>
        </w:rPr>
        <w:t xml:space="preserve"> [Conference presentation]. Black Hat Europe 2023. </w:t>
      </w:r>
      <w:hyperlink r:id="rId23" w:history="1">
        <w:r w:rsidRPr="00914B74">
          <w:rPr>
            <w:rStyle w:val="Hyperlink"/>
            <w:rFonts w:ascii="Times New Roman" w:hAnsi="Times New Roman" w:cs="Times New Roman"/>
            <w:sz w:val="24"/>
            <w:szCs w:val="24"/>
          </w:rPr>
          <w:t>https://i.blackhat.com/EU-23/Presentations/EU-23-Yazdanmehr-Millions_of_Patient_Records_at_Risk.pdf</w:t>
        </w:r>
      </w:hyperlink>
    </w:p>
    <w:p w14:paraId="4F81673F" w14:textId="2027C89B" w:rsidR="0057592A" w:rsidRDefault="0057592A" w:rsidP="009C60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Yazdanmehr</w:t>
      </w:r>
      <w:proofErr w:type="spellEnd"/>
      <w:r w:rsidRPr="00D4429E">
        <w:rPr>
          <w:rFonts w:ascii="Times New Roman" w:hAnsi="Times New Roman" w:cs="Times New Roman"/>
          <w:sz w:val="24"/>
          <w:szCs w:val="24"/>
        </w:rPr>
        <w:t>, S. (2023</w:t>
      </w:r>
      <w:r w:rsidR="00CF6AE9">
        <w:rPr>
          <w:rFonts w:ascii="Times New Roman" w:hAnsi="Times New Roman" w:cs="Times New Roman"/>
          <w:sz w:val="24"/>
          <w:szCs w:val="24"/>
        </w:rPr>
        <w:t>b</w:t>
      </w:r>
      <w:r w:rsidRPr="00D4429E">
        <w:rPr>
          <w:rFonts w:ascii="Times New Roman" w:hAnsi="Times New Roman" w:cs="Times New Roman"/>
          <w:sz w:val="24"/>
          <w:szCs w:val="24"/>
        </w:rPr>
        <w:t xml:space="preserve">). Millions of patient records at risk: The perils of legacy protocols [Video]. YouTube. </w:t>
      </w:r>
      <w:hyperlink r:id="rId24" w:history="1">
        <w:r w:rsidRPr="00D4429E">
          <w:rPr>
            <w:rStyle w:val="Hyperlink"/>
            <w:rFonts w:ascii="Times New Roman" w:hAnsi="Times New Roman" w:cs="Times New Roman"/>
            <w:sz w:val="24"/>
            <w:szCs w:val="24"/>
          </w:rPr>
          <w:t>https://www.youtube.com/watch?v=CgJIxTP8ydQ</w:t>
        </w:r>
      </w:hyperlink>
    </w:p>
    <w:p w14:paraId="424A132D" w14:textId="77777777" w:rsidR="00101D12" w:rsidRPr="00101D12" w:rsidRDefault="00101D12" w:rsidP="009C6042">
      <w:pPr>
        <w:spacing w:line="480" w:lineRule="auto"/>
        <w:ind w:left="720" w:hanging="720"/>
        <w:rPr>
          <w:rFonts w:ascii="Times New Roman" w:hAnsi="Times New Roman" w:cs="Times New Roman"/>
          <w:sz w:val="24"/>
          <w:szCs w:val="24"/>
        </w:rPr>
      </w:pPr>
    </w:p>
    <w:p w14:paraId="033DA478" w14:textId="12CCCF6A" w:rsidR="002035C7" w:rsidRPr="005F3FB0"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ChatGPT was used to assist with grammar, spelling, punctuation, clarity, and verification of information and citations. The author reviewed and evaluated all suggestions and is responsible for the accuracy, content, and final submission of this paper.</w:t>
      </w:r>
    </w:p>
    <w:sectPr w:rsidR="002035C7" w:rsidRPr="005F3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FBD"/>
    <w:rsid w:val="00011B1E"/>
    <w:rsid w:val="00013BA7"/>
    <w:rsid w:val="0002469A"/>
    <w:rsid w:val="00034620"/>
    <w:rsid w:val="000370CA"/>
    <w:rsid w:val="000373B6"/>
    <w:rsid w:val="00042C3F"/>
    <w:rsid w:val="0004490B"/>
    <w:rsid w:val="00067F58"/>
    <w:rsid w:val="0007307D"/>
    <w:rsid w:val="00075176"/>
    <w:rsid w:val="000A334F"/>
    <w:rsid w:val="000A3708"/>
    <w:rsid w:val="000A5E0E"/>
    <w:rsid w:val="000A64A3"/>
    <w:rsid w:val="000B09A0"/>
    <w:rsid w:val="000C0E8E"/>
    <w:rsid w:val="000C254E"/>
    <w:rsid w:val="000D56D6"/>
    <w:rsid w:val="000D58AF"/>
    <w:rsid w:val="000E19F3"/>
    <w:rsid w:val="000E4340"/>
    <w:rsid w:val="000F59BE"/>
    <w:rsid w:val="00101D12"/>
    <w:rsid w:val="00115108"/>
    <w:rsid w:val="0011575E"/>
    <w:rsid w:val="00116C92"/>
    <w:rsid w:val="00123596"/>
    <w:rsid w:val="00140FBD"/>
    <w:rsid w:val="00147074"/>
    <w:rsid w:val="00163CF9"/>
    <w:rsid w:val="0016504D"/>
    <w:rsid w:val="00171196"/>
    <w:rsid w:val="00173286"/>
    <w:rsid w:val="00175A5D"/>
    <w:rsid w:val="00177CE2"/>
    <w:rsid w:val="0018356C"/>
    <w:rsid w:val="0018492D"/>
    <w:rsid w:val="00192AC6"/>
    <w:rsid w:val="001A37D1"/>
    <w:rsid w:val="001A55AD"/>
    <w:rsid w:val="001A6F33"/>
    <w:rsid w:val="001C3965"/>
    <w:rsid w:val="001C6377"/>
    <w:rsid w:val="001D2191"/>
    <w:rsid w:val="001E1C78"/>
    <w:rsid w:val="001E561B"/>
    <w:rsid w:val="001E7AB3"/>
    <w:rsid w:val="002035C7"/>
    <w:rsid w:val="002048DE"/>
    <w:rsid w:val="00215E1E"/>
    <w:rsid w:val="00221833"/>
    <w:rsid w:val="00233C95"/>
    <w:rsid w:val="00250218"/>
    <w:rsid w:val="00264DDD"/>
    <w:rsid w:val="00274E54"/>
    <w:rsid w:val="0027648B"/>
    <w:rsid w:val="00284BE1"/>
    <w:rsid w:val="002A092F"/>
    <w:rsid w:val="002A44AC"/>
    <w:rsid w:val="002B1D7F"/>
    <w:rsid w:val="002D46CC"/>
    <w:rsid w:val="002E3436"/>
    <w:rsid w:val="002F79E2"/>
    <w:rsid w:val="00301CF7"/>
    <w:rsid w:val="003037D9"/>
    <w:rsid w:val="003141A2"/>
    <w:rsid w:val="0031791D"/>
    <w:rsid w:val="00322A3F"/>
    <w:rsid w:val="00327267"/>
    <w:rsid w:val="00332D0A"/>
    <w:rsid w:val="00361B00"/>
    <w:rsid w:val="00366896"/>
    <w:rsid w:val="00371BCC"/>
    <w:rsid w:val="00375C9E"/>
    <w:rsid w:val="00381302"/>
    <w:rsid w:val="00391215"/>
    <w:rsid w:val="003919A9"/>
    <w:rsid w:val="003A28C3"/>
    <w:rsid w:val="003D5390"/>
    <w:rsid w:val="003E4616"/>
    <w:rsid w:val="003F3EFF"/>
    <w:rsid w:val="00422069"/>
    <w:rsid w:val="004302C2"/>
    <w:rsid w:val="00432111"/>
    <w:rsid w:val="00441FA6"/>
    <w:rsid w:val="004469E6"/>
    <w:rsid w:val="004516B1"/>
    <w:rsid w:val="00454CA2"/>
    <w:rsid w:val="00456417"/>
    <w:rsid w:val="00474049"/>
    <w:rsid w:val="00475AF6"/>
    <w:rsid w:val="004820E0"/>
    <w:rsid w:val="00482916"/>
    <w:rsid w:val="004841ED"/>
    <w:rsid w:val="00485036"/>
    <w:rsid w:val="00495877"/>
    <w:rsid w:val="004A0258"/>
    <w:rsid w:val="004A07D1"/>
    <w:rsid w:val="004B4052"/>
    <w:rsid w:val="004B6504"/>
    <w:rsid w:val="004E1EAC"/>
    <w:rsid w:val="004F0162"/>
    <w:rsid w:val="00502C3A"/>
    <w:rsid w:val="00503ADA"/>
    <w:rsid w:val="00514EB0"/>
    <w:rsid w:val="00547933"/>
    <w:rsid w:val="00554620"/>
    <w:rsid w:val="005558A5"/>
    <w:rsid w:val="00570F3F"/>
    <w:rsid w:val="0057592A"/>
    <w:rsid w:val="00592E24"/>
    <w:rsid w:val="005945F4"/>
    <w:rsid w:val="005A4CC6"/>
    <w:rsid w:val="005A721A"/>
    <w:rsid w:val="005B53E2"/>
    <w:rsid w:val="005C1DD4"/>
    <w:rsid w:val="005D1FE2"/>
    <w:rsid w:val="005D53EE"/>
    <w:rsid w:val="005E2451"/>
    <w:rsid w:val="005E376F"/>
    <w:rsid w:val="005F2904"/>
    <w:rsid w:val="005F3FB0"/>
    <w:rsid w:val="00605FB7"/>
    <w:rsid w:val="00606490"/>
    <w:rsid w:val="00616F26"/>
    <w:rsid w:val="0062019A"/>
    <w:rsid w:val="006267BE"/>
    <w:rsid w:val="0063066B"/>
    <w:rsid w:val="00650724"/>
    <w:rsid w:val="006559F3"/>
    <w:rsid w:val="0065654B"/>
    <w:rsid w:val="00665AEF"/>
    <w:rsid w:val="00670D32"/>
    <w:rsid w:val="00671EC9"/>
    <w:rsid w:val="00690E9C"/>
    <w:rsid w:val="00693F7B"/>
    <w:rsid w:val="00696B2E"/>
    <w:rsid w:val="006B4B9B"/>
    <w:rsid w:val="006C193B"/>
    <w:rsid w:val="006C311B"/>
    <w:rsid w:val="006C364E"/>
    <w:rsid w:val="006E15A7"/>
    <w:rsid w:val="006E3E11"/>
    <w:rsid w:val="006E772C"/>
    <w:rsid w:val="006F4B5D"/>
    <w:rsid w:val="00702E7E"/>
    <w:rsid w:val="00712E2C"/>
    <w:rsid w:val="00726B8B"/>
    <w:rsid w:val="00736CC9"/>
    <w:rsid w:val="00740F73"/>
    <w:rsid w:val="00747607"/>
    <w:rsid w:val="00767855"/>
    <w:rsid w:val="00770475"/>
    <w:rsid w:val="00772156"/>
    <w:rsid w:val="007727F2"/>
    <w:rsid w:val="00775103"/>
    <w:rsid w:val="00790531"/>
    <w:rsid w:val="00792FFF"/>
    <w:rsid w:val="00796590"/>
    <w:rsid w:val="00797620"/>
    <w:rsid w:val="007B06BA"/>
    <w:rsid w:val="007B0FE4"/>
    <w:rsid w:val="007C1D10"/>
    <w:rsid w:val="007C535E"/>
    <w:rsid w:val="007D309F"/>
    <w:rsid w:val="007D445F"/>
    <w:rsid w:val="007D462D"/>
    <w:rsid w:val="007D4824"/>
    <w:rsid w:val="007E4FBE"/>
    <w:rsid w:val="007F42B7"/>
    <w:rsid w:val="007F4D2B"/>
    <w:rsid w:val="007F7950"/>
    <w:rsid w:val="00800DB6"/>
    <w:rsid w:val="008043FB"/>
    <w:rsid w:val="00810E23"/>
    <w:rsid w:val="00824698"/>
    <w:rsid w:val="00843F59"/>
    <w:rsid w:val="00853D84"/>
    <w:rsid w:val="00856753"/>
    <w:rsid w:val="00882CD6"/>
    <w:rsid w:val="008911D9"/>
    <w:rsid w:val="0089709B"/>
    <w:rsid w:val="008A28E5"/>
    <w:rsid w:val="008A2972"/>
    <w:rsid w:val="008A2F11"/>
    <w:rsid w:val="008A474B"/>
    <w:rsid w:val="008B3F7F"/>
    <w:rsid w:val="008B6CB5"/>
    <w:rsid w:val="008C7234"/>
    <w:rsid w:val="008D3CE3"/>
    <w:rsid w:val="008E3D82"/>
    <w:rsid w:val="008E4E8D"/>
    <w:rsid w:val="008E73BA"/>
    <w:rsid w:val="008F128F"/>
    <w:rsid w:val="008F6D1B"/>
    <w:rsid w:val="00901645"/>
    <w:rsid w:val="00901A7C"/>
    <w:rsid w:val="00903A2C"/>
    <w:rsid w:val="00926976"/>
    <w:rsid w:val="00936198"/>
    <w:rsid w:val="00937BFA"/>
    <w:rsid w:val="0094176F"/>
    <w:rsid w:val="009524E2"/>
    <w:rsid w:val="009531C6"/>
    <w:rsid w:val="00955BEE"/>
    <w:rsid w:val="00963EE9"/>
    <w:rsid w:val="009712F0"/>
    <w:rsid w:val="0097561D"/>
    <w:rsid w:val="00976008"/>
    <w:rsid w:val="00977039"/>
    <w:rsid w:val="00986E06"/>
    <w:rsid w:val="009A14F1"/>
    <w:rsid w:val="009A1525"/>
    <w:rsid w:val="009A64DB"/>
    <w:rsid w:val="009B4D7C"/>
    <w:rsid w:val="009C1B96"/>
    <w:rsid w:val="009C6042"/>
    <w:rsid w:val="009D1D9C"/>
    <w:rsid w:val="009D2BD0"/>
    <w:rsid w:val="009D6D55"/>
    <w:rsid w:val="009E724A"/>
    <w:rsid w:val="00A070AE"/>
    <w:rsid w:val="00A10F11"/>
    <w:rsid w:val="00A20414"/>
    <w:rsid w:val="00A25CE5"/>
    <w:rsid w:val="00A32E00"/>
    <w:rsid w:val="00A50B4E"/>
    <w:rsid w:val="00A65485"/>
    <w:rsid w:val="00A705FD"/>
    <w:rsid w:val="00A70FA4"/>
    <w:rsid w:val="00A92E65"/>
    <w:rsid w:val="00AA2B5E"/>
    <w:rsid w:val="00AA55F2"/>
    <w:rsid w:val="00AA7221"/>
    <w:rsid w:val="00AB1B79"/>
    <w:rsid w:val="00AB66DD"/>
    <w:rsid w:val="00AC2439"/>
    <w:rsid w:val="00AD1FA5"/>
    <w:rsid w:val="00AD52A1"/>
    <w:rsid w:val="00AE1968"/>
    <w:rsid w:val="00AE6CCA"/>
    <w:rsid w:val="00AF2004"/>
    <w:rsid w:val="00AF539D"/>
    <w:rsid w:val="00AF5B36"/>
    <w:rsid w:val="00B05A8E"/>
    <w:rsid w:val="00B1402D"/>
    <w:rsid w:val="00B23F3F"/>
    <w:rsid w:val="00B41209"/>
    <w:rsid w:val="00B45830"/>
    <w:rsid w:val="00B47F03"/>
    <w:rsid w:val="00B55321"/>
    <w:rsid w:val="00B66F9F"/>
    <w:rsid w:val="00BA652D"/>
    <w:rsid w:val="00BB280A"/>
    <w:rsid w:val="00BB2CA8"/>
    <w:rsid w:val="00BB443B"/>
    <w:rsid w:val="00BD6365"/>
    <w:rsid w:val="00BE3DD0"/>
    <w:rsid w:val="00BF0AA6"/>
    <w:rsid w:val="00BF14D8"/>
    <w:rsid w:val="00BF34E9"/>
    <w:rsid w:val="00BF4439"/>
    <w:rsid w:val="00BF7F4D"/>
    <w:rsid w:val="00C040D3"/>
    <w:rsid w:val="00C0506B"/>
    <w:rsid w:val="00C336AE"/>
    <w:rsid w:val="00C46814"/>
    <w:rsid w:val="00C47DCC"/>
    <w:rsid w:val="00C62933"/>
    <w:rsid w:val="00C73802"/>
    <w:rsid w:val="00C845A6"/>
    <w:rsid w:val="00C90796"/>
    <w:rsid w:val="00C9319C"/>
    <w:rsid w:val="00CB0B0C"/>
    <w:rsid w:val="00CB1DA0"/>
    <w:rsid w:val="00CC7BA5"/>
    <w:rsid w:val="00CD0FA7"/>
    <w:rsid w:val="00CE4225"/>
    <w:rsid w:val="00CF22B9"/>
    <w:rsid w:val="00CF4D7E"/>
    <w:rsid w:val="00CF6AE9"/>
    <w:rsid w:val="00CF7482"/>
    <w:rsid w:val="00D02FFB"/>
    <w:rsid w:val="00D030FA"/>
    <w:rsid w:val="00D15F9D"/>
    <w:rsid w:val="00D24F73"/>
    <w:rsid w:val="00D337D8"/>
    <w:rsid w:val="00D35A03"/>
    <w:rsid w:val="00D4134A"/>
    <w:rsid w:val="00D67735"/>
    <w:rsid w:val="00D72120"/>
    <w:rsid w:val="00D83081"/>
    <w:rsid w:val="00D831C7"/>
    <w:rsid w:val="00D921CE"/>
    <w:rsid w:val="00D94B83"/>
    <w:rsid w:val="00D97AC1"/>
    <w:rsid w:val="00DA61D1"/>
    <w:rsid w:val="00DA7AC6"/>
    <w:rsid w:val="00DC192A"/>
    <w:rsid w:val="00DD50DC"/>
    <w:rsid w:val="00DE6E5E"/>
    <w:rsid w:val="00DF3E6A"/>
    <w:rsid w:val="00E0306F"/>
    <w:rsid w:val="00E05EAB"/>
    <w:rsid w:val="00E07558"/>
    <w:rsid w:val="00E11BCB"/>
    <w:rsid w:val="00E17395"/>
    <w:rsid w:val="00E2196D"/>
    <w:rsid w:val="00E22DF4"/>
    <w:rsid w:val="00E32816"/>
    <w:rsid w:val="00E33EFF"/>
    <w:rsid w:val="00E3623E"/>
    <w:rsid w:val="00E43F76"/>
    <w:rsid w:val="00E45FE0"/>
    <w:rsid w:val="00E52BAC"/>
    <w:rsid w:val="00E65A17"/>
    <w:rsid w:val="00E709CC"/>
    <w:rsid w:val="00E73480"/>
    <w:rsid w:val="00E82CBA"/>
    <w:rsid w:val="00E90787"/>
    <w:rsid w:val="00E93F3C"/>
    <w:rsid w:val="00EB01A5"/>
    <w:rsid w:val="00EB2816"/>
    <w:rsid w:val="00EC43CE"/>
    <w:rsid w:val="00EC58AC"/>
    <w:rsid w:val="00EC7E02"/>
    <w:rsid w:val="00ED3426"/>
    <w:rsid w:val="00EE0F5F"/>
    <w:rsid w:val="00EE1729"/>
    <w:rsid w:val="00EE75EA"/>
    <w:rsid w:val="00EF4C3D"/>
    <w:rsid w:val="00EF723C"/>
    <w:rsid w:val="00F151E9"/>
    <w:rsid w:val="00F2675F"/>
    <w:rsid w:val="00F34146"/>
    <w:rsid w:val="00F358A1"/>
    <w:rsid w:val="00F50823"/>
    <w:rsid w:val="00F64D51"/>
    <w:rsid w:val="00F84DE6"/>
    <w:rsid w:val="00F86968"/>
    <w:rsid w:val="00FB147E"/>
    <w:rsid w:val="00FB34DA"/>
    <w:rsid w:val="00FB7BFF"/>
    <w:rsid w:val="00FC0209"/>
    <w:rsid w:val="00FE17AC"/>
    <w:rsid w:val="00FE6955"/>
    <w:rsid w:val="00FE6FA6"/>
    <w:rsid w:val="00FF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699E"/>
  <w15:chartTrackingRefBased/>
  <w15:docId w15:val="{72EFD50A-EC16-487C-BD93-4D8117DC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FB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40FB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40FB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40FB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40FB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0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FB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40F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40FB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40FB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40FB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0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FBD"/>
    <w:rPr>
      <w:rFonts w:eastAsiaTheme="majorEastAsia" w:cstheme="majorBidi"/>
      <w:color w:val="272727" w:themeColor="text1" w:themeTint="D8"/>
    </w:rPr>
  </w:style>
  <w:style w:type="paragraph" w:styleId="Title">
    <w:name w:val="Title"/>
    <w:basedOn w:val="Normal"/>
    <w:next w:val="Normal"/>
    <w:link w:val="TitleChar"/>
    <w:uiPriority w:val="10"/>
    <w:qFormat/>
    <w:rsid w:val="0014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FBD"/>
    <w:pPr>
      <w:spacing w:before="160"/>
      <w:jc w:val="center"/>
    </w:pPr>
    <w:rPr>
      <w:i/>
      <w:iCs/>
      <w:color w:val="404040" w:themeColor="text1" w:themeTint="BF"/>
    </w:rPr>
  </w:style>
  <w:style w:type="character" w:customStyle="1" w:styleId="QuoteChar">
    <w:name w:val="Quote Char"/>
    <w:basedOn w:val="DefaultParagraphFont"/>
    <w:link w:val="Quote"/>
    <w:uiPriority w:val="29"/>
    <w:rsid w:val="00140FBD"/>
    <w:rPr>
      <w:i/>
      <w:iCs/>
      <w:color w:val="404040" w:themeColor="text1" w:themeTint="BF"/>
    </w:rPr>
  </w:style>
  <w:style w:type="paragraph" w:styleId="ListParagraph">
    <w:name w:val="List Paragraph"/>
    <w:basedOn w:val="Normal"/>
    <w:uiPriority w:val="34"/>
    <w:qFormat/>
    <w:rsid w:val="00140FBD"/>
    <w:pPr>
      <w:ind w:left="720"/>
      <w:contextualSpacing/>
    </w:pPr>
  </w:style>
  <w:style w:type="character" w:styleId="IntenseEmphasis">
    <w:name w:val="Intense Emphasis"/>
    <w:basedOn w:val="DefaultParagraphFont"/>
    <w:uiPriority w:val="21"/>
    <w:qFormat/>
    <w:rsid w:val="00140FBD"/>
    <w:rPr>
      <w:i/>
      <w:iCs/>
      <w:color w:val="2E74B5" w:themeColor="accent1" w:themeShade="BF"/>
    </w:rPr>
  </w:style>
  <w:style w:type="paragraph" w:styleId="IntenseQuote">
    <w:name w:val="Intense Quote"/>
    <w:basedOn w:val="Normal"/>
    <w:next w:val="Normal"/>
    <w:link w:val="IntenseQuoteChar"/>
    <w:uiPriority w:val="30"/>
    <w:qFormat/>
    <w:rsid w:val="00140F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0FBD"/>
    <w:rPr>
      <w:i/>
      <w:iCs/>
      <w:color w:val="2E74B5" w:themeColor="accent1" w:themeShade="BF"/>
    </w:rPr>
  </w:style>
  <w:style w:type="character" w:styleId="IntenseReference">
    <w:name w:val="Intense Reference"/>
    <w:basedOn w:val="DefaultParagraphFont"/>
    <w:uiPriority w:val="32"/>
    <w:qFormat/>
    <w:rsid w:val="00140FBD"/>
    <w:rPr>
      <w:b/>
      <w:bCs/>
      <w:smallCaps/>
      <w:color w:val="2E74B5" w:themeColor="accent1" w:themeShade="BF"/>
      <w:spacing w:val="5"/>
    </w:rPr>
  </w:style>
  <w:style w:type="character" w:styleId="Hyperlink">
    <w:name w:val="Hyperlink"/>
    <w:basedOn w:val="DefaultParagraphFont"/>
    <w:uiPriority w:val="99"/>
    <w:unhideWhenUsed/>
    <w:rsid w:val="00140FBD"/>
    <w:rPr>
      <w:color w:val="0563C1" w:themeColor="hyperlink"/>
      <w:u w:val="single"/>
    </w:rPr>
  </w:style>
  <w:style w:type="character" w:styleId="UnresolvedMention">
    <w:name w:val="Unresolved Mention"/>
    <w:basedOn w:val="DefaultParagraphFont"/>
    <w:uiPriority w:val="99"/>
    <w:semiHidden/>
    <w:unhideWhenUsed/>
    <w:rsid w:val="00140FBD"/>
    <w:rPr>
      <w:color w:val="605E5C"/>
      <w:shd w:val="clear" w:color="auto" w:fill="E1DFDD"/>
    </w:rPr>
  </w:style>
  <w:style w:type="character" w:styleId="FollowedHyperlink">
    <w:name w:val="FollowedHyperlink"/>
    <w:basedOn w:val="DefaultParagraphFont"/>
    <w:uiPriority w:val="99"/>
    <w:semiHidden/>
    <w:unhideWhenUsed/>
    <w:rsid w:val="00D02FFB"/>
    <w:rPr>
      <w:color w:val="954F72" w:themeColor="followedHyperlink"/>
      <w:u w:val="single"/>
    </w:rPr>
  </w:style>
  <w:style w:type="paragraph" w:styleId="NormalWeb">
    <w:name w:val="Normal (Web)"/>
    <w:basedOn w:val="Normal"/>
    <w:uiPriority w:val="99"/>
    <w:semiHidden/>
    <w:unhideWhenUsed/>
    <w:rsid w:val="00BB44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761856">
      <w:bodyDiv w:val="1"/>
      <w:marLeft w:val="0"/>
      <w:marRight w:val="0"/>
      <w:marTop w:val="0"/>
      <w:marBottom w:val="0"/>
      <w:divBdr>
        <w:top w:val="none" w:sz="0" w:space="0" w:color="auto"/>
        <w:left w:val="none" w:sz="0" w:space="0" w:color="auto"/>
        <w:bottom w:val="none" w:sz="0" w:space="0" w:color="auto"/>
        <w:right w:val="none" w:sz="0" w:space="0" w:color="auto"/>
      </w:divBdr>
    </w:div>
    <w:div w:id="266160201">
      <w:bodyDiv w:val="1"/>
      <w:marLeft w:val="0"/>
      <w:marRight w:val="0"/>
      <w:marTop w:val="0"/>
      <w:marBottom w:val="0"/>
      <w:divBdr>
        <w:top w:val="none" w:sz="0" w:space="0" w:color="auto"/>
        <w:left w:val="none" w:sz="0" w:space="0" w:color="auto"/>
        <w:bottom w:val="none" w:sz="0" w:space="0" w:color="auto"/>
        <w:right w:val="none" w:sz="0" w:space="0" w:color="auto"/>
      </w:divBdr>
    </w:div>
    <w:div w:id="345719491">
      <w:bodyDiv w:val="1"/>
      <w:marLeft w:val="0"/>
      <w:marRight w:val="0"/>
      <w:marTop w:val="0"/>
      <w:marBottom w:val="0"/>
      <w:divBdr>
        <w:top w:val="none" w:sz="0" w:space="0" w:color="auto"/>
        <w:left w:val="none" w:sz="0" w:space="0" w:color="auto"/>
        <w:bottom w:val="none" w:sz="0" w:space="0" w:color="auto"/>
        <w:right w:val="none" w:sz="0" w:space="0" w:color="auto"/>
      </w:divBdr>
      <w:divsChild>
        <w:div w:id="1092434528">
          <w:marLeft w:val="0"/>
          <w:marRight w:val="0"/>
          <w:marTop w:val="0"/>
          <w:marBottom w:val="0"/>
          <w:divBdr>
            <w:top w:val="none" w:sz="0" w:space="0" w:color="auto"/>
            <w:left w:val="none" w:sz="0" w:space="0" w:color="auto"/>
            <w:bottom w:val="none" w:sz="0" w:space="0" w:color="auto"/>
            <w:right w:val="none" w:sz="0" w:space="0" w:color="auto"/>
          </w:divBdr>
          <w:divsChild>
            <w:div w:id="34282229">
              <w:marLeft w:val="0"/>
              <w:marRight w:val="0"/>
              <w:marTop w:val="0"/>
              <w:marBottom w:val="0"/>
              <w:divBdr>
                <w:top w:val="none" w:sz="0" w:space="0" w:color="auto"/>
                <w:left w:val="none" w:sz="0" w:space="0" w:color="auto"/>
                <w:bottom w:val="none" w:sz="0" w:space="0" w:color="auto"/>
                <w:right w:val="none" w:sz="0" w:space="0" w:color="auto"/>
              </w:divBdr>
              <w:divsChild>
                <w:div w:id="4662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33819">
      <w:bodyDiv w:val="1"/>
      <w:marLeft w:val="0"/>
      <w:marRight w:val="0"/>
      <w:marTop w:val="0"/>
      <w:marBottom w:val="0"/>
      <w:divBdr>
        <w:top w:val="none" w:sz="0" w:space="0" w:color="auto"/>
        <w:left w:val="none" w:sz="0" w:space="0" w:color="auto"/>
        <w:bottom w:val="none" w:sz="0" w:space="0" w:color="auto"/>
        <w:right w:val="none" w:sz="0" w:space="0" w:color="auto"/>
      </w:divBdr>
    </w:div>
    <w:div w:id="438988876">
      <w:bodyDiv w:val="1"/>
      <w:marLeft w:val="0"/>
      <w:marRight w:val="0"/>
      <w:marTop w:val="0"/>
      <w:marBottom w:val="0"/>
      <w:divBdr>
        <w:top w:val="none" w:sz="0" w:space="0" w:color="auto"/>
        <w:left w:val="none" w:sz="0" w:space="0" w:color="auto"/>
        <w:bottom w:val="none" w:sz="0" w:space="0" w:color="auto"/>
        <w:right w:val="none" w:sz="0" w:space="0" w:color="auto"/>
      </w:divBdr>
    </w:div>
    <w:div w:id="507209548">
      <w:bodyDiv w:val="1"/>
      <w:marLeft w:val="0"/>
      <w:marRight w:val="0"/>
      <w:marTop w:val="0"/>
      <w:marBottom w:val="0"/>
      <w:divBdr>
        <w:top w:val="none" w:sz="0" w:space="0" w:color="auto"/>
        <w:left w:val="none" w:sz="0" w:space="0" w:color="auto"/>
        <w:bottom w:val="none" w:sz="0" w:space="0" w:color="auto"/>
        <w:right w:val="none" w:sz="0" w:space="0" w:color="auto"/>
      </w:divBdr>
    </w:div>
    <w:div w:id="518784365">
      <w:bodyDiv w:val="1"/>
      <w:marLeft w:val="0"/>
      <w:marRight w:val="0"/>
      <w:marTop w:val="0"/>
      <w:marBottom w:val="0"/>
      <w:divBdr>
        <w:top w:val="none" w:sz="0" w:space="0" w:color="auto"/>
        <w:left w:val="none" w:sz="0" w:space="0" w:color="auto"/>
        <w:bottom w:val="none" w:sz="0" w:space="0" w:color="auto"/>
        <w:right w:val="none" w:sz="0" w:space="0" w:color="auto"/>
      </w:divBdr>
    </w:div>
    <w:div w:id="599215545">
      <w:bodyDiv w:val="1"/>
      <w:marLeft w:val="0"/>
      <w:marRight w:val="0"/>
      <w:marTop w:val="0"/>
      <w:marBottom w:val="0"/>
      <w:divBdr>
        <w:top w:val="none" w:sz="0" w:space="0" w:color="auto"/>
        <w:left w:val="none" w:sz="0" w:space="0" w:color="auto"/>
        <w:bottom w:val="none" w:sz="0" w:space="0" w:color="auto"/>
        <w:right w:val="none" w:sz="0" w:space="0" w:color="auto"/>
      </w:divBdr>
    </w:div>
    <w:div w:id="634068919">
      <w:bodyDiv w:val="1"/>
      <w:marLeft w:val="0"/>
      <w:marRight w:val="0"/>
      <w:marTop w:val="0"/>
      <w:marBottom w:val="0"/>
      <w:divBdr>
        <w:top w:val="none" w:sz="0" w:space="0" w:color="auto"/>
        <w:left w:val="none" w:sz="0" w:space="0" w:color="auto"/>
        <w:bottom w:val="none" w:sz="0" w:space="0" w:color="auto"/>
        <w:right w:val="none" w:sz="0" w:space="0" w:color="auto"/>
      </w:divBdr>
    </w:div>
    <w:div w:id="635139945">
      <w:bodyDiv w:val="1"/>
      <w:marLeft w:val="0"/>
      <w:marRight w:val="0"/>
      <w:marTop w:val="0"/>
      <w:marBottom w:val="0"/>
      <w:divBdr>
        <w:top w:val="none" w:sz="0" w:space="0" w:color="auto"/>
        <w:left w:val="none" w:sz="0" w:space="0" w:color="auto"/>
        <w:bottom w:val="none" w:sz="0" w:space="0" w:color="auto"/>
        <w:right w:val="none" w:sz="0" w:space="0" w:color="auto"/>
      </w:divBdr>
    </w:div>
    <w:div w:id="636836104">
      <w:bodyDiv w:val="1"/>
      <w:marLeft w:val="0"/>
      <w:marRight w:val="0"/>
      <w:marTop w:val="0"/>
      <w:marBottom w:val="0"/>
      <w:divBdr>
        <w:top w:val="none" w:sz="0" w:space="0" w:color="auto"/>
        <w:left w:val="none" w:sz="0" w:space="0" w:color="auto"/>
        <w:bottom w:val="none" w:sz="0" w:space="0" w:color="auto"/>
        <w:right w:val="none" w:sz="0" w:space="0" w:color="auto"/>
      </w:divBdr>
    </w:div>
    <w:div w:id="645627012">
      <w:bodyDiv w:val="1"/>
      <w:marLeft w:val="0"/>
      <w:marRight w:val="0"/>
      <w:marTop w:val="0"/>
      <w:marBottom w:val="0"/>
      <w:divBdr>
        <w:top w:val="none" w:sz="0" w:space="0" w:color="auto"/>
        <w:left w:val="none" w:sz="0" w:space="0" w:color="auto"/>
        <w:bottom w:val="none" w:sz="0" w:space="0" w:color="auto"/>
        <w:right w:val="none" w:sz="0" w:space="0" w:color="auto"/>
      </w:divBdr>
    </w:div>
    <w:div w:id="701592745">
      <w:bodyDiv w:val="1"/>
      <w:marLeft w:val="0"/>
      <w:marRight w:val="0"/>
      <w:marTop w:val="0"/>
      <w:marBottom w:val="0"/>
      <w:divBdr>
        <w:top w:val="none" w:sz="0" w:space="0" w:color="auto"/>
        <w:left w:val="none" w:sz="0" w:space="0" w:color="auto"/>
        <w:bottom w:val="none" w:sz="0" w:space="0" w:color="auto"/>
        <w:right w:val="none" w:sz="0" w:space="0" w:color="auto"/>
      </w:divBdr>
    </w:div>
    <w:div w:id="718359105">
      <w:bodyDiv w:val="1"/>
      <w:marLeft w:val="0"/>
      <w:marRight w:val="0"/>
      <w:marTop w:val="0"/>
      <w:marBottom w:val="0"/>
      <w:divBdr>
        <w:top w:val="none" w:sz="0" w:space="0" w:color="auto"/>
        <w:left w:val="none" w:sz="0" w:space="0" w:color="auto"/>
        <w:bottom w:val="none" w:sz="0" w:space="0" w:color="auto"/>
        <w:right w:val="none" w:sz="0" w:space="0" w:color="auto"/>
      </w:divBdr>
      <w:divsChild>
        <w:div w:id="810098121">
          <w:marLeft w:val="0"/>
          <w:marRight w:val="0"/>
          <w:marTop w:val="0"/>
          <w:marBottom w:val="0"/>
          <w:divBdr>
            <w:top w:val="none" w:sz="0" w:space="0" w:color="auto"/>
            <w:left w:val="none" w:sz="0" w:space="0" w:color="auto"/>
            <w:bottom w:val="none" w:sz="0" w:space="0" w:color="auto"/>
            <w:right w:val="none" w:sz="0" w:space="0" w:color="auto"/>
          </w:divBdr>
          <w:divsChild>
            <w:div w:id="360859110">
              <w:marLeft w:val="0"/>
              <w:marRight w:val="0"/>
              <w:marTop w:val="0"/>
              <w:marBottom w:val="0"/>
              <w:divBdr>
                <w:top w:val="none" w:sz="0" w:space="0" w:color="auto"/>
                <w:left w:val="none" w:sz="0" w:space="0" w:color="auto"/>
                <w:bottom w:val="none" w:sz="0" w:space="0" w:color="auto"/>
                <w:right w:val="none" w:sz="0" w:space="0" w:color="auto"/>
              </w:divBdr>
              <w:divsChild>
                <w:div w:id="1178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03407">
      <w:bodyDiv w:val="1"/>
      <w:marLeft w:val="0"/>
      <w:marRight w:val="0"/>
      <w:marTop w:val="0"/>
      <w:marBottom w:val="0"/>
      <w:divBdr>
        <w:top w:val="none" w:sz="0" w:space="0" w:color="auto"/>
        <w:left w:val="none" w:sz="0" w:space="0" w:color="auto"/>
        <w:bottom w:val="none" w:sz="0" w:space="0" w:color="auto"/>
        <w:right w:val="none" w:sz="0" w:space="0" w:color="auto"/>
      </w:divBdr>
    </w:div>
    <w:div w:id="929241367">
      <w:bodyDiv w:val="1"/>
      <w:marLeft w:val="0"/>
      <w:marRight w:val="0"/>
      <w:marTop w:val="0"/>
      <w:marBottom w:val="0"/>
      <w:divBdr>
        <w:top w:val="none" w:sz="0" w:space="0" w:color="auto"/>
        <w:left w:val="none" w:sz="0" w:space="0" w:color="auto"/>
        <w:bottom w:val="none" w:sz="0" w:space="0" w:color="auto"/>
        <w:right w:val="none" w:sz="0" w:space="0" w:color="auto"/>
      </w:divBdr>
    </w:div>
    <w:div w:id="991635409">
      <w:bodyDiv w:val="1"/>
      <w:marLeft w:val="0"/>
      <w:marRight w:val="0"/>
      <w:marTop w:val="0"/>
      <w:marBottom w:val="0"/>
      <w:divBdr>
        <w:top w:val="none" w:sz="0" w:space="0" w:color="auto"/>
        <w:left w:val="none" w:sz="0" w:space="0" w:color="auto"/>
        <w:bottom w:val="none" w:sz="0" w:space="0" w:color="auto"/>
        <w:right w:val="none" w:sz="0" w:space="0" w:color="auto"/>
      </w:divBdr>
    </w:div>
    <w:div w:id="1060246597">
      <w:bodyDiv w:val="1"/>
      <w:marLeft w:val="0"/>
      <w:marRight w:val="0"/>
      <w:marTop w:val="0"/>
      <w:marBottom w:val="0"/>
      <w:divBdr>
        <w:top w:val="none" w:sz="0" w:space="0" w:color="auto"/>
        <w:left w:val="none" w:sz="0" w:space="0" w:color="auto"/>
        <w:bottom w:val="none" w:sz="0" w:space="0" w:color="auto"/>
        <w:right w:val="none" w:sz="0" w:space="0" w:color="auto"/>
      </w:divBdr>
    </w:div>
    <w:div w:id="1228149911">
      <w:bodyDiv w:val="1"/>
      <w:marLeft w:val="0"/>
      <w:marRight w:val="0"/>
      <w:marTop w:val="0"/>
      <w:marBottom w:val="0"/>
      <w:divBdr>
        <w:top w:val="none" w:sz="0" w:space="0" w:color="auto"/>
        <w:left w:val="none" w:sz="0" w:space="0" w:color="auto"/>
        <w:bottom w:val="none" w:sz="0" w:space="0" w:color="auto"/>
        <w:right w:val="none" w:sz="0" w:space="0" w:color="auto"/>
      </w:divBdr>
    </w:div>
    <w:div w:id="1392845326">
      <w:bodyDiv w:val="1"/>
      <w:marLeft w:val="0"/>
      <w:marRight w:val="0"/>
      <w:marTop w:val="0"/>
      <w:marBottom w:val="0"/>
      <w:divBdr>
        <w:top w:val="none" w:sz="0" w:space="0" w:color="auto"/>
        <w:left w:val="none" w:sz="0" w:space="0" w:color="auto"/>
        <w:bottom w:val="none" w:sz="0" w:space="0" w:color="auto"/>
        <w:right w:val="none" w:sz="0" w:space="0" w:color="auto"/>
      </w:divBdr>
    </w:div>
    <w:div w:id="1451897404">
      <w:bodyDiv w:val="1"/>
      <w:marLeft w:val="0"/>
      <w:marRight w:val="0"/>
      <w:marTop w:val="0"/>
      <w:marBottom w:val="0"/>
      <w:divBdr>
        <w:top w:val="none" w:sz="0" w:space="0" w:color="auto"/>
        <w:left w:val="none" w:sz="0" w:space="0" w:color="auto"/>
        <w:bottom w:val="none" w:sz="0" w:space="0" w:color="auto"/>
        <w:right w:val="none" w:sz="0" w:space="0" w:color="auto"/>
      </w:divBdr>
    </w:div>
    <w:div w:id="1476335969">
      <w:bodyDiv w:val="1"/>
      <w:marLeft w:val="0"/>
      <w:marRight w:val="0"/>
      <w:marTop w:val="0"/>
      <w:marBottom w:val="0"/>
      <w:divBdr>
        <w:top w:val="none" w:sz="0" w:space="0" w:color="auto"/>
        <w:left w:val="none" w:sz="0" w:space="0" w:color="auto"/>
        <w:bottom w:val="none" w:sz="0" w:space="0" w:color="auto"/>
        <w:right w:val="none" w:sz="0" w:space="0" w:color="auto"/>
      </w:divBdr>
    </w:div>
    <w:div w:id="1529681775">
      <w:bodyDiv w:val="1"/>
      <w:marLeft w:val="0"/>
      <w:marRight w:val="0"/>
      <w:marTop w:val="0"/>
      <w:marBottom w:val="0"/>
      <w:divBdr>
        <w:top w:val="none" w:sz="0" w:space="0" w:color="auto"/>
        <w:left w:val="none" w:sz="0" w:space="0" w:color="auto"/>
        <w:bottom w:val="none" w:sz="0" w:space="0" w:color="auto"/>
        <w:right w:val="none" w:sz="0" w:space="0" w:color="auto"/>
      </w:divBdr>
    </w:div>
    <w:div w:id="1548839959">
      <w:bodyDiv w:val="1"/>
      <w:marLeft w:val="0"/>
      <w:marRight w:val="0"/>
      <w:marTop w:val="0"/>
      <w:marBottom w:val="0"/>
      <w:divBdr>
        <w:top w:val="none" w:sz="0" w:space="0" w:color="auto"/>
        <w:left w:val="none" w:sz="0" w:space="0" w:color="auto"/>
        <w:bottom w:val="none" w:sz="0" w:space="0" w:color="auto"/>
        <w:right w:val="none" w:sz="0" w:space="0" w:color="auto"/>
      </w:divBdr>
    </w:div>
    <w:div w:id="1559901924">
      <w:bodyDiv w:val="1"/>
      <w:marLeft w:val="0"/>
      <w:marRight w:val="0"/>
      <w:marTop w:val="0"/>
      <w:marBottom w:val="0"/>
      <w:divBdr>
        <w:top w:val="none" w:sz="0" w:space="0" w:color="auto"/>
        <w:left w:val="none" w:sz="0" w:space="0" w:color="auto"/>
        <w:bottom w:val="none" w:sz="0" w:space="0" w:color="auto"/>
        <w:right w:val="none" w:sz="0" w:space="0" w:color="auto"/>
      </w:divBdr>
    </w:div>
    <w:div w:id="1660186111">
      <w:bodyDiv w:val="1"/>
      <w:marLeft w:val="0"/>
      <w:marRight w:val="0"/>
      <w:marTop w:val="0"/>
      <w:marBottom w:val="0"/>
      <w:divBdr>
        <w:top w:val="none" w:sz="0" w:space="0" w:color="auto"/>
        <w:left w:val="none" w:sz="0" w:space="0" w:color="auto"/>
        <w:bottom w:val="none" w:sz="0" w:space="0" w:color="auto"/>
        <w:right w:val="none" w:sz="0" w:space="0" w:color="auto"/>
      </w:divBdr>
    </w:div>
    <w:div w:id="1685979533">
      <w:bodyDiv w:val="1"/>
      <w:marLeft w:val="0"/>
      <w:marRight w:val="0"/>
      <w:marTop w:val="0"/>
      <w:marBottom w:val="0"/>
      <w:divBdr>
        <w:top w:val="none" w:sz="0" w:space="0" w:color="auto"/>
        <w:left w:val="none" w:sz="0" w:space="0" w:color="auto"/>
        <w:bottom w:val="none" w:sz="0" w:space="0" w:color="auto"/>
        <w:right w:val="none" w:sz="0" w:space="0" w:color="auto"/>
      </w:divBdr>
    </w:div>
    <w:div w:id="1687906329">
      <w:bodyDiv w:val="1"/>
      <w:marLeft w:val="0"/>
      <w:marRight w:val="0"/>
      <w:marTop w:val="0"/>
      <w:marBottom w:val="0"/>
      <w:divBdr>
        <w:top w:val="none" w:sz="0" w:space="0" w:color="auto"/>
        <w:left w:val="none" w:sz="0" w:space="0" w:color="auto"/>
        <w:bottom w:val="none" w:sz="0" w:space="0" w:color="auto"/>
        <w:right w:val="none" w:sz="0" w:space="0" w:color="auto"/>
      </w:divBdr>
    </w:div>
    <w:div w:id="1698042592">
      <w:bodyDiv w:val="1"/>
      <w:marLeft w:val="0"/>
      <w:marRight w:val="0"/>
      <w:marTop w:val="0"/>
      <w:marBottom w:val="0"/>
      <w:divBdr>
        <w:top w:val="none" w:sz="0" w:space="0" w:color="auto"/>
        <w:left w:val="none" w:sz="0" w:space="0" w:color="auto"/>
        <w:bottom w:val="none" w:sz="0" w:space="0" w:color="auto"/>
        <w:right w:val="none" w:sz="0" w:space="0" w:color="auto"/>
      </w:divBdr>
    </w:div>
    <w:div w:id="1818061728">
      <w:bodyDiv w:val="1"/>
      <w:marLeft w:val="0"/>
      <w:marRight w:val="0"/>
      <w:marTop w:val="0"/>
      <w:marBottom w:val="0"/>
      <w:divBdr>
        <w:top w:val="none" w:sz="0" w:space="0" w:color="auto"/>
        <w:left w:val="none" w:sz="0" w:space="0" w:color="auto"/>
        <w:bottom w:val="none" w:sz="0" w:space="0" w:color="auto"/>
        <w:right w:val="none" w:sz="0" w:space="0" w:color="auto"/>
      </w:divBdr>
    </w:div>
    <w:div w:id="1844585819">
      <w:bodyDiv w:val="1"/>
      <w:marLeft w:val="0"/>
      <w:marRight w:val="0"/>
      <w:marTop w:val="0"/>
      <w:marBottom w:val="0"/>
      <w:divBdr>
        <w:top w:val="none" w:sz="0" w:space="0" w:color="auto"/>
        <w:left w:val="none" w:sz="0" w:space="0" w:color="auto"/>
        <w:bottom w:val="none" w:sz="0" w:space="0" w:color="auto"/>
        <w:right w:val="none" w:sz="0" w:space="0" w:color="auto"/>
      </w:divBdr>
      <w:divsChild>
        <w:div w:id="1534079005">
          <w:marLeft w:val="0"/>
          <w:marRight w:val="0"/>
          <w:marTop w:val="0"/>
          <w:marBottom w:val="0"/>
          <w:divBdr>
            <w:top w:val="none" w:sz="0" w:space="0" w:color="auto"/>
            <w:left w:val="none" w:sz="0" w:space="0" w:color="auto"/>
            <w:bottom w:val="none" w:sz="0" w:space="0" w:color="auto"/>
            <w:right w:val="none" w:sz="0" w:space="0" w:color="auto"/>
          </w:divBdr>
          <w:divsChild>
            <w:div w:id="1001198265">
              <w:marLeft w:val="0"/>
              <w:marRight w:val="0"/>
              <w:marTop w:val="0"/>
              <w:marBottom w:val="0"/>
              <w:divBdr>
                <w:top w:val="none" w:sz="0" w:space="0" w:color="auto"/>
                <w:left w:val="none" w:sz="0" w:space="0" w:color="auto"/>
                <w:bottom w:val="none" w:sz="0" w:space="0" w:color="auto"/>
                <w:right w:val="none" w:sz="0" w:space="0" w:color="auto"/>
              </w:divBdr>
              <w:divsChild>
                <w:div w:id="5702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52063">
      <w:bodyDiv w:val="1"/>
      <w:marLeft w:val="0"/>
      <w:marRight w:val="0"/>
      <w:marTop w:val="0"/>
      <w:marBottom w:val="0"/>
      <w:divBdr>
        <w:top w:val="none" w:sz="0" w:space="0" w:color="auto"/>
        <w:left w:val="none" w:sz="0" w:space="0" w:color="auto"/>
        <w:bottom w:val="none" w:sz="0" w:space="0" w:color="auto"/>
        <w:right w:val="none" w:sz="0" w:space="0" w:color="auto"/>
      </w:divBdr>
    </w:div>
    <w:div w:id="1928730927">
      <w:bodyDiv w:val="1"/>
      <w:marLeft w:val="0"/>
      <w:marRight w:val="0"/>
      <w:marTop w:val="0"/>
      <w:marBottom w:val="0"/>
      <w:divBdr>
        <w:top w:val="none" w:sz="0" w:space="0" w:color="auto"/>
        <w:left w:val="none" w:sz="0" w:space="0" w:color="auto"/>
        <w:bottom w:val="none" w:sz="0" w:space="0" w:color="auto"/>
        <w:right w:val="none" w:sz="0" w:space="0" w:color="auto"/>
      </w:divBdr>
    </w:div>
    <w:div w:id="2052921816">
      <w:bodyDiv w:val="1"/>
      <w:marLeft w:val="0"/>
      <w:marRight w:val="0"/>
      <w:marTop w:val="0"/>
      <w:marBottom w:val="0"/>
      <w:divBdr>
        <w:top w:val="none" w:sz="0" w:space="0" w:color="auto"/>
        <w:left w:val="none" w:sz="0" w:space="0" w:color="auto"/>
        <w:bottom w:val="none" w:sz="0" w:space="0" w:color="auto"/>
        <w:right w:val="none" w:sz="0" w:space="0" w:color="auto"/>
      </w:divBdr>
      <w:divsChild>
        <w:div w:id="415830067">
          <w:marLeft w:val="0"/>
          <w:marRight w:val="0"/>
          <w:marTop w:val="0"/>
          <w:marBottom w:val="0"/>
          <w:divBdr>
            <w:top w:val="none" w:sz="0" w:space="0" w:color="auto"/>
            <w:left w:val="none" w:sz="0" w:space="0" w:color="auto"/>
            <w:bottom w:val="none" w:sz="0" w:space="0" w:color="auto"/>
            <w:right w:val="none" w:sz="0" w:space="0" w:color="auto"/>
          </w:divBdr>
          <w:divsChild>
            <w:div w:id="801004221">
              <w:marLeft w:val="0"/>
              <w:marRight w:val="0"/>
              <w:marTop w:val="0"/>
              <w:marBottom w:val="0"/>
              <w:divBdr>
                <w:top w:val="none" w:sz="0" w:space="0" w:color="auto"/>
                <w:left w:val="none" w:sz="0" w:space="0" w:color="auto"/>
                <w:bottom w:val="none" w:sz="0" w:space="0" w:color="auto"/>
                <w:right w:val="none" w:sz="0" w:space="0" w:color="auto"/>
              </w:divBdr>
              <w:divsChild>
                <w:div w:id="3205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1232">
      <w:bodyDiv w:val="1"/>
      <w:marLeft w:val="0"/>
      <w:marRight w:val="0"/>
      <w:marTop w:val="0"/>
      <w:marBottom w:val="0"/>
      <w:divBdr>
        <w:top w:val="none" w:sz="0" w:space="0" w:color="auto"/>
        <w:left w:val="none" w:sz="0" w:space="0" w:color="auto"/>
        <w:bottom w:val="none" w:sz="0" w:space="0" w:color="auto"/>
        <w:right w:val="none" w:sz="0" w:space="0" w:color="auto"/>
      </w:divBdr>
    </w:div>
    <w:div w:id="2086411170">
      <w:bodyDiv w:val="1"/>
      <w:marLeft w:val="0"/>
      <w:marRight w:val="0"/>
      <w:marTop w:val="0"/>
      <w:marBottom w:val="0"/>
      <w:divBdr>
        <w:top w:val="none" w:sz="0" w:space="0" w:color="auto"/>
        <w:left w:val="none" w:sz="0" w:space="0" w:color="auto"/>
        <w:bottom w:val="none" w:sz="0" w:space="0" w:color="auto"/>
        <w:right w:val="none" w:sz="0" w:space="0" w:color="auto"/>
      </w:divBdr>
    </w:div>
    <w:div w:id="2108302338">
      <w:bodyDiv w:val="1"/>
      <w:marLeft w:val="0"/>
      <w:marRight w:val="0"/>
      <w:marTop w:val="0"/>
      <w:marBottom w:val="0"/>
      <w:divBdr>
        <w:top w:val="none" w:sz="0" w:space="0" w:color="auto"/>
        <w:left w:val="none" w:sz="0" w:space="0" w:color="auto"/>
        <w:bottom w:val="none" w:sz="0" w:space="0" w:color="auto"/>
        <w:right w:val="none" w:sz="0" w:space="0" w:color="auto"/>
      </w:divBdr>
    </w:div>
    <w:div w:id="211413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214/AJR.19.21958" TargetMode="External"/><Relationship Id="rId13" Type="http://schemas.openxmlformats.org/officeDocument/2006/relationships/hyperlink" Target="https://www.dicomstandard.org/about/" TargetMode="External"/><Relationship Id="rId18" Type="http://schemas.openxmlformats.org/officeDocument/2006/relationships/hyperlink" Target="https://doi.org/10.1016/j.jbi.2019.103188"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hhs.gov/hipaa/for-professionals/security/index.html" TargetMode="External"/><Relationship Id="rId7" Type="http://schemas.openxmlformats.org/officeDocument/2006/relationships/hyperlink" Target="https://doi.org/10.1016/j.maturitas.2018.04.008" TargetMode="External"/><Relationship Id="rId12" Type="http://schemas.openxmlformats.org/officeDocument/2006/relationships/hyperlink" Target="https://doi.org/10.3233/THC-161263" TargetMode="External"/><Relationship Id="rId17" Type="http://schemas.openxmlformats.org/officeDocument/2006/relationships/hyperlink" Target="https://healthit.gov/health-it-basics/benefits-health-it/"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nvd.nist.gov/vuln/detail/CVE-2026-24487" TargetMode="External"/><Relationship Id="rId20" Type="http://schemas.openxmlformats.org/officeDocument/2006/relationships/hyperlink" Target="https://www.hhs.gov/hipaa/for-professionals/privacy/guidance/minimum-necessary-requirement/index.html?utm_source=chatgpt.com" TargetMode="External"/><Relationship Id="rId1" Type="http://schemas.openxmlformats.org/officeDocument/2006/relationships/styles" Target="styles.xml"/><Relationship Id="rId6" Type="http://schemas.openxmlformats.org/officeDocument/2006/relationships/hyperlink" Target="https://pmc.ncbi.nlm.nih.gov/articles/PMC7575255/" TargetMode="External"/><Relationship Id="rId11" Type="http://schemas.openxmlformats.org/officeDocument/2006/relationships/hyperlink" Target="https://doi.org/10.1200/JOP.2011.000348" TargetMode="External"/><Relationship Id="rId24" Type="http://schemas.openxmlformats.org/officeDocument/2006/relationships/hyperlink" Target="https://www.youtube.com/watch?v=CgJIxTP8ydQ" TargetMode="External"/><Relationship Id="rId5" Type="http://schemas.openxmlformats.org/officeDocument/2006/relationships/hyperlink" Target="https://www.cms.gov/medicare/regulations-guidance/promoting-interoperability-programs?utm_source=chatgpt.com" TargetMode="External"/><Relationship Id="rId15" Type="http://schemas.openxmlformats.org/officeDocument/2006/relationships/hyperlink" Target="https://doi.org/10.6028/NIST.CSWP.29" TargetMode="External"/><Relationship Id="rId23" Type="http://schemas.openxmlformats.org/officeDocument/2006/relationships/hyperlink" Target="https://i.blackhat.com/EU-23/Presentations/EU-23-Yazdanmehr-Millions_of_Patient_Records_at_Risk.pdf" TargetMode="External"/><Relationship Id="rId10" Type="http://schemas.openxmlformats.org/officeDocument/2006/relationships/hyperlink" Target="https://doi.org/10.7326/M13-1531" TargetMode="External"/><Relationship Id="rId19" Type="http://schemas.openxmlformats.org/officeDocument/2006/relationships/hyperlink" Target="https://www.sentinelone.com/vulnerability-database/cve-2026-24487/" TargetMode="External"/><Relationship Id="rId4" Type="http://schemas.openxmlformats.org/officeDocument/2006/relationships/hyperlink" Target="https://care.io/blog/building-a-scalable-teleradiology-ecosystem-to-combat-burnout" TargetMode="External"/><Relationship Id="rId9" Type="http://schemas.openxmlformats.org/officeDocument/2006/relationships/hyperlink" Target="https://www.hl7.org/fhir/" TargetMode="External"/><Relationship Id="rId14" Type="http://schemas.openxmlformats.org/officeDocument/2006/relationships/hyperlink" Target="https://doi.org/10.6028/NIST.AI.100-1" TargetMode="External"/><Relationship Id="rId22" Type="http://schemas.openxmlformats.org/officeDocument/2006/relationships/hyperlink" Target="https://doi.org/10.1177/11786329231187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2</cp:revision>
  <cp:lastPrinted>2026-08-12T01:54:00Z</cp:lastPrinted>
  <dcterms:created xsi:type="dcterms:W3CDTF">2026-08-14T03:55:00Z</dcterms:created>
  <dcterms:modified xsi:type="dcterms:W3CDTF">2026-08-14T03:55:00Z</dcterms:modified>
</cp:coreProperties>
</file>