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82704" w14:textId="77777777" w:rsidR="00E52BAC" w:rsidRDefault="00E52BAC" w:rsidP="009A64DB">
      <w:pPr>
        <w:spacing w:line="480" w:lineRule="auto"/>
        <w:jc w:val="center"/>
        <w:rPr>
          <w:rFonts w:ascii="Times New Roman" w:hAnsi="Times New Roman" w:cs="Times New Roman"/>
          <w:b/>
          <w:bCs/>
          <w:sz w:val="24"/>
          <w:szCs w:val="24"/>
        </w:rPr>
      </w:pPr>
      <w:r w:rsidRPr="00E52BAC">
        <w:rPr>
          <w:rFonts w:ascii="Times New Roman" w:hAnsi="Times New Roman" w:cs="Times New Roman"/>
          <w:b/>
          <w:bCs/>
          <w:sz w:val="24"/>
          <w:szCs w:val="24"/>
        </w:rPr>
        <w:t>Meaningful Use to Secure Interoperability</w:t>
      </w:r>
    </w:p>
    <w:p w14:paraId="26DB6ADC" w14:textId="261485A7" w:rsidR="00E52BAC" w:rsidRDefault="00E52BAC" w:rsidP="009A64DB">
      <w:pPr>
        <w:spacing w:line="480" w:lineRule="auto"/>
        <w:jc w:val="center"/>
        <w:rPr>
          <w:rFonts w:ascii="Times New Roman" w:hAnsi="Times New Roman" w:cs="Times New Roman"/>
          <w:b/>
          <w:bCs/>
          <w:sz w:val="24"/>
          <w:szCs w:val="24"/>
        </w:rPr>
      </w:pPr>
      <w:r w:rsidRPr="00E52BAC">
        <w:rPr>
          <w:rFonts w:ascii="Times New Roman" w:hAnsi="Times New Roman" w:cs="Times New Roman"/>
          <w:b/>
          <w:bCs/>
          <w:sz w:val="24"/>
          <w:szCs w:val="24"/>
        </w:rPr>
        <w:t>Addressing Cybersecurity Risks in Healthcare</w:t>
      </w:r>
    </w:p>
    <w:p w14:paraId="60E7B53A" w14:textId="16A08357" w:rsidR="009A64DB" w:rsidRPr="004D0E21" w:rsidRDefault="009A64DB" w:rsidP="009A64DB">
      <w:pPr>
        <w:spacing w:line="480" w:lineRule="auto"/>
        <w:jc w:val="center"/>
        <w:rPr>
          <w:rFonts w:ascii="Times New Roman" w:hAnsi="Times New Roman" w:cs="Times New Roman"/>
          <w:sz w:val="24"/>
          <w:szCs w:val="24"/>
        </w:rPr>
      </w:pPr>
      <w:r>
        <w:rPr>
          <w:rFonts w:ascii="Times New Roman" w:hAnsi="Times New Roman" w:cs="Times New Roman"/>
          <w:sz w:val="24"/>
          <w:szCs w:val="24"/>
        </w:rPr>
        <w:t>Yatza Lo</w:t>
      </w:r>
      <w:r w:rsidRPr="00C46A0E">
        <w:rPr>
          <w:rFonts w:ascii="Times New Roman" w:hAnsi="Times New Roman" w:cs="Times New Roman"/>
          <w:sz w:val="24"/>
          <w:szCs w:val="24"/>
        </w:rPr>
        <w:br/>
        <w:t>School of Health Professions, Stony Brook University</w:t>
      </w:r>
      <w:r w:rsidRPr="00C46A0E">
        <w:rPr>
          <w:rFonts w:ascii="Times New Roman" w:hAnsi="Times New Roman" w:cs="Times New Roman"/>
          <w:sz w:val="24"/>
          <w:szCs w:val="24"/>
        </w:rPr>
        <w:br/>
      </w:r>
      <w:r w:rsidRPr="004D0E21">
        <w:rPr>
          <w:rFonts w:ascii="Times New Roman" w:hAnsi="Times New Roman" w:cs="Times New Roman"/>
          <w:sz w:val="24"/>
          <w:szCs w:val="24"/>
        </w:rPr>
        <w:t>HHA 503 - Healthcare Cybersecurity: Regulations, Confidentiality, and Privacy</w:t>
      </w:r>
    </w:p>
    <w:p w14:paraId="34204970" w14:textId="0A777FAE" w:rsidR="009A64DB" w:rsidRDefault="009A64DB" w:rsidP="009A64DB">
      <w:pPr>
        <w:spacing w:line="480" w:lineRule="auto"/>
        <w:jc w:val="center"/>
        <w:rPr>
          <w:rFonts w:ascii="Times New Roman" w:hAnsi="Times New Roman" w:cs="Times New Roman"/>
          <w:sz w:val="24"/>
          <w:szCs w:val="24"/>
        </w:rPr>
      </w:pPr>
      <w:r w:rsidRPr="004D0E21">
        <w:rPr>
          <w:rFonts w:ascii="Times New Roman" w:hAnsi="Times New Roman" w:cs="Times New Roman"/>
          <w:sz w:val="24"/>
          <w:szCs w:val="24"/>
        </w:rPr>
        <w:t>Professor Blake Benz</w:t>
      </w:r>
      <w:r w:rsidRPr="00C46A0E">
        <w:rPr>
          <w:rFonts w:ascii="Times New Roman" w:hAnsi="Times New Roman" w:cs="Times New Roman"/>
          <w:sz w:val="24"/>
          <w:szCs w:val="24"/>
        </w:rPr>
        <w:br/>
      </w:r>
      <w:r>
        <w:rPr>
          <w:rFonts w:ascii="Times New Roman" w:hAnsi="Times New Roman" w:cs="Times New Roman"/>
          <w:sz w:val="24"/>
          <w:szCs w:val="24"/>
        </w:rPr>
        <w:t xml:space="preserve">August </w:t>
      </w:r>
      <w:r w:rsidR="004516B1">
        <w:rPr>
          <w:rFonts w:ascii="Times New Roman" w:hAnsi="Times New Roman" w:cs="Times New Roman"/>
          <w:sz w:val="24"/>
          <w:szCs w:val="24"/>
        </w:rPr>
        <w:t>1</w:t>
      </w:r>
      <w:r w:rsidR="007D33D1">
        <w:rPr>
          <w:rFonts w:ascii="Times New Roman" w:hAnsi="Times New Roman" w:cs="Times New Roman"/>
          <w:sz w:val="24"/>
          <w:szCs w:val="24"/>
        </w:rPr>
        <w:t>3</w:t>
      </w:r>
      <w:r>
        <w:rPr>
          <w:rFonts w:ascii="Times New Roman" w:hAnsi="Times New Roman" w:cs="Times New Roman"/>
          <w:sz w:val="24"/>
          <w:szCs w:val="24"/>
        </w:rPr>
        <w:t>, 2026</w:t>
      </w:r>
    </w:p>
    <w:p w14:paraId="13FE856D" w14:textId="77777777" w:rsidR="009A64DB" w:rsidRDefault="009A64DB">
      <w:pPr>
        <w:rPr>
          <w:rFonts w:ascii="Times New Roman" w:hAnsi="Times New Roman" w:cs="Times New Roman"/>
          <w:sz w:val="24"/>
          <w:szCs w:val="24"/>
        </w:rPr>
      </w:pPr>
      <w:r>
        <w:rPr>
          <w:rFonts w:ascii="Times New Roman" w:hAnsi="Times New Roman" w:cs="Times New Roman"/>
          <w:sz w:val="24"/>
          <w:szCs w:val="24"/>
        </w:rPr>
        <w:br w:type="page"/>
      </w:r>
    </w:p>
    <w:p w14:paraId="77BB84A6" w14:textId="77777777" w:rsidR="004D6688" w:rsidRDefault="004D6688" w:rsidP="00AE0ACD">
      <w:pPr>
        <w:spacing w:line="480" w:lineRule="auto"/>
        <w:ind w:firstLine="720"/>
        <w:rPr>
          <w:rFonts w:ascii="Times New Roman" w:hAnsi="Times New Roman" w:cs="Times New Roman"/>
          <w:sz w:val="24"/>
          <w:szCs w:val="24"/>
        </w:rPr>
      </w:pPr>
      <w:r w:rsidRPr="004D6688">
        <w:rPr>
          <w:rFonts w:ascii="Times New Roman" w:hAnsi="Times New Roman" w:cs="Times New Roman"/>
          <w:sz w:val="24"/>
          <w:szCs w:val="24"/>
        </w:rPr>
        <w:lastRenderedPageBreak/>
        <w:t>The Health Information Technology for Economic and Clinical Health (HITECH) Act promoted electronic health record (EHR) adoption, while the Meaningful Use program provided financial incentives beginning in 2011 to expand EHR use. Meaningful Use encouraged technologies such as clinical decision support (CDS), computerized provider order entry (CPOE), electronic prescribing (e-prescribing), and health information exchange (HIE), improving access to health information and healthcare quality (Centers for Medicare &amp; Medicaid Services [CMS], 2023; Kan, 2011; Jones et al., 2014).</w:t>
      </w:r>
    </w:p>
    <w:p w14:paraId="39D7CF97" w14:textId="04703F4B" w:rsidR="00AE0ACD" w:rsidRDefault="00D027D4" w:rsidP="00AE0ACD">
      <w:pPr>
        <w:spacing w:line="480" w:lineRule="auto"/>
        <w:ind w:firstLine="720"/>
        <w:rPr>
          <w:rFonts w:ascii="Times New Roman" w:hAnsi="Times New Roman" w:cs="Times New Roman"/>
          <w:sz w:val="24"/>
          <w:szCs w:val="24"/>
        </w:rPr>
      </w:pPr>
      <w:r w:rsidRPr="00D027D4">
        <w:rPr>
          <w:rFonts w:ascii="Times New Roman" w:hAnsi="Times New Roman" w:cs="Times New Roman"/>
          <w:sz w:val="24"/>
          <w:szCs w:val="24"/>
        </w:rPr>
        <w:t>As healthcare organizations connected more systems, the number of access points and dependencies requiring protection increased</w:t>
      </w:r>
      <w:r>
        <w:rPr>
          <w:rFonts w:ascii="Times New Roman" w:hAnsi="Times New Roman" w:cs="Times New Roman"/>
          <w:sz w:val="24"/>
          <w:szCs w:val="24"/>
        </w:rPr>
        <w:t xml:space="preserve"> </w:t>
      </w:r>
      <w:r w:rsidR="00AE0ACD" w:rsidRPr="00685584">
        <w:rPr>
          <w:rFonts w:ascii="Times New Roman" w:hAnsi="Times New Roman" w:cs="Times New Roman"/>
          <w:sz w:val="24"/>
          <w:szCs w:val="24"/>
        </w:rPr>
        <w:t xml:space="preserve">(Office of the National Coordinator for Health Information Technology [ONC], 2026; Coventry &amp; </w:t>
      </w:r>
      <w:proofErr w:type="spellStart"/>
      <w:r w:rsidR="00AE0ACD" w:rsidRPr="00685584">
        <w:rPr>
          <w:rFonts w:ascii="Times New Roman" w:hAnsi="Times New Roman" w:cs="Times New Roman"/>
          <w:sz w:val="24"/>
          <w:szCs w:val="24"/>
        </w:rPr>
        <w:t>Branley</w:t>
      </w:r>
      <w:proofErr w:type="spellEnd"/>
      <w:r w:rsidR="00AE0ACD" w:rsidRPr="00685584">
        <w:rPr>
          <w:rFonts w:ascii="Times New Roman" w:hAnsi="Times New Roman" w:cs="Times New Roman"/>
          <w:sz w:val="24"/>
          <w:szCs w:val="24"/>
        </w:rPr>
        <w:t>, 2018). This create</w:t>
      </w:r>
      <w:r w:rsidR="00AE0ACD">
        <w:rPr>
          <w:rFonts w:ascii="Times New Roman" w:hAnsi="Times New Roman" w:cs="Times New Roman"/>
          <w:sz w:val="24"/>
          <w:szCs w:val="24"/>
        </w:rPr>
        <w:t xml:space="preserve">d </w:t>
      </w:r>
      <w:r w:rsidR="00AE0ACD" w:rsidRPr="00685584">
        <w:rPr>
          <w:rFonts w:ascii="Times New Roman" w:hAnsi="Times New Roman" w:cs="Times New Roman"/>
          <w:sz w:val="24"/>
          <w:szCs w:val="24"/>
        </w:rPr>
        <w:t>competing priorit</w:t>
      </w:r>
      <w:r w:rsidR="00AE0ACD">
        <w:rPr>
          <w:rFonts w:ascii="Times New Roman" w:hAnsi="Times New Roman" w:cs="Times New Roman"/>
          <w:sz w:val="24"/>
          <w:szCs w:val="24"/>
        </w:rPr>
        <w:t xml:space="preserve">ies </w:t>
      </w:r>
      <w:r w:rsidR="00AE0ACD" w:rsidRPr="00685584">
        <w:rPr>
          <w:rFonts w:ascii="Times New Roman" w:hAnsi="Times New Roman" w:cs="Times New Roman"/>
          <w:sz w:val="24"/>
          <w:szCs w:val="24"/>
        </w:rPr>
        <w:t xml:space="preserve">between interoperability and security. </w:t>
      </w:r>
      <w:r w:rsidR="00BA083B" w:rsidRPr="00BA083B">
        <w:rPr>
          <w:rFonts w:ascii="Times New Roman" w:hAnsi="Times New Roman" w:cs="Times New Roman"/>
          <w:sz w:val="24"/>
          <w:szCs w:val="24"/>
        </w:rPr>
        <w:t>The success of HITECH and Meaningful Use improved healthcare interoperability and access to clinical information, but also changed the nature of cybersecurity risk</w:t>
      </w:r>
      <w:r w:rsidR="009F4A14" w:rsidRPr="009F4A14">
        <w:rPr>
          <w:rFonts w:ascii="Times New Roman" w:hAnsi="Times New Roman" w:cs="Times New Roman"/>
          <w:sz w:val="24"/>
          <w:szCs w:val="24"/>
        </w:rPr>
        <w:t>. The resulting risks cannot be managed uniformly because interoperability creates different security dependencies depending on the technology and clinical workflow.</w:t>
      </w:r>
      <w:r w:rsidR="009F4A14">
        <w:rPr>
          <w:rFonts w:ascii="Times New Roman" w:hAnsi="Times New Roman" w:cs="Times New Roman"/>
          <w:sz w:val="24"/>
          <w:szCs w:val="24"/>
        </w:rPr>
        <w:t xml:space="preserve"> </w:t>
      </w:r>
      <w:r w:rsidR="00F22416" w:rsidRPr="00F22416">
        <w:rPr>
          <w:rFonts w:ascii="Times New Roman" w:hAnsi="Times New Roman" w:cs="Times New Roman"/>
          <w:sz w:val="24"/>
          <w:szCs w:val="24"/>
        </w:rPr>
        <w:t>This paper argues that the security consequences of interoperability vary by technology</w:t>
      </w:r>
      <w:r w:rsidR="00C371B9">
        <w:rPr>
          <w:rFonts w:ascii="Times New Roman" w:hAnsi="Times New Roman" w:cs="Times New Roman"/>
          <w:sz w:val="24"/>
          <w:szCs w:val="24"/>
        </w:rPr>
        <w:t xml:space="preserve">. </w:t>
      </w:r>
      <w:r w:rsidR="00DE0D42" w:rsidRPr="00C01996">
        <w:rPr>
          <w:rFonts w:ascii="Times New Roman" w:hAnsi="Times New Roman" w:cs="Times New Roman"/>
          <w:sz w:val="24"/>
          <w:szCs w:val="24"/>
        </w:rPr>
        <w:t>Digital Imaging and Communications in Medicine (DICOM)</w:t>
      </w:r>
      <w:r w:rsidR="00DE0D42">
        <w:rPr>
          <w:rFonts w:ascii="Times New Roman" w:hAnsi="Times New Roman" w:cs="Times New Roman"/>
          <w:sz w:val="24"/>
          <w:szCs w:val="24"/>
        </w:rPr>
        <w:t xml:space="preserve"> </w:t>
      </w:r>
      <w:r w:rsidR="00F22416" w:rsidRPr="00F22416">
        <w:rPr>
          <w:rFonts w:ascii="Times New Roman" w:hAnsi="Times New Roman" w:cs="Times New Roman"/>
          <w:sz w:val="24"/>
          <w:szCs w:val="24"/>
        </w:rPr>
        <w:t xml:space="preserve">creates significant integrity and availability concerns in interconnected imaging environments, while FHIR introduces distinct authorization and confidentiality risks through </w:t>
      </w:r>
      <w:r w:rsidR="002D52C6" w:rsidRPr="002D52C6">
        <w:rPr>
          <w:rFonts w:ascii="Times New Roman" w:hAnsi="Times New Roman" w:cs="Times New Roman"/>
          <w:sz w:val="24"/>
          <w:szCs w:val="24"/>
        </w:rPr>
        <w:t>application programming interface (API)</w:t>
      </w:r>
      <w:r w:rsidR="00F22416" w:rsidRPr="00F22416">
        <w:rPr>
          <w:rFonts w:ascii="Times New Roman" w:hAnsi="Times New Roman" w:cs="Times New Roman"/>
          <w:sz w:val="24"/>
          <w:szCs w:val="24"/>
        </w:rPr>
        <w:t>-based data exchange.</w:t>
      </w:r>
    </w:p>
    <w:p w14:paraId="6F87E837" w14:textId="7AD0A938" w:rsidR="00B61F77" w:rsidRDefault="00B61F77" w:rsidP="003B0FC8">
      <w:pPr>
        <w:spacing w:line="480" w:lineRule="auto"/>
        <w:ind w:firstLine="720"/>
        <w:rPr>
          <w:rFonts w:ascii="Times New Roman" w:hAnsi="Times New Roman" w:cs="Times New Roman"/>
          <w:sz w:val="24"/>
          <w:szCs w:val="24"/>
        </w:rPr>
      </w:pPr>
      <w:r w:rsidRPr="00B61F77">
        <w:rPr>
          <w:rFonts w:ascii="Times New Roman" w:hAnsi="Times New Roman" w:cs="Times New Roman"/>
          <w:sz w:val="24"/>
          <w:szCs w:val="24"/>
        </w:rPr>
        <w:t xml:space="preserve">DICOM has expanded remote access to diagnostic imaging through teleradiology, but interoperability with legacy systems creates additional security dependencies (CARE, 2025; NEMA, n.d.). Black Hat research identified 18.2 million records associated with internet-accessible DICOM servers in the United States, highlighting cybersecurity risks associated with </w:t>
      </w:r>
      <w:r w:rsidRPr="00B61F77">
        <w:rPr>
          <w:rFonts w:ascii="Times New Roman" w:hAnsi="Times New Roman" w:cs="Times New Roman"/>
          <w:sz w:val="24"/>
          <w:szCs w:val="24"/>
        </w:rPr>
        <w:lastRenderedPageBreak/>
        <w:t>legacy DICOM protocols (</w:t>
      </w:r>
      <w:proofErr w:type="spellStart"/>
      <w:r w:rsidRPr="00B61F77">
        <w:rPr>
          <w:rFonts w:ascii="Times New Roman" w:hAnsi="Times New Roman" w:cs="Times New Roman"/>
          <w:sz w:val="24"/>
          <w:szCs w:val="24"/>
        </w:rPr>
        <w:t>Yazdanmehr</w:t>
      </w:r>
      <w:proofErr w:type="spellEnd"/>
      <w:r w:rsidRPr="00B61F77">
        <w:rPr>
          <w:rFonts w:ascii="Times New Roman" w:hAnsi="Times New Roman" w:cs="Times New Roman"/>
          <w:sz w:val="24"/>
          <w:szCs w:val="24"/>
        </w:rPr>
        <w:t>, 2023a, 2023b). Because DICOM systems interact with picture archiving and communication system</w:t>
      </w:r>
      <w:r w:rsidR="00927515">
        <w:rPr>
          <w:rFonts w:ascii="Times New Roman" w:hAnsi="Times New Roman" w:cs="Times New Roman"/>
          <w:sz w:val="24"/>
          <w:szCs w:val="24"/>
        </w:rPr>
        <w:t xml:space="preserve">s </w:t>
      </w:r>
      <w:r w:rsidRPr="00B61F77">
        <w:rPr>
          <w:rFonts w:ascii="Times New Roman" w:hAnsi="Times New Roman" w:cs="Times New Roman"/>
          <w:sz w:val="24"/>
          <w:szCs w:val="24"/>
        </w:rPr>
        <w:t>(PACS) and other clinical technologies, a vulnerability in one imaging system can compromise clinical information beyond the affected system, potentially contributing to incorrect diagnoses or treatment decisions. More broadly, ransomware incidents can disrupt clinical systems, delay timely care, and, in severe cases, contribute to patient death (Computer Fraud &amp; Security, 2020).</w:t>
      </w:r>
    </w:p>
    <w:p w14:paraId="5FE919A1" w14:textId="2A650265" w:rsidR="00B231FA" w:rsidRDefault="00A94780" w:rsidP="00B231FA">
      <w:pPr>
        <w:spacing w:line="480" w:lineRule="auto"/>
        <w:ind w:firstLine="720"/>
        <w:rPr>
          <w:rFonts w:ascii="Times New Roman" w:hAnsi="Times New Roman" w:cs="Times New Roman"/>
          <w:sz w:val="24"/>
          <w:szCs w:val="24"/>
        </w:rPr>
      </w:pPr>
      <w:r w:rsidRPr="00A94780">
        <w:rPr>
          <w:rFonts w:ascii="Times New Roman" w:hAnsi="Times New Roman" w:cs="Times New Roman"/>
          <w:sz w:val="24"/>
          <w:szCs w:val="24"/>
        </w:rPr>
        <w:t xml:space="preserve">Fast Healthcare Interoperability Resources (FHIR) presents a different cybersecurity challenge by extending interoperability through API-based communication among EHR platforms, mobile applications, and patient portals (Health Level Seven International [HL7], 2023; </w:t>
      </w:r>
      <w:proofErr w:type="spellStart"/>
      <w:r w:rsidRPr="00A94780">
        <w:rPr>
          <w:rFonts w:ascii="Times New Roman" w:hAnsi="Times New Roman" w:cs="Times New Roman"/>
          <w:sz w:val="24"/>
          <w:szCs w:val="24"/>
        </w:rPr>
        <w:t>Saripalle</w:t>
      </w:r>
      <w:proofErr w:type="spellEnd"/>
      <w:r w:rsidRPr="00A94780">
        <w:rPr>
          <w:rFonts w:ascii="Times New Roman" w:hAnsi="Times New Roman" w:cs="Times New Roman"/>
          <w:sz w:val="24"/>
          <w:szCs w:val="24"/>
        </w:rPr>
        <w:t xml:space="preserve"> et al., 2019).</w:t>
      </w:r>
      <w:r>
        <w:rPr>
          <w:rFonts w:ascii="Times New Roman" w:hAnsi="Times New Roman" w:cs="Times New Roman"/>
          <w:sz w:val="24"/>
          <w:szCs w:val="24"/>
        </w:rPr>
        <w:t xml:space="preserve"> </w:t>
      </w:r>
      <w:r w:rsidR="00995584" w:rsidRPr="00995584">
        <w:rPr>
          <w:rFonts w:ascii="Times New Roman" w:hAnsi="Times New Roman" w:cs="Times New Roman"/>
          <w:sz w:val="24"/>
          <w:szCs w:val="24"/>
        </w:rPr>
        <w:t xml:space="preserve">This connectivity </w:t>
      </w:r>
      <w:r w:rsidR="001556E0">
        <w:rPr>
          <w:rFonts w:ascii="Times New Roman" w:hAnsi="Times New Roman" w:cs="Times New Roman"/>
          <w:sz w:val="24"/>
          <w:szCs w:val="24"/>
        </w:rPr>
        <w:t>i</w:t>
      </w:r>
      <w:r w:rsidR="001556E0" w:rsidRPr="001556E0">
        <w:rPr>
          <w:rFonts w:ascii="Times New Roman" w:hAnsi="Times New Roman" w:cs="Times New Roman"/>
          <w:sz w:val="24"/>
          <w:szCs w:val="24"/>
        </w:rPr>
        <w:t>ncrease</w:t>
      </w:r>
      <w:r w:rsidR="001248AE">
        <w:rPr>
          <w:rFonts w:ascii="Times New Roman" w:hAnsi="Times New Roman" w:cs="Times New Roman"/>
          <w:sz w:val="24"/>
          <w:szCs w:val="24"/>
        </w:rPr>
        <w:t>s</w:t>
      </w:r>
      <w:r w:rsidR="001556E0" w:rsidRPr="001556E0">
        <w:rPr>
          <w:rFonts w:ascii="Times New Roman" w:hAnsi="Times New Roman" w:cs="Times New Roman"/>
          <w:sz w:val="24"/>
          <w:szCs w:val="24"/>
        </w:rPr>
        <w:t xml:space="preserve"> the</w:t>
      </w:r>
      <w:r w:rsidR="00D5085C">
        <w:rPr>
          <w:rFonts w:ascii="Times New Roman" w:hAnsi="Times New Roman" w:cs="Times New Roman"/>
          <w:sz w:val="24"/>
          <w:szCs w:val="24"/>
        </w:rPr>
        <w:t xml:space="preserve"> </w:t>
      </w:r>
      <w:r w:rsidR="001556E0" w:rsidRPr="001556E0">
        <w:rPr>
          <w:rFonts w:ascii="Times New Roman" w:hAnsi="Times New Roman" w:cs="Times New Roman"/>
          <w:sz w:val="24"/>
          <w:szCs w:val="24"/>
        </w:rPr>
        <w:t>impact of an authorization failure</w:t>
      </w:r>
      <w:r w:rsidR="001556E0">
        <w:rPr>
          <w:rFonts w:ascii="Times New Roman" w:hAnsi="Times New Roman" w:cs="Times New Roman"/>
          <w:sz w:val="24"/>
          <w:szCs w:val="24"/>
        </w:rPr>
        <w:t xml:space="preserve"> </w:t>
      </w:r>
      <w:r w:rsidR="00995584" w:rsidRPr="00995584">
        <w:rPr>
          <w:rFonts w:ascii="Times New Roman" w:hAnsi="Times New Roman" w:cs="Times New Roman"/>
          <w:sz w:val="24"/>
          <w:szCs w:val="24"/>
        </w:rPr>
        <w:t>involving sensitive health information</w:t>
      </w:r>
      <w:r w:rsidR="00995584">
        <w:rPr>
          <w:rFonts w:ascii="Times New Roman" w:hAnsi="Times New Roman" w:cs="Times New Roman"/>
          <w:sz w:val="24"/>
          <w:szCs w:val="24"/>
        </w:rPr>
        <w:t xml:space="preserve">. </w:t>
      </w:r>
      <w:r w:rsidR="00AE0ACD" w:rsidRPr="00685584">
        <w:rPr>
          <w:rFonts w:ascii="Times New Roman" w:hAnsi="Times New Roman" w:cs="Times New Roman"/>
          <w:sz w:val="24"/>
          <w:szCs w:val="24"/>
        </w:rPr>
        <w:t xml:space="preserve">CVE-2026-24487 affected the </w:t>
      </w:r>
      <w:proofErr w:type="spellStart"/>
      <w:r w:rsidR="00AE0ACD" w:rsidRPr="00685584">
        <w:rPr>
          <w:rFonts w:ascii="Times New Roman" w:hAnsi="Times New Roman" w:cs="Times New Roman"/>
          <w:sz w:val="24"/>
          <w:szCs w:val="24"/>
        </w:rPr>
        <w:t>OpenEMR</w:t>
      </w:r>
      <w:proofErr w:type="spellEnd"/>
      <w:r w:rsidR="00AE0ACD" w:rsidRPr="00685584">
        <w:rPr>
          <w:rFonts w:ascii="Times New Roman" w:hAnsi="Times New Roman" w:cs="Times New Roman"/>
          <w:sz w:val="24"/>
          <w:szCs w:val="24"/>
        </w:rPr>
        <w:t xml:space="preserve"> FHIR </w:t>
      </w:r>
      <w:proofErr w:type="spellStart"/>
      <w:r w:rsidR="00AE0ACD" w:rsidRPr="00685584">
        <w:rPr>
          <w:rFonts w:ascii="Times New Roman" w:hAnsi="Times New Roman" w:cs="Times New Roman"/>
          <w:sz w:val="24"/>
          <w:szCs w:val="24"/>
        </w:rPr>
        <w:t>CareTeam</w:t>
      </w:r>
      <w:proofErr w:type="spellEnd"/>
      <w:r w:rsidR="00AE0ACD" w:rsidRPr="00685584">
        <w:rPr>
          <w:rFonts w:ascii="Times New Roman" w:hAnsi="Times New Roman" w:cs="Times New Roman"/>
          <w:sz w:val="24"/>
          <w:szCs w:val="24"/>
        </w:rPr>
        <w:t xml:space="preserve"> endpoint and allowed patient-scoped tokens to access care team data belonging to other patients (National Institute </w:t>
      </w:r>
      <w:r w:rsidR="007A138E">
        <w:rPr>
          <w:rFonts w:ascii="Times New Roman" w:hAnsi="Times New Roman" w:cs="Times New Roman"/>
          <w:sz w:val="24"/>
          <w:szCs w:val="24"/>
        </w:rPr>
        <w:t>of</w:t>
      </w:r>
      <w:r w:rsidR="00AE0ACD" w:rsidRPr="00685584">
        <w:rPr>
          <w:rFonts w:ascii="Times New Roman" w:hAnsi="Times New Roman" w:cs="Times New Roman"/>
          <w:sz w:val="24"/>
          <w:szCs w:val="24"/>
        </w:rPr>
        <w:t xml:space="preserve"> Standards and Technology [NIST], 2026; </w:t>
      </w:r>
      <w:proofErr w:type="spellStart"/>
      <w:r w:rsidR="00AE0ACD" w:rsidRPr="00685584">
        <w:rPr>
          <w:rFonts w:ascii="Times New Roman" w:hAnsi="Times New Roman" w:cs="Times New Roman"/>
          <w:sz w:val="24"/>
          <w:szCs w:val="24"/>
        </w:rPr>
        <w:t>SentinelOne</w:t>
      </w:r>
      <w:proofErr w:type="spellEnd"/>
      <w:r w:rsidR="00AE0ACD" w:rsidRPr="00685584">
        <w:rPr>
          <w:rFonts w:ascii="Times New Roman" w:hAnsi="Times New Roman" w:cs="Times New Roman"/>
          <w:sz w:val="24"/>
          <w:szCs w:val="24"/>
        </w:rPr>
        <w:t xml:space="preserve">, 2026). </w:t>
      </w:r>
      <w:r w:rsidR="00C76680" w:rsidRPr="00C76680">
        <w:rPr>
          <w:rFonts w:ascii="Times New Roman" w:hAnsi="Times New Roman" w:cs="Times New Roman"/>
          <w:sz w:val="24"/>
          <w:szCs w:val="24"/>
        </w:rPr>
        <w:t>Inadequate patient-level authorization can expose information across organizational and technological boundaries</w:t>
      </w:r>
      <w:r w:rsidR="00C4688B">
        <w:rPr>
          <w:rFonts w:ascii="Times New Roman" w:hAnsi="Times New Roman" w:cs="Times New Roman"/>
          <w:sz w:val="24"/>
          <w:szCs w:val="24"/>
        </w:rPr>
        <w:t xml:space="preserve"> and increase the risk of a data breach</w:t>
      </w:r>
      <w:r w:rsidR="00C76680" w:rsidRPr="00C76680">
        <w:rPr>
          <w:rFonts w:ascii="Times New Roman" w:hAnsi="Times New Roman" w:cs="Times New Roman"/>
          <w:sz w:val="24"/>
          <w:szCs w:val="24"/>
        </w:rPr>
        <w:t xml:space="preserve">. </w:t>
      </w:r>
      <w:r w:rsidR="00FB6266">
        <w:rPr>
          <w:rFonts w:ascii="Times New Roman" w:hAnsi="Times New Roman" w:cs="Times New Roman"/>
          <w:sz w:val="24"/>
          <w:szCs w:val="24"/>
        </w:rPr>
        <w:t xml:space="preserve">Transport Layer Security </w:t>
      </w:r>
      <w:r w:rsidR="007A138E">
        <w:rPr>
          <w:rFonts w:ascii="Times New Roman" w:hAnsi="Times New Roman" w:cs="Times New Roman"/>
          <w:sz w:val="24"/>
          <w:szCs w:val="24"/>
        </w:rPr>
        <w:t>(</w:t>
      </w:r>
      <w:r w:rsidR="00BA083B" w:rsidRPr="00BA083B">
        <w:rPr>
          <w:rFonts w:ascii="Times New Roman" w:hAnsi="Times New Roman" w:cs="Times New Roman"/>
          <w:sz w:val="24"/>
          <w:szCs w:val="24"/>
        </w:rPr>
        <w:t>TLS</w:t>
      </w:r>
      <w:r w:rsidR="007A138E">
        <w:rPr>
          <w:rFonts w:ascii="Times New Roman" w:hAnsi="Times New Roman" w:cs="Times New Roman"/>
          <w:sz w:val="24"/>
          <w:szCs w:val="24"/>
        </w:rPr>
        <w:t>)</w:t>
      </w:r>
      <w:r w:rsidR="00BA083B" w:rsidRPr="00BA083B">
        <w:rPr>
          <w:rFonts w:ascii="Times New Roman" w:hAnsi="Times New Roman" w:cs="Times New Roman"/>
          <w:sz w:val="24"/>
          <w:szCs w:val="24"/>
        </w:rPr>
        <w:t xml:space="preserve"> protects FHIR data in transit but does not determine whether an authenticated user is authorized to access a patient's data.</w:t>
      </w:r>
      <w:r w:rsidR="007F309B" w:rsidRPr="007F309B">
        <w:t xml:space="preserve"> </w:t>
      </w:r>
      <w:r w:rsidRPr="00A94780">
        <w:rPr>
          <w:rFonts w:ascii="Times New Roman" w:hAnsi="Times New Roman" w:cs="Times New Roman"/>
          <w:sz w:val="24"/>
          <w:szCs w:val="24"/>
        </w:rPr>
        <w:t>Therefore, patient-level authorization and role-based access control (RBAC) could have helped prevent the unauthorized access exhibited by CVE-2026-24487, while multi-factor authentication (MFA) strengthens authentication. These controls support Zero Trust best practices and align with the identity management, authentication, and access control outcomes of the NIST Cybersecurity Framework (CSF) 2.0 (</w:t>
      </w:r>
      <w:proofErr w:type="spellStart"/>
      <w:r w:rsidRPr="00A94780">
        <w:rPr>
          <w:rFonts w:ascii="Times New Roman" w:hAnsi="Times New Roman" w:cs="Times New Roman"/>
          <w:sz w:val="24"/>
          <w:szCs w:val="24"/>
        </w:rPr>
        <w:t>Vukotich</w:t>
      </w:r>
      <w:proofErr w:type="spellEnd"/>
      <w:r w:rsidRPr="00A94780">
        <w:rPr>
          <w:rFonts w:ascii="Times New Roman" w:hAnsi="Times New Roman" w:cs="Times New Roman"/>
          <w:sz w:val="24"/>
          <w:szCs w:val="24"/>
        </w:rPr>
        <w:t>, 2023; NIST, 2024).</w:t>
      </w:r>
    </w:p>
    <w:p w14:paraId="71C632B3" w14:textId="194AA6AE" w:rsidR="007F3865" w:rsidRDefault="00E171AC" w:rsidP="00B231FA">
      <w:pPr>
        <w:spacing w:line="480" w:lineRule="auto"/>
        <w:ind w:firstLine="720"/>
        <w:rPr>
          <w:rFonts w:ascii="Times New Roman" w:hAnsi="Times New Roman" w:cs="Times New Roman"/>
          <w:sz w:val="24"/>
          <w:szCs w:val="24"/>
        </w:rPr>
      </w:pPr>
      <w:r w:rsidRPr="00E171AC">
        <w:rPr>
          <w:rFonts w:ascii="Times New Roman" w:hAnsi="Times New Roman" w:cs="Times New Roman"/>
          <w:sz w:val="24"/>
          <w:szCs w:val="24"/>
        </w:rPr>
        <w:t>The DICOM research revealed that confidentiality controls alone are insufficient when the clinical risk involves image manipulation or service disruptions</w:t>
      </w:r>
      <w:r>
        <w:rPr>
          <w:rFonts w:ascii="Times New Roman" w:hAnsi="Times New Roman" w:cs="Times New Roman"/>
          <w:sz w:val="24"/>
          <w:szCs w:val="24"/>
        </w:rPr>
        <w:t xml:space="preserve">. </w:t>
      </w:r>
      <w:r w:rsidR="000D3D6E" w:rsidRPr="000D3D6E">
        <w:rPr>
          <w:rFonts w:ascii="Times New Roman" w:hAnsi="Times New Roman" w:cs="Times New Roman"/>
          <w:sz w:val="24"/>
          <w:szCs w:val="24"/>
        </w:rPr>
        <w:t xml:space="preserve">Network segmentation and </w:t>
      </w:r>
      <w:r w:rsidR="000D3D6E" w:rsidRPr="000D3D6E">
        <w:rPr>
          <w:rFonts w:ascii="Times New Roman" w:hAnsi="Times New Roman" w:cs="Times New Roman"/>
          <w:sz w:val="24"/>
          <w:szCs w:val="24"/>
        </w:rPr>
        <w:lastRenderedPageBreak/>
        <w:t>integrity monitoring address different stages of an attack by limiting lateral movement and detecting unauthorized changes to clinical information</w:t>
      </w:r>
      <w:r w:rsidR="000D3D6E" w:rsidRPr="000D3D6E">
        <w:rPr>
          <w:rFonts w:ascii="Times New Roman" w:hAnsi="Times New Roman" w:cs="Times New Roman"/>
          <w:sz w:val="24"/>
          <w:szCs w:val="24"/>
        </w:rPr>
        <w:t xml:space="preserve"> </w:t>
      </w:r>
      <w:r w:rsidR="00E23FF2" w:rsidRPr="00E23FF2">
        <w:rPr>
          <w:rFonts w:ascii="Times New Roman" w:hAnsi="Times New Roman" w:cs="Times New Roman"/>
          <w:sz w:val="24"/>
          <w:szCs w:val="24"/>
        </w:rPr>
        <w:t xml:space="preserve">(Desjardins et al., 2020; Coventry &amp; </w:t>
      </w:r>
      <w:proofErr w:type="spellStart"/>
      <w:r w:rsidR="00E23FF2" w:rsidRPr="00E23FF2">
        <w:rPr>
          <w:rFonts w:ascii="Times New Roman" w:hAnsi="Times New Roman" w:cs="Times New Roman"/>
          <w:sz w:val="24"/>
          <w:szCs w:val="24"/>
        </w:rPr>
        <w:t>Branley</w:t>
      </w:r>
      <w:proofErr w:type="spellEnd"/>
      <w:r w:rsidR="00E23FF2" w:rsidRPr="00E23FF2">
        <w:rPr>
          <w:rFonts w:ascii="Times New Roman" w:hAnsi="Times New Roman" w:cs="Times New Roman"/>
          <w:sz w:val="24"/>
          <w:szCs w:val="24"/>
        </w:rPr>
        <w:t xml:space="preserve">, 2018; Kruse et al., 2017; </w:t>
      </w:r>
      <w:proofErr w:type="spellStart"/>
      <w:r w:rsidR="00E23FF2" w:rsidRPr="00E23FF2">
        <w:rPr>
          <w:rFonts w:ascii="Times New Roman" w:hAnsi="Times New Roman" w:cs="Times New Roman"/>
          <w:sz w:val="24"/>
          <w:szCs w:val="24"/>
        </w:rPr>
        <w:t>Yazdanmehr</w:t>
      </w:r>
      <w:proofErr w:type="spellEnd"/>
      <w:r w:rsidR="00E23FF2" w:rsidRPr="00E23FF2">
        <w:rPr>
          <w:rFonts w:ascii="Times New Roman" w:hAnsi="Times New Roman" w:cs="Times New Roman"/>
          <w:sz w:val="24"/>
          <w:szCs w:val="24"/>
        </w:rPr>
        <w:t>, 2023a, 2023b).</w:t>
      </w:r>
      <w:r w:rsidR="005B0CE5">
        <w:rPr>
          <w:rFonts w:ascii="Times New Roman" w:hAnsi="Times New Roman" w:cs="Times New Roman"/>
          <w:sz w:val="24"/>
          <w:szCs w:val="24"/>
        </w:rPr>
        <w:t xml:space="preserve"> </w:t>
      </w:r>
    </w:p>
    <w:p w14:paraId="79DBF383" w14:textId="77777777" w:rsidR="00AD2D96" w:rsidRDefault="00AD2D96" w:rsidP="00830C2D">
      <w:pPr>
        <w:spacing w:line="480" w:lineRule="auto"/>
        <w:ind w:firstLine="720"/>
        <w:rPr>
          <w:rFonts w:ascii="Times New Roman" w:hAnsi="Times New Roman" w:cs="Times New Roman"/>
          <w:sz w:val="24"/>
          <w:szCs w:val="24"/>
        </w:rPr>
      </w:pPr>
      <w:r w:rsidRPr="00AD2D96">
        <w:rPr>
          <w:rFonts w:ascii="Times New Roman" w:hAnsi="Times New Roman" w:cs="Times New Roman"/>
          <w:sz w:val="24"/>
          <w:szCs w:val="24"/>
        </w:rPr>
        <w:t>DICOM and FHIR therefore demonstrate two different security consequences of interoperability: DICOM's dependence on interconnected imaging systems can increase the risk of unauthorized modification and service disruption, while FHIR's API-based data exchange can increase the consequences of inadequate patient-level authorization. Together, the DICOM and FHIR cases illustrate why interoperability should not be evaluated solely by whether systems can exchange information. The security implications depend on what is being exchanged, how systems authenticate and authorize access, how clinical data can be modified, and how dependent clinical workflows are on the availability of interconnected systems.</w:t>
      </w:r>
    </w:p>
    <w:p w14:paraId="609A2993" w14:textId="6745BFCC" w:rsidR="007A138E" w:rsidRDefault="006D60AE" w:rsidP="00830C2D">
      <w:pPr>
        <w:spacing w:line="480" w:lineRule="auto"/>
        <w:ind w:firstLine="720"/>
        <w:rPr>
          <w:rFonts w:ascii="Times New Roman" w:hAnsi="Times New Roman" w:cs="Times New Roman"/>
          <w:sz w:val="24"/>
          <w:szCs w:val="24"/>
        </w:rPr>
      </w:pPr>
      <w:r w:rsidRPr="006D60AE">
        <w:rPr>
          <w:rFonts w:ascii="Times New Roman" w:hAnsi="Times New Roman" w:cs="Times New Roman"/>
          <w:sz w:val="24"/>
          <w:szCs w:val="24"/>
        </w:rPr>
        <w:t xml:space="preserve">This cybersecurity challenge extends to AI-enabled clinical tools that rely on APIs, cloud services, and third-party applications. Organizations must assess how data, authentication, </w:t>
      </w:r>
      <w:r>
        <w:rPr>
          <w:rFonts w:ascii="Times New Roman" w:hAnsi="Times New Roman" w:cs="Times New Roman"/>
          <w:sz w:val="24"/>
          <w:szCs w:val="24"/>
        </w:rPr>
        <w:t xml:space="preserve">third-party </w:t>
      </w:r>
      <w:r w:rsidRPr="006D60AE">
        <w:rPr>
          <w:rFonts w:ascii="Times New Roman" w:hAnsi="Times New Roman" w:cs="Times New Roman"/>
          <w:sz w:val="24"/>
          <w:szCs w:val="24"/>
        </w:rPr>
        <w:t xml:space="preserve">vendors, and clinical dependencies interact across systems. </w:t>
      </w:r>
      <w:r w:rsidR="00CE7CFE" w:rsidRPr="00CE7CFE">
        <w:rPr>
          <w:rFonts w:ascii="Times New Roman" w:hAnsi="Times New Roman" w:cs="Times New Roman"/>
          <w:sz w:val="24"/>
          <w:szCs w:val="24"/>
        </w:rPr>
        <w:t>The NIST CSF</w:t>
      </w:r>
      <w:r w:rsidR="00A94780">
        <w:rPr>
          <w:rFonts w:ascii="Times New Roman" w:hAnsi="Times New Roman" w:cs="Times New Roman"/>
          <w:sz w:val="24"/>
          <w:szCs w:val="24"/>
        </w:rPr>
        <w:t xml:space="preserve"> </w:t>
      </w:r>
      <w:r w:rsidR="00CE7CFE" w:rsidRPr="00CE7CFE">
        <w:rPr>
          <w:rFonts w:ascii="Times New Roman" w:hAnsi="Times New Roman" w:cs="Times New Roman"/>
          <w:sz w:val="24"/>
          <w:szCs w:val="24"/>
        </w:rPr>
        <w:t>2.0 and Artificial Intelligence Risk Management Framework (AI RMF) 1.0</w:t>
      </w:r>
      <w:r w:rsidR="00CE7CFE">
        <w:rPr>
          <w:rFonts w:ascii="Times New Roman" w:hAnsi="Times New Roman" w:cs="Times New Roman"/>
          <w:sz w:val="24"/>
          <w:szCs w:val="24"/>
        </w:rPr>
        <w:t xml:space="preserve"> </w:t>
      </w:r>
      <w:r w:rsidRPr="006D60AE">
        <w:rPr>
          <w:rFonts w:ascii="Times New Roman" w:hAnsi="Times New Roman" w:cs="Times New Roman"/>
          <w:sz w:val="24"/>
          <w:szCs w:val="24"/>
        </w:rPr>
        <w:t>support this risk-based approach (NIST, 2023, 2024).</w:t>
      </w:r>
      <w:r>
        <w:rPr>
          <w:rFonts w:ascii="Times New Roman" w:hAnsi="Times New Roman" w:cs="Times New Roman"/>
          <w:sz w:val="24"/>
          <w:szCs w:val="24"/>
        </w:rPr>
        <w:t xml:space="preserve"> </w:t>
      </w:r>
      <w:r w:rsidR="007A138E" w:rsidRPr="007A138E">
        <w:rPr>
          <w:rFonts w:ascii="Times New Roman" w:hAnsi="Times New Roman" w:cs="Times New Roman"/>
          <w:sz w:val="24"/>
          <w:szCs w:val="24"/>
        </w:rPr>
        <w:t>Research involving 4,936 U.S. community hospitals found that engagement in health information exchange was associated with an increased probability of an information breach over time, suggesting that greater connectivity can introduce additional cybersecurity exposure (Choi, 2023).</w:t>
      </w:r>
    </w:p>
    <w:p w14:paraId="5EE81DB6" w14:textId="6B2409D5" w:rsidR="00832FD7" w:rsidRDefault="00B93518" w:rsidP="00830C2D">
      <w:pPr>
        <w:spacing w:line="480" w:lineRule="auto"/>
        <w:ind w:firstLine="720"/>
        <w:rPr>
          <w:rFonts w:ascii="Times New Roman" w:hAnsi="Times New Roman" w:cs="Times New Roman"/>
          <w:sz w:val="24"/>
          <w:szCs w:val="24"/>
        </w:rPr>
      </w:pPr>
      <w:r w:rsidRPr="00B93518">
        <w:rPr>
          <w:rFonts w:ascii="Times New Roman" w:hAnsi="Times New Roman" w:cs="Times New Roman"/>
          <w:sz w:val="24"/>
          <w:szCs w:val="24"/>
        </w:rPr>
        <w:t>Healthcare leaders and policymakers must apply risk-based practices, including system modernization, vendor oversight, and API governance</w:t>
      </w:r>
      <w:r>
        <w:rPr>
          <w:rFonts w:ascii="Times New Roman" w:hAnsi="Times New Roman" w:cs="Times New Roman"/>
          <w:sz w:val="24"/>
          <w:szCs w:val="24"/>
        </w:rPr>
        <w:t xml:space="preserve">. </w:t>
      </w:r>
      <w:r w:rsidR="00832FD7" w:rsidRPr="00832FD7">
        <w:rPr>
          <w:rFonts w:ascii="Times New Roman" w:hAnsi="Times New Roman" w:cs="Times New Roman"/>
          <w:sz w:val="24"/>
          <w:szCs w:val="24"/>
        </w:rPr>
        <w:t>Ultimately, interoperability should</w:t>
      </w:r>
      <w:r w:rsidR="00830C2D">
        <w:rPr>
          <w:rFonts w:ascii="Times New Roman" w:hAnsi="Times New Roman" w:cs="Times New Roman"/>
          <w:sz w:val="24"/>
          <w:szCs w:val="24"/>
        </w:rPr>
        <w:t xml:space="preserve"> </w:t>
      </w:r>
      <w:r w:rsidR="00832FD7" w:rsidRPr="00832FD7">
        <w:rPr>
          <w:rFonts w:ascii="Times New Roman" w:hAnsi="Times New Roman" w:cs="Times New Roman"/>
          <w:sz w:val="24"/>
          <w:szCs w:val="24"/>
        </w:rPr>
        <w:t>be measured not only by how much information can be exchanged, but also by whether that information and the systems that deliver it can be trusted when patient care depends on them.</w:t>
      </w:r>
    </w:p>
    <w:p w14:paraId="449504FD" w14:textId="7A2E57B8" w:rsidR="00AE0ACD" w:rsidRPr="00D4429E" w:rsidRDefault="00AE0ACD" w:rsidP="00832FD7">
      <w:pPr>
        <w:spacing w:line="480" w:lineRule="auto"/>
        <w:rPr>
          <w:rFonts w:ascii="Times New Roman" w:hAnsi="Times New Roman" w:cs="Times New Roman"/>
          <w:b/>
          <w:bCs/>
          <w:sz w:val="24"/>
          <w:szCs w:val="24"/>
        </w:rPr>
      </w:pPr>
      <w:r w:rsidRPr="00D4429E">
        <w:rPr>
          <w:rFonts w:ascii="Times New Roman" w:hAnsi="Times New Roman" w:cs="Times New Roman"/>
          <w:b/>
          <w:bCs/>
          <w:sz w:val="24"/>
          <w:szCs w:val="24"/>
        </w:rPr>
        <w:lastRenderedPageBreak/>
        <w:t>References</w:t>
      </w:r>
    </w:p>
    <w:p w14:paraId="1587EC92" w14:textId="539BFCA7" w:rsidR="00074100" w:rsidRDefault="00AE0ACD" w:rsidP="00C26B03">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CARE. (202</w:t>
      </w:r>
      <w:r>
        <w:rPr>
          <w:rFonts w:ascii="Times New Roman" w:hAnsi="Times New Roman" w:cs="Times New Roman"/>
          <w:sz w:val="24"/>
          <w:szCs w:val="24"/>
        </w:rPr>
        <w:t>5</w:t>
      </w:r>
      <w:r w:rsidRPr="00D4429E">
        <w:rPr>
          <w:rFonts w:ascii="Times New Roman" w:hAnsi="Times New Roman" w:cs="Times New Roman"/>
          <w:sz w:val="24"/>
          <w:szCs w:val="24"/>
        </w:rPr>
        <w:t>). Building a scalable teleradiology ecosystem to combat burnout.</w:t>
      </w:r>
      <w:r w:rsidR="00C26B03">
        <w:rPr>
          <w:rFonts w:ascii="Times New Roman" w:hAnsi="Times New Roman" w:cs="Times New Roman"/>
          <w:sz w:val="24"/>
          <w:szCs w:val="24"/>
        </w:rPr>
        <w:t xml:space="preserve"> </w:t>
      </w:r>
      <w:hyperlink r:id="rId4" w:history="1">
        <w:r w:rsidR="003733FD" w:rsidRPr="00D4429E">
          <w:rPr>
            <w:rStyle w:val="Hyperlink"/>
            <w:rFonts w:ascii="Times New Roman" w:hAnsi="Times New Roman" w:cs="Times New Roman"/>
            <w:sz w:val="24"/>
            <w:szCs w:val="24"/>
          </w:rPr>
          <w:t>https://care.io/blog/building-a-scalable-teleradiology-ecosystem-to-combat-burnout</w:t>
        </w:r>
      </w:hyperlink>
    </w:p>
    <w:p w14:paraId="5ECE2EEE" w14:textId="4C81402D" w:rsidR="00AE0ACD"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Centers for Medicare &amp; Medicaid Services. (2023). Promoting interoperability programs. </w:t>
      </w:r>
      <w:hyperlink r:id="rId5" w:history="1">
        <w:r w:rsidRPr="00D4429E">
          <w:rPr>
            <w:rStyle w:val="Hyperlink"/>
            <w:rFonts w:ascii="Times New Roman" w:hAnsi="Times New Roman" w:cs="Times New Roman"/>
            <w:sz w:val="24"/>
            <w:szCs w:val="24"/>
          </w:rPr>
          <w:t>https://www.cms.gov/regulations-and-guidance/legislation/ehrincentiveprograms</w:t>
        </w:r>
      </w:hyperlink>
    </w:p>
    <w:p w14:paraId="29C06173" w14:textId="0771184F" w:rsidR="00CA355C" w:rsidRDefault="00CA355C" w:rsidP="00321642">
      <w:pPr>
        <w:spacing w:line="480" w:lineRule="auto"/>
        <w:ind w:left="720" w:hanging="720"/>
        <w:rPr>
          <w:rFonts w:ascii="Times New Roman" w:hAnsi="Times New Roman" w:cs="Times New Roman"/>
          <w:sz w:val="24"/>
          <w:szCs w:val="24"/>
        </w:rPr>
      </w:pPr>
      <w:r w:rsidRPr="00CA355C">
        <w:rPr>
          <w:rFonts w:ascii="Times New Roman" w:hAnsi="Times New Roman" w:cs="Times New Roman"/>
          <w:sz w:val="24"/>
          <w:szCs w:val="24"/>
        </w:rPr>
        <w:t xml:space="preserve">Choi, S. J., Chen, M., &amp; Tan, X. (2023). Assessing the impact of health information exchange on hospital data breach risk. </w:t>
      </w:r>
      <w:r w:rsidRPr="00CA355C">
        <w:rPr>
          <w:rFonts w:ascii="Times New Roman" w:hAnsi="Times New Roman" w:cs="Times New Roman"/>
          <w:i/>
          <w:iCs/>
          <w:sz w:val="24"/>
          <w:szCs w:val="24"/>
        </w:rPr>
        <w:t>International Journal of Medical Informatics, 177</w:t>
      </w:r>
      <w:r w:rsidRPr="00CA355C">
        <w:rPr>
          <w:rFonts w:ascii="Times New Roman" w:hAnsi="Times New Roman" w:cs="Times New Roman"/>
          <w:sz w:val="24"/>
          <w:szCs w:val="24"/>
        </w:rPr>
        <w:t xml:space="preserve">, 105149. </w:t>
      </w:r>
      <w:hyperlink r:id="rId6" w:history="1">
        <w:r w:rsidRPr="00914B74">
          <w:rPr>
            <w:rStyle w:val="Hyperlink"/>
            <w:rFonts w:ascii="Times New Roman" w:hAnsi="Times New Roman" w:cs="Times New Roman"/>
            <w:sz w:val="24"/>
            <w:szCs w:val="24"/>
          </w:rPr>
          <w:t>https://doi.org/10.1016/j.ijmedinf.2023.105149</w:t>
        </w:r>
      </w:hyperlink>
    </w:p>
    <w:p w14:paraId="26EB3DAC" w14:textId="0359DEAE" w:rsidR="00AE0ACD" w:rsidRPr="00D4429E"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Computer Fraud &amp; Security. (2020). Ransomware claims first fatality as healthcare under renewed assault. </w:t>
      </w:r>
      <w:r w:rsidRPr="00D4429E">
        <w:rPr>
          <w:rFonts w:ascii="Times New Roman" w:hAnsi="Times New Roman" w:cs="Times New Roman"/>
          <w:i/>
          <w:iCs/>
          <w:sz w:val="24"/>
          <w:szCs w:val="24"/>
        </w:rPr>
        <w:t>Computer Fraud &amp; Security, 2020</w:t>
      </w:r>
      <w:r w:rsidRPr="00D4429E">
        <w:rPr>
          <w:rFonts w:ascii="Times New Roman" w:hAnsi="Times New Roman" w:cs="Times New Roman"/>
          <w:sz w:val="24"/>
          <w:szCs w:val="24"/>
        </w:rPr>
        <w:t xml:space="preserve">(10), 1–3. </w:t>
      </w:r>
      <w:hyperlink r:id="rId7" w:history="1">
        <w:r w:rsidRPr="00D4429E">
          <w:rPr>
            <w:rStyle w:val="Hyperlink"/>
            <w:rFonts w:ascii="Times New Roman" w:hAnsi="Times New Roman" w:cs="Times New Roman"/>
            <w:sz w:val="24"/>
            <w:szCs w:val="24"/>
          </w:rPr>
          <w:t>https://pmc.ncbi.nlm.nih.gov/articles/PMC7575255/</w:t>
        </w:r>
      </w:hyperlink>
    </w:p>
    <w:p w14:paraId="29A9C7D4" w14:textId="77777777" w:rsidR="00AE0ACD" w:rsidRPr="00D4429E"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Coventry, L., &amp; </w:t>
      </w:r>
      <w:proofErr w:type="spellStart"/>
      <w:r w:rsidRPr="00D4429E">
        <w:rPr>
          <w:rFonts w:ascii="Times New Roman" w:hAnsi="Times New Roman" w:cs="Times New Roman"/>
          <w:sz w:val="24"/>
          <w:szCs w:val="24"/>
        </w:rPr>
        <w:t>Branley</w:t>
      </w:r>
      <w:proofErr w:type="spellEnd"/>
      <w:r w:rsidRPr="00D4429E">
        <w:rPr>
          <w:rFonts w:ascii="Times New Roman" w:hAnsi="Times New Roman" w:cs="Times New Roman"/>
          <w:sz w:val="24"/>
          <w:szCs w:val="24"/>
        </w:rPr>
        <w:t xml:space="preserve">, D. (2018). Cybersecurity in healthcare: A narrative review of trends, threats and ways forward. </w:t>
      </w:r>
      <w:proofErr w:type="spellStart"/>
      <w:r w:rsidRPr="00D4429E">
        <w:rPr>
          <w:rFonts w:ascii="Times New Roman" w:hAnsi="Times New Roman" w:cs="Times New Roman"/>
          <w:i/>
          <w:iCs/>
          <w:sz w:val="24"/>
          <w:szCs w:val="24"/>
        </w:rPr>
        <w:t>Maturitas</w:t>
      </w:r>
      <w:proofErr w:type="spellEnd"/>
      <w:r w:rsidRPr="00D4429E">
        <w:rPr>
          <w:rFonts w:ascii="Times New Roman" w:hAnsi="Times New Roman" w:cs="Times New Roman"/>
          <w:i/>
          <w:iCs/>
          <w:sz w:val="24"/>
          <w:szCs w:val="24"/>
        </w:rPr>
        <w:t>, 113</w:t>
      </w:r>
      <w:r w:rsidRPr="00D4429E">
        <w:rPr>
          <w:rFonts w:ascii="Times New Roman" w:hAnsi="Times New Roman" w:cs="Times New Roman"/>
          <w:sz w:val="24"/>
          <w:szCs w:val="24"/>
        </w:rPr>
        <w:t xml:space="preserve">, 48–52. </w:t>
      </w:r>
      <w:hyperlink r:id="rId8" w:history="1">
        <w:r w:rsidRPr="00D4429E">
          <w:rPr>
            <w:rStyle w:val="Hyperlink"/>
            <w:rFonts w:ascii="Times New Roman" w:hAnsi="Times New Roman" w:cs="Times New Roman"/>
            <w:sz w:val="24"/>
            <w:szCs w:val="24"/>
          </w:rPr>
          <w:t>https://doi.org/10.1016/j.maturitas.2018.04.008</w:t>
        </w:r>
      </w:hyperlink>
    </w:p>
    <w:p w14:paraId="7163C968" w14:textId="77777777" w:rsidR="00AE0ACD" w:rsidRPr="00D4429E"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Desjardins, B., Mirsky, Y., Ortiz, M. P., </w:t>
      </w:r>
      <w:proofErr w:type="spellStart"/>
      <w:r w:rsidRPr="00D4429E">
        <w:rPr>
          <w:rFonts w:ascii="Times New Roman" w:hAnsi="Times New Roman" w:cs="Times New Roman"/>
          <w:sz w:val="24"/>
          <w:szCs w:val="24"/>
        </w:rPr>
        <w:t>Glozman</w:t>
      </w:r>
      <w:proofErr w:type="spellEnd"/>
      <w:r w:rsidRPr="00D4429E">
        <w:rPr>
          <w:rFonts w:ascii="Times New Roman" w:hAnsi="Times New Roman" w:cs="Times New Roman"/>
          <w:sz w:val="24"/>
          <w:szCs w:val="24"/>
        </w:rPr>
        <w:t xml:space="preserve">, Z., Tarbox, L., Horn, R., &amp; Horii, S. C. (2020). DICOM images have been hacked! Now what? </w:t>
      </w:r>
      <w:r w:rsidRPr="00D4429E">
        <w:rPr>
          <w:rFonts w:ascii="Times New Roman" w:hAnsi="Times New Roman" w:cs="Times New Roman"/>
          <w:i/>
          <w:iCs/>
          <w:sz w:val="24"/>
          <w:szCs w:val="24"/>
        </w:rPr>
        <w:t>American Journal of Roentgenology, 214</w:t>
      </w:r>
      <w:r w:rsidRPr="00D4429E">
        <w:rPr>
          <w:rFonts w:ascii="Times New Roman" w:hAnsi="Times New Roman" w:cs="Times New Roman"/>
          <w:sz w:val="24"/>
          <w:szCs w:val="24"/>
        </w:rPr>
        <w:t xml:space="preserve">(4), 727–735. </w:t>
      </w:r>
      <w:hyperlink r:id="rId9" w:history="1">
        <w:r w:rsidRPr="00D4429E">
          <w:rPr>
            <w:rStyle w:val="Hyperlink"/>
            <w:rFonts w:ascii="Times New Roman" w:hAnsi="Times New Roman" w:cs="Times New Roman"/>
            <w:sz w:val="24"/>
            <w:szCs w:val="24"/>
          </w:rPr>
          <w:t>https://doi.org/10.2214/AJR.19.21958</w:t>
        </w:r>
      </w:hyperlink>
    </w:p>
    <w:p w14:paraId="1C32A03B" w14:textId="77777777" w:rsidR="00AE0ACD" w:rsidRPr="00D4429E"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Health Level Seven International. (2023). FHIR overview. </w:t>
      </w:r>
      <w:hyperlink r:id="rId10" w:history="1">
        <w:r w:rsidRPr="00D4429E">
          <w:rPr>
            <w:rStyle w:val="Hyperlink"/>
            <w:rFonts w:ascii="Times New Roman" w:hAnsi="Times New Roman" w:cs="Times New Roman"/>
            <w:sz w:val="24"/>
            <w:szCs w:val="24"/>
          </w:rPr>
          <w:t>https://www.hl7.org/fhir/</w:t>
        </w:r>
      </w:hyperlink>
    </w:p>
    <w:p w14:paraId="5D39BE3D" w14:textId="77777777" w:rsidR="00AE0ACD" w:rsidRPr="00D4429E"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Jones, S. S., Rudin, R. S., Perry, T., &amp; </w:t>
      </w:r>
      <w:proofErr w:type="spellStart"/>
      <w:r w:rsidRPr="00D4429E">
        <w:rPr>
          <w:rFonts w:ascii="Times New Roman" w:hAnsi="Times New Roman" w:cs="Times New Roman"/>
          <w:sz w:val="24"/>
          <w:szCs w:val="24"/>
        </w:rPr>
        <w:t>Shekelle</w:t>
      </w:r>
      <w:proofErr w:type="spellEnd"/>
      <w:r w:rsidRPr="00D4429E">
        <w:rPr>
          <w:rFonts w:ascii="Times New Roman" w:hAnsi="Times New Roman" w:cs="Times New Roman"/>
          <w:sz w:val="24"/>
          <w:szCs w:val="24"/>
        </w:rPr>
        <w:t xml:space="preserve">, P. G. (2014). Health information technology: An updated systematic review with a focus on meaningful use. </w:t>
      </w:r>
      <w:r w:rsidRPr="00D4429E">
        <w:rPr>
          <w:rFonts w:ascii="Times New Roman" w:hAnsi="Times New Roman" w:cs="Times New Roman"/>
          <w:i/>
          <w:iCs/>
          <w:sz w:val="24"/>
          <w:szCs w:val="24"/>
        </w:rPr>
        <w:t>Annals of Internal Medicine, 160</w:t>
      </w:r>
      <w:r w:rsidRPr="00D4429E">
        <w:rPr>
          <w:rFonts w:ascii="Times New Roman" w:hAnsi="Times New Roman" w:cs="Times New Roman"/>
          <w:sz w:val="24"/>
          <w:szCs w:val="24"/>
        </w:rPr>
        <w:t xml:space="preserve">(1), 48–54. </w:t>
      </w:r>
      <w:hyperlink r:id="rId11" w:history="1">
        <w:r w:rsidRPr="00D4429E">
          <w:rPr>
            <w:rStyle w:val="Hyperlink"/>
            <w:rFonts w:ascii="Times New Roman" w:hAnsi="Times New Roman" w:cs="Times New Roman"/>
            <w:sz w:val="24"/>
            <w:szCs w:val="24"/>
          </w:rPr>
          <w:t>https://doi.org/10.7326/M13-1531</w:t>
        </w:r>
      </w:hyperlink>
    </w:p>
    <w:p w14:paraId="0B441CF4" w14:textId="77777777" w:rsidR="00AE0ACD" w:rsidRPr="00D4429E"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lastRenderedPageBreak/>
        <w:t xml:space="preserve">Kan, J. T. (2011). The 2011 Medicare Electronic Health Records Incentive Program. </w:t>
      </w:r>
      <w:r w:rsidRPr="00D4429E">
        <w:rPr>
          <w:rFonts w:ascii="Times New Roman" w:hAnsi="Times New Roman" w:cs="Times New Roman"/>
          <w:i/>
          <w:iCs/>
          <w:sz w:val="24"/>
          <w:szCs w:val="24"/>
        </w:rPr>
        <w:t>Journal of Oncology Practice, 7</w:t>
      </w:r>
      <w:r w:rsidRPr="00D4429E">
        <w:rPr>
          <w:rFonts w:ascii="Times New Roman" w:hAnsi="Times New Roman" w:cs="Times New Roman"/>
          <w:sz w:val="24"/>
          <w:szCs w:val="24"/>
        </w:rPr>
        <w:t xml:space="preserve">(4), 271–272. </w:t>
      </w:r>
      <w:hyperlink r:id="rId12" w:history="1">
        <w:r w:rsidRPr="00D4429E">
          <w:rPr>
            <w:rStyle w:val="Hyperlink"/>
            <w:rFonts w:ascii="Times New Roman" w:hAnsi="Times New Roman" w:cs="Times New Roman"/>
            <w:sz w:val="24"/>
            <w:szCs w:val="24"/>
          </w:rPr>
          <w:t>https://doi.org/10.1200/JOP.2011.000348</w:t>
        </w:r>
      </w:hyperlink>
    </w:p>
    <w:p w14:paraId="4F177A9B" w14:textId="77777777" w:rsidR="00AE0ACD" w:rsidRPr="00D4429E"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Kruse, C. S., Frederick, B., Jacobson, T., &amp; </w:t>
      </w:r>
      <w:proofErr w:type="spellStart"/>
      <w:r w:rsidRPr="00D4429E">
        <w:rPr>
          <w:rFonts w:ascii="Times New Roman" w:hAnsi="Times New Roman" w:cs="Times New Roman"/>
          <w:sz w:val="24"/>
          <w:szCs w:val="24"/>
        </w:rPr>
        <w:t>Monticone</w:t>
      </w:r>
      <w:proofErr w:type="spellEnd"/>
      <w:r w:rsidRPr="00D4429E">
        <w:rPr>
          <w:rFonts w:ascii="Times New Roman" w:hAnsi="Times New Roman" w:cs="Times New Roman"/>
          <w:sz w:val="24"/>
          <w:szCs w:val="24"/>
        </w:rPr>
        <w:t xml:space="preserve">, D. K. (2017). Cybersecurity in healthcare: A systematic review of modern threats and trends. </w:t>
      </w:r>
      <w:r w:rsidRPr="00D4429E">
        <w:rPr>
          <w:rFonts w:ascii="Times New Roman" w:hAnsi="Times New Roman" w:cs="Times New Roman"/>
          <w:i/>
          <w:iCs/>
          <w:sz w:val="24"/>
          <w:szCs w:val="24"/>
        </w:rPr>
        <w:t>Technology and Health Care, 25</w:t>
      </w:r>
      <w:r w:rsidRPr="00D4429E">
        <w:rPr>
          <w:rFonts w:ascii="Times New Roman" w:hAnsi="Times New Roman" w:cs="Times New Roman"/>
          <w:sz w:val="24"/>
          <w:szCs w:val="24"/>
        </w:rPr>
        <w:t xml:space="preserve">(1), 1–10. </w:t>
      </w:r>
      <w:hyperlink r:id="rId13" w:history="1">
        <w:r w:rsidRPr="00D4429E">
          <w:rPr>
            <w:rStyle w:val="Hyperlink"/>
            <w:rFonts w:ascii="Times New Roman" w:hAnsi="Times New Roman" w:cs="Times New Roman"/>
            <w:sz w:val="24"/>
            <w:szCs w:val="24"/>
          </w:rPr>
          <w:t>https://doi.org/10.3233/THC-161263</w:t>
        </w:r>
      </w:hyperlink>
    </w:p>
    <w:p w14:paraId="52C76E77" w14:textId="77777777" w:rsidR="00AE0ACD" w:rsidRPr="00D4429E"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Electrical Manufacturers Association. (n.d.). About DICOM. DICOM Standard. </w:t>
      </w:r>
      <w:hyperlink r:id="rId14" w:history="1">
        <w:r w:rsidRPr="00D4429E">
          <w:rPr>
            <w:rStyle w:val="Hyperlink"/>
            <w:rFonts w:ascii="Times New Roman" w:hAnsi="Times New Roman" w:cs="Times New Roman"/>
            <w:sz w:val="24"/>
            <w:szCs w:val="24"/>
          </w:rPr>
          <w:t>https://www.dicomstandard.org/about/</w:t>
        </w:r>
      </w:hyperlink>
    </w:p>
    <w:p w14:paraId="47E5A31F" w14:textId="77777777" w:rsidR="00AE0ACD" w:rsidRPr="00D4429E"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Institute of Standards and Technology. (2023). </w:t>
      </w:r>
      <w:r w:rsidRPr="00D4429E">
        <w:rPr>
          <w:rFonts w:ascii="Times New Roman" w:hAnsi="Times New Roman" w:cs="Times New Roman"/>
          <w:i/>
          <w:iCs/>
          <w:sz w:val="24"/>
          <w:szCs w:val="24"/>
        </w:rPr>
        <w:t>Artificial intelligence risk management framework (AI RMF 1.0)</w:t>
      </w:r>
      <w:r w:rsidRPr="00D4429E">
        <w:rPr>
          <w:rFonts w:ascii="Times New Roman" w:hAnsi="Times New Roman" w:cs="Times New Roman"/>
          <w:sz w:val="24"/>
          <w:szCs w:val="24"/>
        </w:rPr>
        <w:t xml:space="preserve"> (NIST AI 100-1). U.S. Department of Commerce. </w:t>
      </w:r>
      <w:hyperlink r:id="rId15" w:history="1">
        <w:r w:rsidRPr="00D4429E">
          <w:rPr>
            <w:rStyle w:val="Hyperlink"/>
            <w:rFonts w:ascii="Times New Roman" w:hAnsi="Times New Roman" w:cs="Times New Roman"/>
            <w:sz w:val="24"/>
            <w:szCs w:val="24"/>
          </w:rPr>
          <w:t>https://doi.org/10.6028/NIST.AI.100-1</w:t>
        </w:r>
      </w:hyperlink>
    </w:p>
    <w:p w14:paraId="4FAFB893" w14:textId="77777777" w:rsidR="00AE0ACD" w:rsidRPr="00D4429E"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Institute of Standards and Technology. (2024). </w:t>
      </w:r>
      <w:r w:rsidRPr="00D4429E">
        <w:rPr>
          <w:rFonts w:ascii="Times New Roman" w:hAnsi="Times New Roman" w:cs="Times New Roman"/>
          <w:i/>
          <w:iCs/>
          <w:sz w:val="24"/>
          <w:szCs w:val="24"/>
        </w:rPr>
        <w:t>Cybersecurity framework (CSF) 2.0</w:t>
      </w:r>
      <w:r w:rsidRPr="00D4429E">
        <w:rPr>
          <w:rFonts w:ascii="Times New Roman" w:hAnsi="Times New Roman" w:cs="Times New Roman"/>
          <w:sz w:val="24"/>
          <w:szCs w:val="24"/>
        </w:rPr>
        <w:t xml:space="preserve">. U.S. Department of Commerce. </w:t>
      </w:r>
      <w:hyperlink r:id="rId16" w:history="1">
        <w:r w:rsidRPr="00D4429E">
          <w:rPr>
            <w:rStyle w:val="Hyperlink"/>
            <w:rFonts w:ascii="Times New Roman" w:hAnsi="Times New Roman" w:cs="Times New Roman"/>
            <w:sz w:val="24"/>
            <w:szCs w:val="24"/>
          </w:rPr>
          <w:t>https://doi.org/10.6028/NIST.CSWP.29</w:t>
        </w:r>
      </w:hyperlink>
    </w:p>
    <w:p w14:paraId="2348B0DA" w14:textId="77777777" w:rsidR="00AE0ACD" w:rsidRPr="00D4429E"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Institute of Standards and Technology. (2026). CVE-2026-24487 detail. National Vulnerability Database. </w:t>
      </w:r>
      <w:hyperlink r:id="rId17" w:history="1">
        <w:r w:rsidRPr="00D4429E">
          <w:rPr>
            <w:rStyle w:val="Hyperlink"/>
            <w:rFonts w:ascii="Times New Roman" w:hAnsi="Times New Roman" w:cs="Times New Roman"/>
            <w:sz w:val="24"/>
            <w:szCs w:val="24"/>
          </w:rPr>
          <w:t>https://nvd.nist.gov/vuln/detail/CVE-2026-24487</w:t>
        </w:r>
      </w:hyperlink>
    </w:p>
    <w:p w14:paraId="36B55FAE" w14:textId="77777777" w:rsidR="00AE0ACD" w:rsidRPr="00D4429E"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Office of the National Coordinator for Health Information Technology. (2026, April 1). Benefits of health IT. </w:t>
      </w:r>
      <w:hyperlink r:id="rId18" w:history="1">
        <w:r w:rsidRPr="00D4429E">
          <w:rPr>
            <w:rStyle w:val="Hyperlink"/>
            <w:rFonts w:ascii="Times New Roman" w:hAnsi="Times New Roman" w:cs="Times New Roman"/>
            <w:sz w:val="24"/>
            <w:szCs w:val="24"/>
          </w:rPr>
          <w:t>https://healthit.gov/health-it-basics/benefits-health-it/</w:t>
        </w:r>
      </w:hyperlink>
    </w:p>
    <w:p w14:paraId="672470CC" w14:textId="77777777" w:rsidR="00AE0ACD" w:rsidRPr="00D4429E" w:rsidRDefault="00AE0ACD" w:rsidP="00321642">
      <w:pPr>
        <w:spacing w:line="480" w:lineRule="auto"/>
        <w:ind w:left="720" w:hanging="720"/>
        <w:rPr>
          <w:rFonts w:ascii="Times New Roman" w:hAnsi="Times New Roman" w:cs="Times New Roman"/>
          <w:sz w:val="24"/>
          <w:szCs w:val="24"/>
        </w:rPr>
      </w:pPr>
      <w:proofErr w:type="spellStart"/>
      <w:r w:rsidRPr="00D4429E">
        <w:rPr>
          <w:rFonts w:ascii="Times New Roman" w:hAnsi="Times New Roman" w:cs="Times New Roman"/>
          <w:sz w:val="24"/>
          <w:szCs w:val="24"/>
        </w:rPr>
        <w:t>Saripalle</w:t>
      </w:r>
      <w:proofErr w:type="spellEnd"/>
      <w:r w:rsidRPr="00D4429E">
        <w:rPr>
          <w:rFonts w:ascii="Times New Roman" w:hAnsi="Times New Roman" w:cs="Times New Roman"/>
          <w:sz w:val="24"/>
          <w:szCs w:val="24"/>
        </w:rPr>
        <w:t xml:space="preserve">, R., Runyan, C., &amp; Russell, M. (2019). Using HL7 FHIR to achieve interoperability in patient health record. </w:t>
      </w:r>
      <w:r w:rsidRPr="00D4429E">
        <w:rPr>
          <w:rFonts w:ascii="Times New Roman" w:hAnsi="Times New Roman" w:cs="Times New Roman"/>
          <w:i/>
          <w:iCs/>
          <w:sz w:val="24"/>
          <w:szCs w:val="24"/>
        </w:rPr>
        <w:t>Journal of Biomedical Informatics, 94</w:t>
      </w:r>
      <w:r w:rsidRPr="00D4429E">
        <w:rPr>
          <w:rFonts w:ascii="Times New Roman" w:hAnsi="Times New Roman" w:cs="Times New Roman"/>
          <w:sz w:val="24"/>
          <w:szCs w:val="24"/>
        </w:rPr>
        <w:t xml:space="preserve">, Article 103188. </w:t>
      </w:r>
      <w:hyperlink r:id="rId19" w:history="1">
        <w:r w:rsidRPr="00D4429E">
          <w:rPr>
            <w:rStyle w:val="Hyperlink"/>
            <w:rFonts w:ascii="Times New Roman" w:hAnsi="Times New Roman" w:cs="Times New Roman"/>
            <w:sz w:val="24"/>
            <w:szCs w:val="24"/>
          </w:rPr>
          <w:t>https://doi.org/10.1016/j.jbi.2019.103188</w:t>
        </w:r>
      </w:hyperlink>
    </w:p>
    <w:p w14:paraId="7C083319" w14:textId="77777777" w:rsidR="00AE0ACD" w:rsidRPr="00D4429E" w:rsidRDefault="00AE0ACD" w:rsidP="00321642">
      <w:pPr>
        <w:spacing w:line="480" w:lineRule="auto"/>
        <w:ind w:left="720" w:hanging="720"/>
        <w:rPr>
          <w:rFonts w:ascii="Times New Roman" w:hAnsi="Times New Roman" w:cs="Times New Roman"/>
          <w:sz w:val="24"/>
          <w:szCs w:val="24"/>
        </w:rPr>
      </w:pPr>
      <w:proofErr w:type="spellStart"/>
      <w:r w:rsidRPr="00D4429E">
        <w:rPr>
          <w:rFonts w:ascii="Times New Roman" w:hAnsi="Times New Roman" w:cs="Times New Roman"/>
          <w:sz w:val="24"/>
          <w:szCs w:val="24"/>
        </w:rPr>
        <w:lastRenderedPageBreak/>
        <w:t>SentinelOne</w:t>
      </w:r>
      <w:proofErr w:type="spellEnd"/>
      <w:r w:rsidRPr="00D4429E">
        <w:rPr>
          <w:rFonts w:ascii="Times New Roman" w:hAnsi="Times New Roman" w:cs="Times New Roman"/>
          <w:sz w:val="24"/>
          <w:szCs w:val="24"/>
        </w:rPr>
        <w:t xml:space="preserve">. (2026, February 27). CVE-2026-24487: </w:t>
      </w:r>
      <w:proofErr w:type="spellStart"/>
      <w:r w:rsidRPr="00D4429E">
        <w:rPr>
          <w:rFonts w:ascii="Times New Roman" w:hAnsi="Times New Roman" w:cs="Times New Roman"/>
          <w:sz w:val="24"/>
          <w:szCs w:val="24"/>
        </w:rPr>
        <w:t>OpenEMR</w:t>
      </w:r>
      <w:proofErr w:type="spellEnd"/>
      <w:r w:rsidRPr="00D4429E">
        <w:rPr>
          <w:rFonts w:ascii="Times New Roman" w:hAnsi="Times New Roman" w:cs="Times New Roman"/>
          <w:sz w:val="24"/>
          <w:szCs w:val="24"/>
        </w:rPr>
        <w:t xml:space="preserve"> auth bypass vulnerability. </w:t>
      </w:r>
      <w:proofErr w:type="spellStart"/>
      <w:r w:rsidRPr="00D4429E">
        <w:rPr>
          <w:rFonts w:ascii="Times New Roman" w:hAnsi="Times New Roman" w:cs="Times New Roman"/>
          <w:sz w:val="24"/>
          <w:szCs w:val="24"/>
        </w:rPr>
        <w:t>SentinelOne</w:t>
      </w:r>
      <w:proofErr w:type="spellEnd"/>
      <w:r w:rsidRPr="00D4429E">
        <w:rPr>
          <w:rFonts w:ascii="Times New Roman" w:hAnsi="Times New Roman" w:cs="Times New Roman"/>
          <w:sz w:val="24"/>
          <w:szCs w:val="24"/>
        </w:rPr>
        <w:t xml:space="preserve"> Vulnerability Database. </w:t>
      </w:r>
      <w:hyperlink r:id="rId20" w:history="1">
        <w:r w:rsidRPr="00D4429E">
          <w:rPr>
            <w:rStyle w:val="Hyperlink"/>
            <w:rFonts w:ascii="Times New Roman" w:hAnsi="Times New Roman" w:cs="Times New Roman"/>
            <w:sz w:val="24"/>
            <w:szCs w:val="24"/>
          </w:rPr>
          <w:t>https://www.sentinelone.com/vulnerability-database/cve-2026-24487/</w:t>
        </w:r>
      </w:hyperlink>
    </w:p>
    <w:p w14:paraId="691FB5F4" w14:textId="77777777" w:rsidR="00AE0ACD" w:rsidRPr="00D4429E" w:rsidRDefault="00AE0ACD" w:rsidP="00321642">
      <w:pPr>
        <w:spacing w:line="480" w:lineRule="auto"/>
        <w:ind w:left="720" w:hanging="720"/>
        <w:rPr>
          <w:rFonts w:ascii="Times New Roman" w:hAnsi="Times New Roman" w:cs="Times New Roman"/>
          <w:sz w:val="24"/>
          <w:szCs w:val="24"/>
        </w:rPr>
      </w:pPr>
      <w:proofErr w:type="spellStart"/>
      <w:r w:rsidRPr="00D4429E">
        <w:rPr>
          <w:rFonts w:ascii="Times New Roman" w:hAnsi="Times New Roman" w:cs="Times New Roman"/>
          <w:sz w:val="24"/>
          <w:szCs w:val="24"/>
        </w:rPr>
        <w:t>Vukotich</w:t>
      </w:r>
      <w:proofErr w:type="spellEnd"/>
      <w:r w:rsidRPr="00D4429E">
        <w:rPr>
          <w:rFonts w:ascii="Times New Roman" w:hAnsi="Times New Roman" w:cs="Times New Roman"/>
          <w:sz w:val="24"/>
          <w:szCs w:val="24"/>
        </w:rPr>
        <w:t xml:space="preserve">, G. (2023). Healthcare and cybersecurity: Taking a </w:t>
      </w:r>
      <w:proofErr w:type="gramStart"/>
      <w:r w:rsidRPr="00D4429E">
        <w:rPr>
          <w:rFonts w:ascii="Times New Roman" w:hAnsi="Times New Roman" w:cs="Times New Roman"/>
          <w:sz w:val="24"/>
          <w:szCs w:val="24"/>
        </w:rPr>
        <w:t>zero trust</w:t>
      </w:r>
      <w:proofErr w:type="gramEnd"/>
      <w:r w:rsidRPr="00D4429E">
        <w:rPr>
          <w:rFonts w:ascii="Times New Roman" w:hAnsi="Times New Roman" w:cs="Times New Roman"/>
          <w:sz w:val="24"/>
          <w:szCs w:val="24"/>
        </w:rPr>
        <w:t xml:space="preserve"> approach. </w:t>
      </w:r>
      <w:r w:rsidRPr="00D4429E">
        <w:rPr>
          <w:rFonts w:ascii="Times New Roman" w:hAnsi="Times New Roman" w:cs="Times New Roman"/>
          <w:i/>
          <w:iCs/>
          <w:sz w:val="24"/>
          <w:szCs w:val="24"/>
        </w:rPr>
        <w:t>Health Services Insights, 16</w:t>
      </w:r>
      <w:r w:rsidRPr="00D4429E">
        <w:rPr>
          <w:rFonts w:ascii="Times New Roman" w:hAnsi="Times New Roman" w:cs="Times New Roman"/>
          <w:sz w:val="24"/>
          <w:szCs w:val="24"/>
        </w:rPr>
        <w:t xml:space="preserve">, 11786329231187826. </w:t>
      </w:r>
      <w:hyperlink r:id="rId21" w:history="1">
        <w:r w:rsidRPr="00D4429E">
          <w:rPr>
            <w:rStyle w:val="Hyperlink"/>
            <w:rFonts w:ascii="Times New Roman" w:hAnsi="Times New Roman" w:cs="Times New Roman"/>
            <w:sz w:val="24"/>
            <w:szCs w:val="24"/>
          </w:rPr>
          <w:t>https://doi.org/10.1177/11786329231187826</w:t>
        </w:r>
      </w:hyperlink>
    </w:p>
    <w:p w14:paraId="00944DE0" w14:textId="14782DC0" w:rsidR="00AE0ACD" w:rsidRDefault="00AE0ACD" w:rsidP="00321642">
      <w:pPr>
        <w:spacing w:line="480" w:lineRule="auto"/>
        <w:ind w:left="720" w:hanging="720"/>
        <w:rPr>
          <w:rFonts w:ascii="Times New Roman" w:hAnsi="Times New Roman" w:cs="Times New Roman"/>
          <w:sz w:val="24"/>
          <w:szCs w:val="24"/>
        </w:rPr>
      </w:pPr>
      <w:proofErr w:type="spellStart"/>
      <w:r w:rsidRPr="00101D12">
        <w:rPr>
          <w:rFonts w:ascii="Times New Roman" w:hAnsi="Times New Roman" w:cs="Times New Roman"/>
          <w:sz w:val="24"/>
          <w:szCs w:val="24"/>
        </w:rPr>
        <w:t>Yazdanmehr</w:t>
      </w:r>
      <w:proofErr w:type="spellEnd"/>
      <w:r w:rsidRPr="00101D12">
        <w:rPr>
          <w:rFonts w:ascii="Times New Roman" w:hAnsi="Times New Roman" w:cs="Times New Roman"/>
          <w:sz w:val="24"/>
          <w:szCs w:val="24"/>
        </w:rPr>
        <w:t>, S. (2023</w:t>
      </w:r>
      <w:r>
        <w:rPr>
          <w:rFonts w:ascii="Times New Roman" w:hAnsi="Times New Roman" w:cs="Times New Roman"/>
          <w:sz w:val="24"/>
          <w:szCs w:val="24"/>
        </w:rPr>
        <w:t>a</w:t>
      </w:r>
      <w:r w:rsidRPr="00101D12">
        <w:rPr>
          <w:rFonts w:ascii="Times New Roman" w:hAnsi="Times New Roman" w:cs="Times New Roman"/>
          <w:sz w:val="24"/>
          <w:szCs w:val="24"/>
        </w:rPr>
        <w:t xml:space="preserve">). </w:t>
      </w:r>
      <w:r w:rsidRPr="00101D12">
        <w:rPr>
          <w:rFonts w:ascii="Times New Roman" w:hAnsi="Times New Roman" w:cs="Times New Roman"/>
          <w:i/>
          <w:iCs/>
          <w:sz w:val="24"/>
          <w:szCs w:val="24"/>
        </w:rPr>
        <w:t>Millions of patient records at risk: The perils of legacy protocols</w:t>
      </w:r>
      <w:r w:rsidRPr="00101D12">
        <w:rPr>
          <w:rFonts w:ascii="Times New Roman" w:hAnsi="Times New Roman" w:cs="Times New Roman"/>
          <w:sz w:val="24"/>
          <w:szCs w:val="24"/>
        </w:rPr>
        <w:t xml:space="preserve"> </w:t>
      </w:r>
      <w:r w:rsidR="00883110">
        <w:rPr>
          <w:rFonts w:ascii="Times New Roman" w:hAnsi="Times New Roman" w:cs="Times New Roman"/>
          <w:sz w:val="24"/>
          <w:szCs w:val="24"/>
        </w:rPr>
        <w:t>[</w:t>
      </w:r>
      <w:r w:rsidRPr="00101D12">
        <w:rPr>
          <w:rFonts w:ascii="Times New Roman" w:hAnsi="Times New Roman" w:cs="Times New Roman"/>
          <w:sz w:val="24"/>
          <w:szCs w:val="24"/>
        </w:rPr>
        <w:t>Conference presentation</w:t>
      </w:r>
      <w:r w:rsidR="00883110">
        <w:rPr>
          <w:rFonts w:ascii="Times New Roman" w:hAnsi="Times New Roman" w:cs="Times New Roman"/>
          <w:sz w:val="24"/>
          <w:szCs w:val="24"/>
        </w:rPr>
        <w:t>]</w:t>
      </w:r>
      <w:r w:rsidRPr="00101D12">
        <w:rPr>
          <w:rFonts w:ascii="Times New Roman" w:hAnsi="Times New Roman" w:cs="Times New Roman"/>
          <w:sz w:val="24"/>
          <w:szCs w:val="24"/>
        </w:rPr>
        <w:t xml:space="preserve">. Black Hat Europe 2023. </w:t>
      </w:r>
      <w:hyperlink r:id="rId22" w:history="1">
        <w:r w:rsidRPr="00914B74">
          <w:rPr>
            <w:rStyle w:val="Hyperlink"/>
            <w:rFonts w:ascii="Times New Roman" w:hAnsi="Times New Roman" w:cs="Times New Roman"/>
            <w:sz w:val="24"/>
            <w:szCs w:val="24"/>
          </w:rPr>
          <w:t>https://i.blackhat.com/EU-23/Presentations/EU-23-Yazdanmehr-Millions_of_Patient_Records_at_Risk.pdf</w:t>
        </w:r>
      </w:hyperlink>
    </w:p>
    <w:p w14:paraId="547C43FE" w14:textId="003506CC" w:rsidR="00AE0ACD" w:rsidRDefault="00AE0ACD" w:rsidP="00321642">
      <w:pPr>
        <w:spacing w:line="480" w:lineRule="auto"/>
        <w:ind w:left="720" w:hanging="720"/>
        <w:rPr>
          <w:rFonts w:ascii="Times New Roman" w:hAnsi="Times New Roman" w:cs="Times New Roman"/>
          <w:sz w:val="24"/>
          <w:szCs w:val="24"/>
        </w:rPr>
      </w:pPr>
      <w:proofErr w:type="spellStart"/>
      <w:r w:rsidRPr="00D4429E">
        <w:rPr>
          <w:rFonts w:ascii="Times New Roman" w:hAnsi="Times New Roman" w:cs="Times New Roman"/>
          <w:sz w:val="24"/>
          <w:szCs w:val="24"/>
        </w:rPr>
        <w:t>Yazdanmehr</w:t>
      </w:r>
      <w:proofErr w:type="spellEnd"/>
      <w:r w:rsidRPr="00D4429E">
        <w:rPr>
          <w:rFonts w:ascii="Times New Roman" w:hAnsi="Times New Roman" w:cs="Times New Roman"/>
          <w:sz w:val="24"/>
          <w:szCs w:val="24"/>
        </w:rPr>
        <w:t>, S. (2023</w:t>
      </w:r>
      <w:r>
        <w:rPr>
          <w:rFonts w:ascii="Times New Roman" w:hAnsi="Times New Roman" w:cs="Times New Roman"/>
          <w:sz w:val="24"/>
          <w:szCs w:val="24"/>
        </w:rPr>
        <w:t>b</w:t>
      </w:r>
      <w:r w:rsidRPr="00D4429E">
        <w:rPr>
          <w:rFonts w:ascii="Times New Roman" w:hAnsi="Times New Roman" w:cs="Times New Roman"/>
          <w:sz w:val="24"/>
          <w:szCs w:val="24"/>
        </w:rPr>
        <w:t xml:space="preserve">). Millions of patient records at risk: The perils of legacy protocols </w:t>
      </w:r>
      <w:r w:rsidR="00883110">
        <w:rPr>
          <w:rFonts w:ascii="Times New Roman" w:hAnsi="Times New Roman" w:cs="Times New Roman"/>
          <w:sz w:val="24"/>
          <w:szCs w:val="24"/>
        </w:rPr>
        <w:t>[</w:t>
      </w:r>
      <w:r w:rsidRPr="00D4429E">
        <w:rPr>
          <w:rFonts w:ascii="Times New Roman" w:hAnsi="Times New Roman" w:cs="Times New Roman"/>
          <w:sz w:val="24"/>
          <w:szCs w:val="24"/>
        </w:rPr>
        <w:t>Video</w:t>
      </w:r>
      <w:r w:rsidR="00883110">
        <w:rPr>
          <w:rFonts w:ascii="Times New Roman" w:hAnsi="Times New Roman" w:cs="Times New Roman"/>
          <w:sz w:val="24"/>
          <w:szCs w:val="24"/>
        </w:rPr>
        <w:t>]</w:t>
      </w:r>
      <w:r w:rsidRPr="00D4429E">
        <w:rPr>
          <w:rFonts w:ascii="Times New Roman" w:hAnsi="Times New Roman" w:cs="Times New Roman"/>
          <w:sz w:val="24"/>
          <w:szCs w:val="24"/>
        </w:rPr>
        <w:t xml:space="preserve">. YouTube. </w:t>
      </w:r>
      <w:hyperlink r:id="rId23" w:history="1">
        <w:r w:rsidRPr="00D4429E">
          <w:rPr>
            <w:rStyle w:val="Hyperlink"/>
            <w:rFonts w:ascii="Times New Roman" w:hAnsi="Times New Roman" w:cs="Times New Roman"/>
            <w:sz w:val="24"/>
            <w:szCs w:val="24"/>
          </w:rPr>
          <w:t>https://www.youtube.com/watch?v=CgJIxTP8ydQ</w:t>
        </w:r>
      </w:hyperlink>
    </w:p>
    <w:p w14:paraId="033DA478" w14:textId="17AB85E3" w:rsidR="002035C7" w:rsidRPr="005F3FB0" w:rsidRDefault="00AE0ACD" w:rsidP="003216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ChatGPT was used to assist with grammar, spelling, punctuation, clarity, and verification of information and citations. The author reviewed and evaluated all suggestions and is responsible for the accuracy, content, and final submission of this paper.</w:t>
      </w:r>
    </w:p>
    <w:sectPr w:rsidR="002035C7" w:rsidRPr="005F3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FBD"/>
    <w:rsid w:val="00011B1E"/>
    <w:rsid w:val="00013BA7"/>
    <w:rsid w:val="000143EA"/>
    <w:rsid w:val="0002469A"/>
    <w:rsid w:val="0003119E"/>
    <w:rsid w:val="00034620"/>
    <w:rsid w:val="000373B6"/>
    <w:rsid w:val="00040BE2"/>
    <w:rsid w:val="00042C3F"/>
    <w:rsid w:val="0004490B"/>
    <w:rsid w:val="00061CBF"/>
    <w:rsid w:val="00063B11"/>
    <w:rsid w:val="00067F58"/>
    <w:rsid w:val="0007307D"/>
    <w:rsid w:val="00074100"/>
    <w:rsid w:val="00075176"/>
    <w:rsid w:val="000A05BF"/>
    <w:rsid w:val="000A334F"/>
    <w:rsid w:val="000A5E0E"/>
    <w:rsid w:val="000A64A3"/>
    <w:rsid w:val="000A79BB"/>
    <w:rsid w:val="000B09A0"/>
    <w:rsid w:val="000B468F"/>
    <w:rsid w:val="000C254E"/>
    <w:rsid w:val="000C6E32"/>
    <w:rsid w:val="000D3D6E"/>
    <w:rsid w:val="000D56D6"/>
    <w:rsid w:val="000E0C16"/>
    <w:rsid w:val="000E19F3"/>
    <w:rsid w:val="000E4340"/>
    <w:rsid w:val="000F59BE"/>
    <w:rsid w:val="000F5D03"/>
    <w:rsid w:val="00101D12"/>
    <w:rsid w:val="00116C92"/>
    <w:rsid w:val="00123596"/>
    <w:rsid w:val="001248AE"/>
    <w:rsid w:val="0013246B"/>
    <w:rsid w:val="00140FBD"/>
    <w:rsid w:val="00141038"/>
    <w:rsid w:val="00147074"/>
    <w:rsid w:val="00147A25"/>
    <w:rsid w:val="001556E0"/>
    <w:rsid w:val="0016504D"/>
    <w:rsid w:val="00171196"/>
    <w:rsid w:val="00175A5D"/>
    <w:rsid w:val="00177CE2"/>
    <w:rsid w:val="00192AC6"/>
    <w:rsid w:val="001A1154"/>
    <w:rsid w:val="001A37D1"/>
    <w:rsid w:val="001A55AD"/>
    <w:rsid w:val="001C6377"/>
    <w:rsid w:val="001D2191"/>
    <w:rsid w:val="001E561B"/>
    <w:rsid w:val="001E7AB3"/>
    <w:rsid w:val="002035C7"/>
    <w:rsid w:val="00215E1E"/>
    <w:rsid w:val="00233C95"/>
    <w:rsid w:val="002351B1"/>
    <w:rsid w:val="00246EA2"/>
    <w:rsid w:val="00250218"/>
    <w:rsid w:val="00264DDD"/>
    <w:rsid w:val="00274E54"/>
    <w:rsid w:val="0027648B"/>
    <w:rsid w:val="00284BE1"/>
    <w:rsid w:val="002A092F"/>
    <w:rsid w:val="002A44AC"/>
    <w:rsid w:val="002D46CC"/>
    <w:rsid w:val="002D52C6"/>
    <w:rsid w:val="002D67CB"/>
    <w:rsid w:val="002E3436"/>
    <w:rsid w:val="003141A2"/>
    <w:rsid w:val="0031791D"/>
    <w:rsid w:val="00321642"/>
    <w:rsid w:val="00327267"/>
    <w:rsid w:val="00332ADD"/>
    <w:rsid w:val="00332D0A"/>
    <w:rsid w:val="0033778E"/>
    <w:rsid w:val="00361B00"/>
    <w:rsid w:val="00367D28"/>
    <w:rsid w:val="00371BCC"/>
    <w:rsid w:val="003733FD"/>
    <w:rsid w:val="00373911"/>
    <w:rsid w:val="00375C9E"/>
    <w:rsid w:val="00381302"/>
    <w:rsid w:val="00391215"/>
    <w:rsid w:val="003919A9"/>
    <w:rsid w:val="003979BC"/>
    <w:rsid w:val="003A1B66"/>
    <w:rsid w:val="003A28C3"/>
    <w:rsid w:val="003B0FC8"/>
    <w:rsid w:val="003D5390"/>
    <w:rsid w:val="003E4616"/>
    <w:rsid w:val="00402707"/>
    <w:rsid w:val="00412493"/>
    <w:rsid w:val="00422069"/>
    <w:rsid w:val="004302C2"/>
    <w:rsid w:val="00432111"/>
    <w:rsid w:val="0043424D"/>
    <w:rsid w:val="00441FA6"/>
    <w:rsid w:val="00444D22"/>
    <w:rsid w:val="004469E6"/>
    <w:rsid w:val="004516B1"/>
    <w:rsid w:val="00454CA2"/>
    <w:rsid w:val="00456417"/>
    <w:rsid w:val="00463269"/>
    <w:rsid w:val="00471C50"/>
    <w:rsid w:val="00474049"/>
    <w:rsid w:val="00474992"/>
    <w:rsid w:val="00475AF6"/>
    <w:rsid w:val="00482916"/>
    <w:rsid w:val="00485036"/>
    <w:rsid w:val="00495877"/>
    <w:rsid w:val="004A0258"/>
    <w:rsid w:val="004B4052"/>
    <w:rsid w:val="004B6504"/>
    <w:rsid w:val="004D6688"/>
    <w:rsid w:val="004F0162"/>
    <w:rsid w:val="004F2402"/>
    <w:rsid w:val="00502C3A"/>
    <w:rsid w:val="00503ADA"/>
    <w:rsid w:val="00514EB0"/>
    <w:rsid w:val="00540FCD"/>
    <w:rsid w:val="00547933"/>
    <w:rsid w:val="00554620"/>
    <w:rsid w:val="005558A5"/>
    <w:rsid w:val="00570F3F"/>
    <w:rsid w:val="0057592A"/>
    <w:rsid w:val="00585AA6"/>
    <w:rsid w:val="00592E24"/>
    <w:rsid w:val="005945F4"/>
    <w:rsid w:val="005A4CC6"/>
    <w:rsid w:val="005A721A"/>
    <w:rsid w:val="005B0CE5"/>
    <w:rsid w:val="005C1DD4"/>
    <w:rsid w:val="005D1FE2"/>
    <w:rsid w:val="005D62CC"/>
    <w:rsid w:val="005E2451"/>
    <w:rsid w:val="005F088B"/>
    <w:rsid w:val="005F2904"/>
    <w:rsid w:val="005F3FB0"/>
    <w:rsid w:val="00605FB7"/>
    <w:rsid w:val="00606490"/>
    <w:rsid w:val="00616F26"/>
    <w:rsid w:val="00640303"/>
    <w:rsid w:val="0064071C"/>
    <w:rsid w:val="00643BD3"/>
    <w:rsid w:val="00650724"/>
    <w:rsid w:val="00652B1C"/>
    <w:rsid w:val="0065654B"/>
    <w:rsid w:val="00656E3C"/>
    <w:rsid w:val="006657DA"/>
    <w:rsid w:val="00665AEF"/>
    <w:rsid w:val="00670D32"/>
    <w:rsid w:val="00673D52"/>
    <w:rsid w:val="0069346D"/>
    <w:rsid w:val="00693F7B"/>
    <w:rsid w:val="00696B2E"/>
    <w:rsid w:val="006B4B9B"/>
    <w:rsid w:val="006C193B"/>
    <w:rsid w:val="006C364E"/>
    <w:rsid w:val="006D5F07"/>
    <w:rsid w:val="006D60AE"/>
    <w:rsid w:val="006E15A7"/>
    <w:rsid w:val="006E3E11"/>
    <w:rsid w:val="006F4B5D"/>
    <w:rsid w:val="00702E7E"/>
    <w:rsid w:val="007045E5"/>
    <w:rsid w:val="00712E2C"/>
    <w:rsid w:val="00726902"/>
    <w:rsid w:val="00726B8B"/>
    <w:rsid w:val="0073660C"/>
    <w:rsid w:val="00736CC9"/>
    <w:rsid w:val="00740F73"/>
    <w:rsid w:val="0074474D"/>
    <w:rsid w:val="00747607"/>
    <w:rsid w:val="00751872"/>
    <w:rsid w:val="00770475"/>
    <w:rsid w:val="00772156"/>
    <w:rsid w:val="007727F2"/>
    <w:rsid w:val="00790531"/>
    <w:rsid w:val="00792FFF"/>
    <w:rsid w:val="00796590"/>
    <w:rsid w:val="00797620"/>
    <w:rsid w:val="007A08B7"/>
    <w:rsid w:val="007A138E"/>
    <w:rsid w:val="007B06BA"/>
    <w:rsid w:val="007C1D10"/>
    <w:rsid w:val="007C535E"/>
    <w:rsid w:val="007D309F"/>
    <w:rsid w:val="007D33D1"/>
    <w:rsid w:val="007D462D"/>
    <w:rsid w:val="007E24A5"/>
    <w:rsid w:val="007E3A33"/>
    <w:rsid w:val="007E4FBE"/>
    <w:rsid w:val="007F309B"/>
    <w:rsid w:val="007F3865"/>
    <w:rsid w:val="007F4D2B"/>
    <w:rsid w:val="00800DB6"/>
    <w:rsid w:val="00810E23"/>
    <w:rsid w:val="00830C2D"/>
    <w:rsid w:val="00832FD7"/>
    <w:rsid w:val="00843F59"/>
    <w:rsid w:val="00853D84"/>
    <w:rsid w:val="00856753"/>
    <w:rsid w:val="00864313"/>
    <w:rsid w:val="00867F7D"/>
    <w:rsid w:val="00882CD6"/>
    <w:rsid w:val="00883110"/>
    <w:rsid w:val="008A28E5"/>
    <w:rsid w:val="008A2972"/>
    <w:rsid w:val="008A2F11"/>
    <w:rsid w:val="008A474B"/>
    <w:rsid w:val="008B3F7F"/>
    <w:rsid w:val="008B6CB5"/>
    <w:rsid w:val="008D3CE3"/>
    <w:rsid w:val="008D444F"/>
    <w:rsid w:val="008E3D82"/>
    <w:rsid w:val="008E4E8D"/>
    <w:rsid w:val="008E73BA"/>
    <w:rsid w:val="008F6D1B"/>
    <w:rsid w:val="00901645"/>
    <w:rsid w:val="00901A7C"/>
    <w:rsid w:val="00903A2C"/>
    <w:rsid w:val="00926976"/>
    <w:rsid w:val="00927515"/>
    <w:rsid w:val="009313AB"/>
    <w:rsid w:val="00937BFA"/>
    <w:rsid w:val="0094176F"/>
    <w:rsid w:val="009524E2"/>
    <w:rsid w:val="009531C6"/>
    <w:rsid w:val="00955BEE"/>
    <w:rsid w:val="00972E5E"/>
    <w:rsid w:val="0097561D"/>
    <w:rsid w:val="00976008"/>
    <w:rsid w:val="00977039"/>
    <w:rsid w:val="00986E06"/>
    <w:rsid w:val="00995584"/>
    <w:rsid w:val="009A64DB"/>
    <w:rsid w:val="009C1B96"/>
    <w:rsid w:val="009D1D9C"/>
    <w:rsid w:val="009D2BD0"/>
    <w:rsid w:val="009D6D55"/>
    <w:rsid w:val="009E724A"/>
    <w:rsid w:val="009F4A14"/>
    <w:rsid w:val="00A03A52"/>
    <w:rsid w:val="00A070AE"/>
    <w:rsid w:val="00A10F11"/>
    <w:rsid w:val="00A20414"/>
    <w:rsid w:val="00A237BE"/>
    <w:rsid w:val="00A25CE5"/>
    <w:rsid w:val="00A32E00"/>
    <w:rsid w:val="00A50B4E"/>
    <w:rsid w:val="00A56504"/>
    <w:rsid w:val="00A705FD"/>
    <w:rsid w:val="00A70FA4"/>
    <w:rsid w:val="00A83BFC"/>
    <w:rsid w:val="00A94780"/>
    <w:rsid w:val="00AA3ACF"/>
    <w:rsid w:val="00AA55F2"/>
    <w:rsid w:val="00AA7221"/>
    <w:rsid w:val="00AB1B79"/>
    <w:rsid w:val="00AB64FA"/>
    <w:rsid w:val="00AB66DD"/>
    <w:rsid w:val="00AC2439"/>
    <w:rsid w:val="00AC5043"/>
    <w:rsid w:val="00AD1FA5"/>
    <w:rsid w:val="00AD2D96"/>
    <w:rsid w:val="00AD52A1"/>
    <w:rsid w:val="00AE057F"/>
    <w:rsid w:val="00AE0ACD"/>
    <w:rsid w:val="00AE1968"/>
    <w:rsid w:val="00AE6CCA"/>
    <w:rsid w:val="00AF4D7E"/>
    <w:rsid w:val="00AF539D"/>
    <w:rsid w:val="00AF5B36"/>
    <w:rsid w:val="00B1402D"/>
    <w:rsid w:val="00B206EC"/>
    <w:rsid w:val="00B231FA"/>
    <w:rsid w:val="00B23F3F"/>
    <w:rsid w:val="00B326A5"/>
    <w:rsid w:val="00B41209"/>
    <w:rsid w:val="00B45830"/>
    <w:rsid w:val="00B47F03"/>
    <w:rsid w:val="00B61F77"/>
    <w:rsid w:val="00B77035"/>
    <w:rsid w:val="00B93518"/>
    <w:rsid w:val="00BA083B"/>
    <w:rsid w:val="00BA3155"/>
    <w:rsid w:val="00BA652D"/>
    <w:rsid w:val="00BB280A"/>
    <w:rsid w:val="00BB2CA8"/>
    <w:rsid w:val="00BB443B"/>
    <w:rsid w:val="00BD6365"/>
    <w:rsid w:val="00BE3DD0"/>
    <w:rsid w:val="00BF0AA6"/>
    <w:rsid w:val="00BF14D8"/>
    <w:rsid w:val="00BF34E9"/>
    <w:rsid w:val="00BF4439"/>
    <w:rsid w:val="00C01996"/>
    <w:rsid w:val="00C040D3"/>
    <w:rsid w:val="00C26B03"/>
    <w:rsid w:val="00C336AE"/>
    <w:rsid w:val="00C371B9"/>
    <w:rsid w:val="00C40278"/>
    <w:rsid w:val="00C46814"/>
    <w:rsid w:val="00C4688B"/>
    <w:rsid w:val="00C47DCC"/>
    <w:rsid w:val="00C62933"/>
    <w:rsid w:val="00C73802"/>
    <w:rsid w:val="00C76680"/>
    <w:rsid w:val="00C845A6"/>
    <w:rsid w:val="00C90796"/>
    <w:rsid w:val="00C9319C"/>
    <w:rsid w:val="00C943DF"/>
    <w:rsid w:val="00CA355C"/>
    <w:rsid w:val="00CB0B0C"/>
    <w:rsid w:val="00CB1DA0"/>
    <w:rsid w:val="00CC4621"/>
    <w:rsid w:val="00CC7BA5"/>
    <w:rsid w:val="00CD0FA7"/>
    <w:rsid w:val="00CD4B5C"/>
    <w:rsid w:val="00CE4225"/>
    <w:rsid w:val="00CE7CFE"/>
    <w:rsid w:val="00CF22B9"/>
    <w:rsid w:val="00CF6AE9"/>
    <w:rsid w:val="00CF7482"/>
    <w:rsid w:val="00D027D4"/>
    <w:rsid w:val="00D02FFB"/>
    <w:rsid w:val="00D030FA"/>
    <w:rsid w:val="00D15F9D"/>
    <w:rsid w:val="00D22017"/>
    <w:rsid w:val="00D24F73"/>
    <w:rsid w:val="00D337D8"/>
    <w:rsid w:val="00D35A03"/>
    <w:rsid w:val="00D4134A"/>
    <w:rsid w:val="00D430E2"/>
    <w:rsid w:val="00D5085C"/>
    <w:rsid w:val="00D57925"/>
    <w:rsid w:val="00D61B7A"/>
    <w:rsid w:val="00D67735"/>
    <w:rsid w:val="00D72120"/>
    <w:rsid w:val="00D7289D"/>
    <w:rsid w:val="00D83081"/>
    <w:rsid w:val="00D831C7"/>
    <w:rsid w:val="00D94B83"/>
    <w:rsid w:val="00D97AC1"/>
    <w:rsid w:val="00DA61D1"/>
    <w:rsid w:val="00DC192A"/>
    <w:rsid w:val="00DC6CEA"/>
    <w:rsid w:val="00DD7113"/>
    <w:rsid w:val="00DE00E3"/>
    <w:rsid w:val="00DE0D42"/>
    <w:rsid w:val="00DE6E5E"/>
    <w:rsid w:val="00DF3E6A"/>
    <w:rsid w:val="00E0306F"/>
    <w:rsid w:val="00E171AC"/>
    <w:rsid w:val="00E22DF4"/>
    <w:rsid w:val="00E23FF2"/>
    <w:rsid w:val="00E32816"/>
    <w:rsid w:val="00E3623E"/>
    <w:rsid w:val="00E43F76"/>
    <w:rsid w:val="00E45FE0"/>
    <w:rsid w:val="00E52BAC"/>
    <w:rsid w:val="00E65A17"/>
    <w:rsid w:val="00E709CC"/>
    <w:rsid w:val="00E73480"/>
    <w:rsid w:val="00E801F9"/>
    <w:rsid w:val="00E82CBA"/>
    <w:rsid w:val="00E93F3C"/>
    <w:rsid w:val="00EA4E34"/>
    <w:rsid w:val="00EB2816"/>
    <w:rsid w:val="00EC58AC"/>
    <w:rsid w:val="00ED3426"/>
    <w:rsid w:val="00EE0F5F"/>
    <w:rsid w:val="00EE1729"/>
    <w:rsid w:val="00EE75EA"/>
    <w:rsid w:val="00EF4C3D"/>
    <w:rsid w:val="00EF723C"/>
    <w:rsid w:val="00F151E9"/>
    <w:rsid w:val="00F22416"/>
    <w:rsid w:val="00F2675F"/>
    <w:rsid w:val="00F34146"/>
    <w:rsid w:val="00F358A1"/>
    <w:rsid w:val="00F84DE6"/>
    <w:rsid w:val="00FB34DA"/>
    <w:rsid w:val="00FB6266"/>
    <w:rsid w:val="00FB7BFF"/>
    <w:rsid w:val="00FC0209"/>
    <w:rsid w:val="00FE6955"/>
    <w:rsid w:val="00FF6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5699E"/>
  <w15:chartTrackingRefBased/>
  <w15:docId w15:val="{72EFD50A-EC16-487C-BD93-4D8117DCE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FB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40FB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40FB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40FB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40FB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0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FB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40FB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40FB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40FB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40FB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0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FBD"/>
    <w:rPr>
      <w:rFonts w:eastAsiaTheme="majorEastAsia" w:cstheme="majorBidi"/>
      <w:color w:val="272727" w:themeColor="text1" w:themeTint="D8"/>
    </w:rPr>
  </w:style>
  <w:style w:type="paragraph" w:styleId="Title">
    <w:name w:val="Title"/>
    <w:basedOn w:val="Normal"/>
    <w:next w:val="Normal"/>
    <w:link w:val="TitleChar"/>
    <w:uiPriority w:val="10"/>
    <w:qFormat/>
    <w:rsid w:val="00140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FBD"/>
    <w:pPr>
      <w:spacing w:before="160"/>
      <w:jc w:val="center"/>
    </w:pPr>
    <w:rPr>
      <w:i/>
      <w:iCs/>
      <w:color w:val="404040" w:themeColor="text1" w:themeTint="BF"/>
    </w:rPr>
  </w:style>
  <w:style w:type="character" w:customStyle="1" w:styleId="QuoteChar">
    <w:name w:val="Quote Char"/>
    <w:basedOn w:val="DefaultParagraphFont"/>
    <w:link w:val="Quote"/>
    <w:uiPriority w:val="29"/>
    <w:rsid w:val="00140FBD"/>
    <w:rPr>
      <w:i/>
      <w:iCs/>
      <w:color w:val="404040" w:themeColor="text1" w:themeTint="BF"/>
    </w:rPr>
  </w:style>
  <w:style w:type="paragraph" w:styleId="ListParagraph">
    <w:name w:val="List Paragraph"/>
    <w:basedOn w:val="Normal"/>
    <w:uiPriority w:val="34"/>
    <w:qFormat/>
    <w:rsid w:val="00140FBD"/>
    <w:pPr>
      <w:ind w:left="720"/>
      <w:contextualSpacing/>
    </w:pPr>
  </w:style>
  <w:style w:type="character" w:styleId="IntenseEmphasis">
    <w:name w:val="Intense Emphasis"/>
    <w:basedOn w:val="DefaultParagraphFont"/>
    <w:uiPriority w:val="21"/>
    <w:qFormat/>
    <w:rsid w:val="00140FBD"/>
    <w:rPr>
      <w:i/>
      <w:iCs/>
      <w:color w:val="2E74B5" w:themeColor="accent1" w:themeShade="BF"/>
    </w:rPr>
  </w:style>
  <w:style w:type="paragraph" w:styleId="IntenseQuote">
    <w:name w:val="Intense Quote"/>
    <w:basedOn w:val="Normal"/>
    <w:next w:val="Normal"/>
    <w:link w:val="IntenseQuoteChar"/>
    <w:uiPriority w:val="30"/>
    <w:qFormat/>
    <w:rsid w:val="00140F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0FBD"/>
    <w:rPr>
      <w:i/>
      <w:iCs/>
      <w:color w:val="2E74B5" w:themeColor="accent1" w:themeShade="BF"/>
    </w:rPr>
  </w:style>
  <w:style w:type="character" w:styleId="IntenseReference">
    <w:name w:val="Intense Reference"/>
    <w:basedOn w:val="DefaultParagraphFont"/>
    <w:uiPriority w:val="32"/>
    <w:qFormat/>
    <w:rsid w:val="00140FBD"/>
    <w:rPr>
      <w:b/>
      <w:bCs/>
      <w:smallCaps/>
      <w:color w:val="2E74B5" w:themeColor="accent1" w:themeShade="BF"/>
      <w:spacing w:val="5"/>
    </w:rPr>
  </w:style>
  <w:style w:type="character" w:styleId="Hyperlink">
    <w:name w:val="Hyperlink"/>
    <w:basedOn w:val="DefaultParagraphFont"/>
    <w:uiPriority w:val="99"/>
    <w:unhideWhenUsed/>
    <w:rsid w:val="00140FBD"/>
    <w:rPr>
      <w:color w:val="0563C1" w:themeColor="hyperlink"/>
      <w:u w:val="single"/>
    </w:rPr>
  </w:style>
  <w:style w:type="character" w:styleId="UnresolvedMention">
    <w:name w:val="Unresolved Mention"/>
    <w:basedOn w:val="DefaultParagraphFont"/>
    <w:uiPriority w:val="99"/>
    <w:semiHidden/>
    <w:unhideWhenUsed/>
    <w:rsid w:val="00140FBD"/>
    <w:rPr>
      <w:color w:val="605E5C"/>
      <w:shd w:val="clear" w:color="auto" w:fill="E1DFDD"/>
    </w:rPr>
  </w:style>
  <w:style w:type="character" w:styleId="FollowedHyperlink">
    <w:name w:val="FollowedHyperlink"/>
    <w:basedOn w:val="DefaultParagraphFont"/>
    <w:uiPriority w:val="99"/>
    <w:semiHidden/>
    <w:unhideWhenUsed/>
    <w:rsid w:val="00D02FFB"/>
    <w:rPr>
      <w:color w:val="954F72" w:themeColor="followedHyperlink"/>
      <w:u w:val="single"/>
    </w:rPr>
  </w:style>
  <w:style w:type="paragraph" w:styleId="NormalWeb">
    <w:name w:val="Normal (Web)"/>
    <w:basedOn w:val="Normal"/>
    <w:uiPriority w:val="99"/>
    <w:semiHidden/>
    <w:unhideWhenUsed/>
    <w:rsid w:val="00BB44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761856">
      <w:bodyDiv w:val="1"/>
      <w:marLeft w:val="0"/>
      <w:marRight w:val="0"/>
      <w:marTop w:val="0"/>
      <w:marBottom w:val="0"/>
      <w:divBdr>
        <w:top w:val="none" w:sz="0" w:space="0" w:color="auto"/>
        <w:left w:val="none" w:sz="0" w:space="0" w:color="auto"/>
        <w:bottom w:val="none" w:sz="0" w:space="0" w:color="auto"/>
        <w:right w:val="none" w:sz="0" w:space="0" w:color="auto"/>
      </w:divBdr>
    </w:div>
    <w:div w:id="266160201">
      <w:bodyDiv w:val="1"/>
      <w:marLeft w:val="0"/>
      <w:marRight w:val="0"/>
      <w:marTop w:val="0"/>
      <w:marBottom w:val="0"/>
      <w:divBdr>
        <w:top w:val="none" w:sz="0" w:space="0" w:color="auto"/>
        <w:left w:val="none" w:sz="0" w:space="0" w:color="auto"/>
        <w:bottom w:val="none" w:sz="0" w:space="0" w:color="auto"/>
        <w:right w:val="none" w:sz="0" w:space="0" w:color="auto"/>
      </w:divBdr>
    </w:div>
    <w:div w:id="345719491">
      <w:bodyDiv w:val="1"/>
      <w:marLeft w:val="0"/>
      <w:marRight w:val="0"/>
      <w:marTop w:val="0"/>
      <w:marBottom w:val="0"/>
      <w:divBdr>
        <w:top w:val="none" w:sz="0" w:space="0" w:color="auto"/>
        <w:left w:val="none" w:sz="0" w:space="0" w:color="auto"/>
        <w:bottom w:val="none" w:sz="0" w:space="0" w:color="auto"/>
        <w:right w:val="none" w:sz="0" w:space="0" w:color="auto"/>
      </w:divBdr>
      <w:divsChild>
        <w:div w:id="1092434528">
          <w:marLeft w:val="0"/>
          <w:marRight w:val="0"/>
          <w:marTop w:val="0"/>
          <w:marBottom w:val="0"/>
          <w:divBdr>
            <w:top w:val="none" w:sz="0" w:space="0" w:color="auto"/>
            <w:left w:val="none" w:sz="0" w:space="0" w:color="auto"/>
            <w:bottom w:val="none" w:sz="0" w:space="0" w:color="auto"/>
            <w:right w:val="none" w:sz="0" w:space="0" w:color="auto"/>
          </w:divBdr>
          <w:divsChild>
            <w:div w:id="34282229">
              <w:marLeft w:val="0"/>
              <w:marRight w:val="0"/>
              <w:marTop w:val="0"/>
              <w:marBottom w:val="0"/>
              <w:divBdr>
                <w:top w:val="none" w:sz="0" w:space="0" w:color="auto"/>
                <w:left w:val="none" w:sz="0" w:space="0" w:color="auto"/>
                <w:bottom w:val="none" w:sz="0" w:space="0" w:color="auto"/>
                <w:right w:val="none" w:sz="0" w:space="0" w:color="auto"/>
              </w:divBdr>
              <w:divsChild>
                <w:div w:id="4662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033819">
      <w:bodyDiv w:val="1"/>
      <w:marLeft w:val="0"/>
      <w:marRight w:val="0"/>
      <w:marTop w:val="0"/>
      <w:marBottom w:val="0"/>
      <w:divBdr>
        <w:top w:val="none" w:sz="0" w:space="0" w:color="auto"/>
        <w:left w:val="none" w:sz="0" w:space="0" w:color="auto"/>
        <w:bottom w:val="none" w:sz="0" w:space="0" w:color="auto"/>
        <w:right w:val="none" w:sz="0" w:space="0" w:color="auto"/>
      </w:divBdr>
    </w:div>
    <w:div w:id="438988876">
      <w:bodyDiv w:val="1"/>
      <w:marLeft w:val="0"/>
      <w:marRight w:val="0"/>
      <w:marTop w:val="0"/>
      <w:marBottom w:val="0"/>
      <w:divBdr>
        <w:top w:val="none" w:sz="0" w:space="0" w:color="auto"/>
        <w:left w:val="none" w:sz="0" w:space="0" w:color="auto"/>
        <w:bottom w:val="none" w:sz="0" w:space="0" w:color="auto"/>
        <w:right w:val="none" w:sz="0" w:space="0" w:color="auto"/>
      </w:divBdr>
    </w:div>
    <w:div w:id="507209548">
      <w:bodyDiv w:val="1"/>
      <w:marLeft w:val="0"/>
      <w:marRight w:val="0"/>
      <w:marTop w:val="0"/>
      <w:marBottom w:val="0"/>
      <w:divBdr>
        <w:top w:val="none" w:sz="0" w:space="0" w:color="auto"/>
        <w:left w:val="none" w:sz="0" w:space="0" w:color="auto"/>
        <w:bottom w:val="none" w:sz="0" w:space="0" w:color="auto"/>
        <w:right w:val="none" w:sz="0" w:space="0" w:color="auto"/>
      </w:divBdr>
    </w:div>
    <w:div w:id="518784365">
      <w:bodyDiv w:val="1"/>
      <w:marLeft w:val="0"/>
      <w:marRight w:val="0"/>
      <w:marTop w:val="0"/>
      <w:marBottom w:val="0"/>
      <w:divBdr>
        <w:top w:val="none" w:sz="0" w:space="0" w:color="auto"/>
        <w:left w:val="none" w:sz="0" w:space="0" w:color="auto"/>
        <w:bottom w:val="none" w:sz="0" w:space="0" w:color="auto"/>
        <w:right w:val="none" w:sz="0" w:space="0" w:color="auto"/>
      </w:divBdr>
    </w:div>
    <w:div w:id="599215545">
      <w:bodyDiv w:val="1"/>
      <w:marLeft w:val="0"/>
      <w:marRight w:val="0"/>
      <w:marTop w:val="0"/>
      <w:marBottom w:val="0"/>
      <w:divBdr>
        <w:top w:val="none" w:sz="0" w:space="0" w:color="auto"/>
        <w:left w:val="none" w:sz="0" w:space="0" w:color="auto"/>
        <w:bottom w:val="none" w:sz="0" w:space="0" w:color="auto"/>
        <w:right w:val="none" w:sz="0" w:space="0" w:color="auto"/>
      </w:divBdr>
    </w:div>
    <w:div w:id="634068919">
      <w:bodyDiv w:val="1"/>
      <w:marLeft w:val="0"/>
      <w:marRight w:val="0"/>
      <w:marTop w:val="0"/>
      <w:marBottom w:val="0"/>
      <w:divBdr>
        <w:top w:val="none" w:sz="0" w:space="0" w:color="auto"/>
        <w:left w:val="none" w:sz="0" w:space="0" w:color="auto"/>
        <w:bottom w:val="none" w:sz="0" w:space="0" w:color="auto"/>
        <w:right w:val="none" w:sz="0" w:space="0" w:color="auto"/>
      </w:divBdr>
    </w:div>
    <w:div w:id="635139945">
      <w:bodyDiv w:val="1"/>
      <w:marLeft w:val="0"/>
      <w:marRight w:val="0"/>
      <w:marTop w:val="0"/>
      <w:marBottom w:val="0"/>
      <w:divBdr>
        <w:top w:val="none" w:sz="0" w:space="0" w:color="auto"/>
        <w:left w:val="none" w:sz="0" w:space="0" w:color="auto"/>
        <w:bottom w:val="none" w:sz="0" w:space="0" w:color="auto"/>
        <w:right w:val="none" w:sz="0" w:space="0" w:color="auto"/>
      </w:divBdr>
    </w:div>
    <w:div w:id="636836104">
      <w:bodyDiv w:val="1"/>
      <w:marLeft w:val="0"/>
      <w:marRight w:val="0"/>
      <w:marTop w:val="0"/>
      <w:marBottom w:val="0"/>
      <w:divBdr>
        <w:top w:val="none" w:sz="0" w:space="0" w:color="auto"/>
        <w:left w:val="none" w:sz="0" w:space="0" w:color="auto"/>
        <w:bottom w:val="none" w:sz="0" w:space="0" w:color="auto"/>
        <w:right w:val="none" w:sz="0" w:space="0" w:color="auto"/>
      </w:divBdr>
    </w:div>
    <w:div w:id="645627012">
      <w:bodyDiv w:val="1"/>
      <w:marLeft w:val="0"/>
      <w:marRight w:val="0"/>
      <w:marTop w:val="0"/>
      <w:marBottom w:val="0"/>
      <w:divBdr>
        <w:top w:val="none" w:sz="0" w:space="0" w:color="auto"/>
        <w:left w:val="none" w:sz="0" w:space="0" w:color="auto"/>
        <w:bottom w:val="none" w:sz="0" w:space="0" w:color="auto"/>
        <w:right w:val="none" w:sz="0" w:space="0" w:color="auto"/>
      </w:divBdr>
    </w:div>
    <w:div w:id="701592745">
      <w:bodyDiv w:val="1"/>
      <w:marLeft w:val="0"/>
      <w:marRight w:val="0"/>
      <w:marTop w:val="0"/>
      <w:marBottom w:val="0"/>
      <w:divBdr>
        <w:top w:val="none" w:sz="0" w:space="0" w:color="auto"/>
        <w:left w:val="none" w:sz="0" w:space="0" w:color="auto"/>
        <w:bottom w:val="none" w:sz="0" w:space="0" w:color="auto"/>
        <w:right w:val="none" w:sz="0" w:space="0" w:color="auto"/>
      </w:divBdr>
    </w:div>
    <w:div w:id="718359105">
      <w:bodyDiv w:val="1"/>
      <w:marLeft w:val="0"/>
      <w:marRight w:val="0"/>
      <w:marTop w:val="0"/>
      <w:marBottom w:val="0"/>
      <w:divBdr>
        <w:top w:val="none" w:sz="0" w:space="0" w:color="auto"/>
        <w:left w:val="none" w:sz="0" w:space="0" w:color="auto"/>
        <w:bottom w:val="none" w:sz="0" w:space="0" w:color="auto"/>
        <w:right w:val="none" w:sz="0" w:space="0" w:color="auto"/>
      </w:divBdr>
      <w:divsChild>
        <w:div w:id="810098121">
          <w:marLeft w:val="0"/>
          <w:marRight w:val="0"/>
          <w:marTop w:val="0"/>
          <w:marBottom w:val="0"/>
          <w:divBdr>
            <w:top w:val="none" w:sz="0" w:space="0" w:color="auto"/>
            <w:left w:val="none" w:sz="0" w:space="0" w:color="auto"/>
            <w:bottom w:val="none" w:sz="0" w:space="0" w:color="auto"/>
            <w:right w:val="none" w:sz="0" w:space="0" w:color="auto"/>
          </w:divBdr>
          <w:divsChild>
            <w:div w:id="360859110">
              <w:marLeft w:val="0"/>
              <w:marRight w:val="0"/>
              <w:marTop w:val="0"/>
              <w:marBottom w:val="0"/>
              <w:divBdr>
                <w:top w:val="none" w:sz="0" w:space="0" w:color="auto"/>
                <w:left w:val="none" w:sz="0" w:space="0" w:color="auto"/>
                <w:bottom w:val="none" w:sz="0" w:space="0" w:color="auto"/>
                <w:right w:val="none" w:sz="0" w:space="0" w:color="auto"/>
              </w:divBdr>
              <w:divsChild>
                <w:div w:id="1178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03407">
      <w:bodyDiv w:val="1"/>
      <w:marLeft w:val="0"/>
      <w:marRight w:val="0"/>
      <w:marTop w:val="0"/>
      <w:marBottom w:val="0"/>
      <w:divBdr>
        <w:top w:val="none" w:sz="0" w:space="0" w:color="auto"/>
        <w:left w:val="none" w:sz="0" w:space="0" w:color="auto"/>
        <w:bottom w:val="none" w:sz="0" w:space="0" w:color="auto"/>
        <w:right w:val="none" w:sz="0" w:space="0" w:color="auto"/>
      </w:divBdr>
    </w:div>
    <w:div w:id="929241367">
      <w:bodyDiv w:val="1"/>
      <w:marLeft w:val="0"/>
      <w:marRight w:val="0"/>
      <w:marTop w:val="0"/>
      <w:marBottom w:val="0"/>
      <w:divBdr>
        <w:top w:val="none" w:sz="0" w:space="0" w:color="auto"/>
        <w:left w:val="none" w:sz="0" w:space="0" w:color="auto"/>
        <w:bottom w:val="none" w:sz="0" w:space="0" w:color="auto"/>
        <w:right w:val="none" w:sz="0" w:space="0" w:color="auto"/>
      </w:divBdr>
    </w:div>
    <w:div w:id="991635409">
      <w:bodyDiv w:val="1"/>
      <w:marLeft w:val="0"/>
      <w:marRight w:val="0"/>
      <w:marTop w:val="0"/>
      <w:marBottom w:val="0"/>
      <w:divBdr>
        <w:top w:val="none" w:sz="0" w:space="0" w:color="auto"/>
        <w:left w:val="none" w:sz="0" w:space="0" w:color="auto"/>
        <w:bottom w:val="none" w:sz="0" w:space="0" w:color="auto"/>
        <w:right w:val="none" w:sz="0" w:space="0" w:color="auto"/>
      </w:divBdr>
    </w:div>
    <w:div w:id="1060246597">
      <w:bodyDiv w:val="1"/>
      <w:marLeft w:val="0"/>
      <w:marRight w:val="0"/>
      <w:marTop w:val="0"/>
      <w:marBottom w:val="0"/>
      <w:divBdr>
        <w:top w:val="none" w:sz="0" w:space="0" w:color="auto"/>
        <w:left w:val="none" w:sz="0" w:space="0" w:color="auto"/>
        <w:bottom w:val="none" w:sz="0" w:space="0" w:color="auto"/>
        <w:right w:val="none" w:sz="0" w:space="0" w:color="auto"/>
      </w:divBdr>
    </w:div>
    <w:div w:id="1228149911">
      <w:bodyDiv w:val="1"/>
      <w:marLeft w:val="0"/>
      <w:marRight w:val="0"/>
      <w:marTop w:val="0"/>
      <w:marBottom w:val="0"/>
      <w:divBdr>
        <w:top w:val="none" w:sz="0" w:space="0" w:color="auto"/>
        <w:left w:val="none" w:sz="0" w:space="0" w:color="auto"/>
        <w:bottom w:val="none" w:sz="0" w:space="0" w:color="auto"/>
        <w:right w:val="none" w:sz="0" w:space="0" w:color="auto"/>
      </w:divBdr>
    </w:div>
    <w:div w:id="1392845326">
      <w:bodyDiv w:val="1"/>
      <w:marLeft w:val="0"/>
      <w:marRight w:val="0"/>
      <w:marTop w:val="0"/>
      <w:marBottom w:val="0"/>
      <w:divBdr>
        <w:top w:val="none" w:sz="0" w:space="0" w:color="auto"/>
        <w:left w:val="none" w:sz="0" w:space="0" w:color="auto"/>
        <w:bottom w:val="none" w:sz="0" w:space="0" w:color="auto"/>
        <w:right w:val="none" w:sz="0" w:space="0" w:color="auto"/>
      </w:divBdr>
    </w:div>
    <w:div w:id="1451897404">
      <w:bodyDiv w:val="1"/>
      <w:marLeft w:val="0"/>
      <w:marRight w:val="0"/>
      <w:marTop w:val="0"/>
      <w:marBottom w:val="0"/>
      <w:divBdr>
        <w:top w:val="none" w:sz="0" w:space="0" w:color="auto"/>
        <w:left w:val="none" w:sz="0" w:space="0" w:color="auto"/>
        <w:bottom w:val="none" w:sz="0" w:space="0" w:color="auto"/>
        <w:right w:val="none" w:sz="0" w:space="0" w:color="auto"/>
      </w:divBdr>
    </w:div>
    <w:div w:id="1476335969">
      <w:bodyDiv w:val="1"/>
      <w:marLeft w:val="0"/>
      <w:marRight w:val="0"/>
      <w:marTop w:val="0"/>
      <w:marBottom w:val="0"/>
      <w:divBdr>
        <w:top w:val="none" w:sz="0" w:space="0" w:color="auto"/>
        <w:left w:val="none" w:sz="0" w:space="0" w:color="auto"/>
        <w:bottom w:val="none" w:sz="0" w:space="0" w:color="auto"/>
        <w:right w:val="none" w:sz="0" w:space="0" w:color="auto"/>
      </w:divBdr>
    </w:div>
    <w:div w:id="1529681775">
      <w:bodyDiv w:val="1"/>
      <w:marLeft w:val="0"/>
      <w:marRight w:val="0"/>
      <w:marTop w:val="0"/>
      <w:marBottom w:val="0"/>
      <w:divBdr>
        <w:top w:val="none" w:sz="0" w:space="0" w:color="auto"/>
        <w:left w:val="none" w:sz="0" w:space="0" w:color="auto"/>
        <w:bottom w:val="none" w:sz="0" w:space="0" w:color="auto"/>
        <w:right w:val="none" w:sz="0" w:space="0" w:color="auto"/>
      </w:divBdr>
    </w:div>
    <w:div w:id="1559901924">
      <w:bodyDiv w:val="1"/>
      <w:marLeft w:val="0"/>
      <w:marRight w:val="0"/>
      <w:marTop w:val="0"/>
      <w:marBottom w:val="0"/>
      <w:divBdr>
        <w:top w:val="none" w:sz="0" w:space="0" w:color="auto"/>
        <w:left w:val="none" w:sz="0" w:space="0" w:color="auto"/>
        <w:bottom w:val="none" w:sz="0" w:space="0" w:color="auto"/>
        <w:right w:val="none" w:sz="0" w:space="0" w:color="auto"/>
      </w:divBdr>
    </w:div>
    <w:div w:id="1660186111">
      <w:bodyDiv w:val="1"/>
      <w:marLeft w:val="0"/>
      <w:marRight w:val="0"/>
      <w:marTop w:val="0"/>
      <w:marBottom w:val="0"/>
      <w:divBdr>
        <w:top w:val="none" w:sz="0" w:space="0" w:color="auto"/>
        <w:left w:val="none" w:sz="0" w:space="0" w:color="auto"/>
        <w:bottom w:val="none" w:sz="0" w:space="0" w:color="auto"/>
        <w:right w:val="none" w:sz="0" w:space="0" w:color="auto"/>
      </w:divBdr>
    </w:div>
    <w:div w:id="1685979533">
      <w:bodyDiv w:val="1"/>
      <w:marLeft w:val="0"/>
      <w:marRight w:val="0"/>
      <w:marTop w:val="0"/>
      <w:marBottom w:val="0"/>
      <w:divBdr>
        <w:top w:val="none" w:sz="0" w:space="0" w:color="auto"/>
        <w:left w:val="none" w:sz="0" w:space="0" w:color="auto"/>
        <w:bottom w:val="none" w:sz="0" w:space="0" w:color="auto"/>
        <w:right w:val="none" w:sz="0" w:space="0" w:color="auto"/>
      </w:divBdr>
    </w:div>
    <w:div w:id="1687906329">
      <w:bodyDiv w:val="1"/>
      <w:marLeft w:val="0"/>
      <w:marRight w:val="0"/>
      <w:marTop w:val="0"/>
      <w:marBottom w:val="0"/>
      <w:divBdr>
        <w:top w:val="none" w:sz="0" w:space="0" w:color="auto"/>
        <w:left w:val="none" w:sz="0" w:space="0" w:color="auto"/>
        <w:bottom w:val="none" w:sz="0" w:space="0" w:color="auto"/>
        <w:right w:val="none" w:sz="0" w:space="0" w:color="auto"/>
      </w:divBdr>
    </w:div>
    <w:div w:id="1698042592">
      <w:bodyDiv w:val="1"/>
      <w:marLeft w:val="0"/>
      <w:marRight w:val="0"/>
      <w:marTop w:val="0"/>
      <w:marBottom w:val="0"/>
      <w:divBdr>
        <w:top w:val="none" w:sz="0" w:space="0" w:color="auto"/>
        <w:left w:val="none" w:sz="0" w:space="0" w:color="auto"/>
        <w:bottom w:val="none" w:sz="0" w:space="0" w:color="auto"/>
        <w:right w:val="none" w:sz="0" w:space="0" w:color="auto"/>
      </w:divBdr>
    </w:div>
    <w:div w:id="1818061728">
      <w:bodyDiv w:val="1"/>
      <w:marLeft w:val="0"/>
      <w:marRight w:val="0"/>
      <w:marTop w:val="0"/>
      <w:marBottom w:val="0"/>
      <w:divBdr>
        <w:top w:val="none" w:sz="0" w:space="0" w:color="auto"/>
        <w:left w:val="none" w:sz="0" w:space="0" w:color="auto"/>
        <w:bottom w:val="none" w:sz="0" w:space="0" w:color="auto"/>
        <w:right w:val="none" w:sz="0" w:space="0" w:color="auto"/>
      </w:divBdr>
    </w:div>
    <w:div w:id="1844585819">
      <w:bodyDiv w:val="1"/>
      <w:marLeft w:val="0"/>
      <w:marRight w:val="0"/>
      <w:marTop w:val="0"/>
      <w:marBottom w:val="0"/>
      <w:divBdr>
        <w:top w:val="none" w:sz="0" w:space="0" w:color="auto"/>
        <w:left w:val="none" w:sz="0" w:space="0" w:color="auto"/>
        <w:bottom w:val="none" w:sz="0" w:space="0" w:color="auto"/>
        <w:right w:val="none" w:sz="0" w:space="0" w:color="auto"/>
      </w:divBdr>
      <w:divsChild>
        <w:div w:id="1534079005">
          <w:marLeft w:val="0"/>
          <w:marRight w:val="0"/>
          <w:marTop w:val="0"/>
          <w:marBottom w:val="0"/>
          <w:divBdr>
            <w:top w:val="none" w:sz="0" w:space="0" w:color="auto"/>
            <w:left w:val="none" w:sz="0" w:space="0" w:color="auto"/>
            <w:bottom w:val="none" w:sz="0" w:space="0" w:color="auto"/>
            <w:right w:val="none" w:sz="0" w:space="0" w:color="auto"/>
          </w:divBdr>
          <w:divsChild>
            <w:div w:id="1001198265">
              <w:marLeft w:val="0"/>
              <w:marRight w:val="0"/>
              <w:marTop w:val="0"/>
              <w:marBottom w:val="0"/>
              <w:divBdr>
                <w:top w:val="none" w:sz="0" w:space="0" w:color="auto"/>
                <w:left w:val="none" w:sz="0" w:space="0" w:color="auto"/>
                <w:bottom w:val="none" w:sz="0" w:space="0" w:color="auto"/>
                <w:right w:val="none" w:sz="0" w:space="0" w:color="auto"/>
              </w:divBdr>
              <w:divsChild>
                <w:div w:id="5702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252063">
      <w:bodyDiv w:val="1"/>
      <w:marLeft w:val="0"/>
      <w:marRight w:val="0"/>
      <w:marTop w:val="0"/>
      <w:marBottom w:val="0"/>
      <w:divBdr>
        <w:top w:val="none" w:sz="0" w:space="0" w:color="auto"/>
        <w:left w:val="none" w:sz="0" w:space="0" w:color="auto"/>
        <w:bottom w:val="none" w:sz="0" w:space="0" w:color="auto"/>
        <w:right w:val="none" w:sz="0" w:space="0" w:color="auto"/>
      </w:divBdr>
    </w:div>
    <w:div w:id="1928730927">
      <w:bodyDiv w:val="1"/>
      <w:marLeft w:val="0"/>
      <w:marRight w:val="0"/>
      <w:marTop w:val="0"/>
      <w:marBottom w:val="0"/>
      <w:divBdr>
        <w:top w:val="none" w:sz="0" w:space="0" w:color="auto"/>
        <w:left w:val="none" w:sz="0" w:space="0" w:color="auto"/>
        <w:bottom w:val="none" w:sz="0" w:space="0" w:color="auto"/>
        <w:right w:val="none" w:sz="0" w:space="0" w:color="auto"/>
      </w:divBdr>
    </w:div>
    <w:div w:id="2052921816">
      <w:bodyDiv w:val="1"/>
      <w:marLeft w:val="0"/>
      <w:marRight w:val="0"/>
      <w:marTop w:val="0"/>
      <w:marBottom w:val="0"/>
      <w:divBdr>
        <w:top w:val="none" w:sz="0" w:space="0" w:color="auto"/>
        <w:left w:val="none" w:sz="0" w:space="0" w:color="auto"/>
        <w:bottom w:val="none" w:sz="0" w:space="0" w:color="auto"/>
        <w:right w:val="none" w:sz="0" w:space="0" w:color="auto"/>
      </w:divBdr>
      <w:divsChild>
        <w:div w:id="415830067">
          <w:marLeft w:val="0"/>
          <w:marRight w:val="0"/>
          <w:marTop w:val="0"/>
          <w:marBottom w:val="0"/>
          <w:divBdr>
            <w:top w:val="none" w:sz="0" w:space="0" w:color="auto"/>
            <w:left w:val="none" w:sz="0" w:space="0" w:color="auto"/>
            <w:bottom w:val="none" w:sz="0" w:space="0" w:color="auto"/>
            <w:right w:val="none" w:sz="0" w:space="0" w:color="auto"/>
          </w:divBdr>
          <w:divsChild>
            <w:div w:id="801004221">
              <w:marLeft w:val="0"/>
              <w:marRight w:val="0"/>
              <w:marTop w:val="0"/>
              <w:marBottom w:val="0"/>
              <w:divBdr>
                <w:top w:val="none" w:sz="0" w:space="0" w:color="auto"/>
                <w:left w:val="none" w:sz="0" w:space="0" w:color="auto"/>
                <w:bottom w:val="none" w:sz="0" w:space="0" w:color="auto"/>
                <w:right w:val="none" w:sz="0" w:space="0" w:color="auto"/>
              </w:divBdr>
              <w:divsChild>
                <w:div w:id="3205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61232">
      <w:bodyDiv w:val="1"/>
      <w:marLeft w:val="0"/>
      <w:marRight w:val="0"/>
      <w:marTop w:val="0"/>
      <w:marBottom w:val="0"/>
      <w:divBdr>
        <w:top w:val="none" w:sz="0" w:space="0" w:color="auto"/>
        <w:left w:val="none" w:sz="0" w:space="0" w:color="auto"/>
        <w:bottom w:val="none" w:sz="0" w:space="0" w:color="auto"/>
        <w:right w:val="none" w:sz="0" w:space="0" w:color="auto"/>
      </w:divBdr>
    </w:div>
    <w:div w:id="2108302338">
      <w:bodyDiv w:val="1"/>
      <w:marLeft w:val="0"/>
      <w:marRight w:val="0"/>
      <w:marTop w:val="0"/>
      <w:marBottom w:val="0"/>
      <w:divBdr>
        <w:top w:val="none" w:sz="0" w:space="0" w:color="auto"/>
        <w:left w:val="none" w:sz="0" w:space="0" w:color="auto"/>
        <w:bottom w:val="none" w:sz="0" w:space="0" w:color="auto"/>
        <w:right w:val="none" w:sz="0" w:space="0" w:color="auto"/>
      </w:divBdr>
    </w:div>
    <w:div w:id="211413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maturitas.2018.04.008" TargetMode="External"/><Relationship Id="rId13" Type="http://schemas.openxmlformats.org/officeDocument/2006/relationships/hyperlink" Target="https://doi.org/10.3233/THC-161263" TargetMode="External"/><Relationship Id="rId18" Type="http://schemas.openxmlformats.org/officeDocument/2006/relationships/hyperlink" Target="https://healthit.gov/health-it-basics/benefits-health-it/" TargetMode="External"/><Relationship Id="rId3" Type="http://schemas.openxmlformats.org/officeDocument/2006/relationships/webSettings" Target="webSettings.xml"/><Relationship Id="rId21" Type="http://schemas.openxmlformats.org/officeDocument/2006/relationships/hyperlink" Target="https://doi.org/10.1177/11786329231187826" TargetMode="External"/><Relationship Id="rId7" Type="http://schemas.openxmlformats.org/officeDocument/2006/relationships/hyperlink" Target="https://pmc.ncbi.nlm.nih.gov/articles/PMC7575255/" TargetMode="External"/><Relationship Id="rId12" Type="http://schemas.openxmlformats.org/officeDocument/2006/relationships/hyperlink" Target="https://doi.org/10.1200/JOP.2011.000348" TargetMode="External"/><Relationship Id="rId17" Type="http://schemas.openxmlformats.org/officeDocument/2006/relationships/hyperlink" Target="https://nvd.nist.gov/vuln/detail/CVE-2026-24487"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6028/NIST.CSWP.29" TargetMode="External"/><Relationship Id="rId20" Type="http://schemas.openxmlformats.org/officeDocument/2006/relationships/hyperlink" Target="https://www.sentinelone.com/vulnerability-database/cve-2026-24487/" TargetMode="External"/><Relationship Id="rId1" Type="http://schemas.openxmlformats.org/officeDocument/2006/relationships/styles" Target="styles.xml"/><Relationship Id="rId6" Type="http://schemas.openxmlformats.org/officeDocument/2006/relationships/hyperlink" Target="https://doi.org/10.1016/j.ijmedinf.2023.105149" TargetMode="External"/><Relationship Id="rId11" Type="http://schemas.openxmlformats.org/officeDocument/2006/relationships/hyperlink" Target="https://doi.org/10.7326/M13-1531" TargetMode="External"/><Relationship Id="rId24" Type="http://schemas.openxmlformats.org/officeDocument/2006/relationships/fontTable" Target="fontTable.xml"/><Relationship Id="rId5" Type="http://schemas.openxmlformats.org/officeDocument/2006/relationships/hyperlink" Target="https://www.cms.gov/regulations-and-guidance/legislation/ehrincentiveprograms" TargetMode="External"/><Relationship Id="rId15" Type="http://schemas.openxmlformats.org/officeDocument/2006/relationships/hyperlink" Target="https://doi.org/10.6028/NIST.AI.100-1" TargetMode="External"/><Relationship Id="rId23" Type="http://schemas.openxmlformats.org/officeDocument/2006/relationships/hyperlink" Target="https://www.youtube.com/watch?v=CgJIxTP8ydQ" TargetMode="External"/><Relationship Id="rId10" Type="http://schemas.openxmlformats.org/officeDocument/2006/relationships/hyperlink" Target="https://www.hl7.org/fhir/" TargetMode="External"/><Relationship Id="rId19" Type="http://schemas.openxmlformats.org/officeDocument/2006/relationships/hyperlink" Target="https://doi.org/10.1016/j.jbi.2019.103188" TargetMode="External"/><Relationship Id="rId4" Type="http://schemas.openxmlformats.org/officeDocument/2006/relationships/hyperlink" Target="https://care.io/blog/building-a-scalable-teleradiology-ecosystem-to-combat-burnout" TargetMode="External"/><Relationship Id="rId9" Type="http://schemas.openxmlformats.org/officeDocument/2006/relationships/hyperlink" Target="https://doi.org/10.2214/AJR.19.21958" TargetMode="External"/><Relationship Id="rId14" Type="http://schemas.openxmlformats.org/officeDocument/2006/relationships/hyperlink" Target="https://www.dicomstandard.org/about/" TargetMode="External"/><Relationship Id="rId22" Type="http://schemas.openxmlformats.org/officeDocument/2006/relationships/hyperlink" Target="https://i.blackhat.com/EU-23/Presentations/EU-23-Yazdanmehr-Millions_of_Patient_Records_at_Ris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2275</TotalTime>
  <Pages>7</Pages>
  <Words>1713</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124</cp:revision>
  <cp:lastPrinted>2026-08-13T03:17:00Z</cp:lastPrinted>
  <dcterms:created xsi:type="dcterms:W3CDTF">2026-08-12T01:58:00Z</dcterms:created>
  <dcterms:modified xsi:type="dcterms:W3CDTF">2026-08-13T21:47:00Z</dcterms:modified>
</cp:coreProperties>
</file>