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D06A8" w14:textId="18A52FDA" w:rsidR="002F7D49" w:rsidRDefault="002F7D49">
      <w:pPr>
        <w:rPr>
          <w:rFonts w:ascii="Times New Roman" w:hAnsi="Times New Roman" w:cs="Times New Roman"/>
          <w:sz w:val="24"/>
          <w:szCs w:val="24"/>
        </w:rPr>
      </w:pPr>
      <w:r>
        <w:rPr>
          <w:rFonts w:ascii="Times New Roman" w:hAnsi="Times New Roman" w:cs="Times New Roman"/>
          <w:sz w:val="24"/>
          <w:szCs w:val="24"/>
        </w:rPr>
        <w:t>T</w:t>
      </w:r>
      <w:r w:rsidRPr="002F7D49">
        <w:rPr>
          <w:rFonts w:ascii="Times New Roman" w:hAnsi="Times New Roman" w:cs="Times New Roman"/>
          <w:sz w:val="24"/>
          <w:szCs w:val="24"/>
        </w:rPr>
        <w:t>erm Paper (30%)</w:t>
      </w:r>
      <w:r w:rsidRPr="002F7D49">
        <w:rPr>
          <w:rFonts w:ascii="Times New Roman" w:hAnsi="Times New Roman" w:cs="Times New Roman"/>
          <w:sz w:val="24"/>
          <w:szCs w:val="24"/>
        </w:rPr>
        <w:br/>
        <w:t>Sign up next to a topic in the Excel file “Term Paper” on Brightspace. You will write a paper not</w:t>
      </w:r>
      <w:r w:rsidRPr="002F7D49">
        <w:rPr>
          <w:rFonts w:ascii="Times New Roman" w:hAnsi="Times New Roman" w:cs="Times New Roman"/>
          <w:sz w:val="24"/>
          <w:szCs w:val="24"/>
        </w:rPr>
        <w:br/>
        <w:t>longer than 4 pages (excluding title page and references). The paper should be double-spaced, 12</w:t>
      </w:r>
      <w:r w:rsidRPr="002F7D49">
        <w:rPr>
          <w:rFonts w:ascii="Times New Roman" w:hAnsi="Times New Roman" w:cs="Times New Roman"/>
          <w:sz w:val="24"/>
          <w:szCs w:val="24"/>
        </w:rPr>
        <w:br/>
        <w:t>font, and Times New Roman. Please include AT LEAST 5 references. The more articles you find,</w:t>
      </w:r>
      <w:r w:rsidRPr="002F7D49">
        <w:rPr>
          <w:rFonts w:ascii="Times New Roman" w:hAnsi="Times New Roman" w:cs="Times New Roman"/>
          <w:sz w:val="24"/>
          <w:szCs w:val="24"/>
        </w:rPr>
        <w:br/>
        <w:t>the more you will learn and the better you will do! Find articles, research, and other types of</w:t>
      </w:r>
      <w:r w:rsidRPr="002F7D49">
        <w:rPr>
          <w:rFonts w:ascii="Times New Roman" w:hAnsi="Times New Roman" w:cs="Times New Roman"/>
          <w:sz w:val="24"/>
          <w:szCs w:val="24"/>
        </w:rPr>
        <w:br/>
        <w:t>information on the topic you choose and thoroughly consider best practices, avoiding breaches,</w:t>
      </w:r>
      <w:r w:rsidRPr="002F7D49">
        <w:rPr>
          <w:rFonts w:ascii="Times New Roman" w:hAnsi="Times New Roman" w:cs="Times New Roman"/>
          <w:sz w:val="24"/>
          <w:szCs w:val="24"/>
        </w:rPr>
        <w:br/>
        <w:t>and other nuances on the topic that you can describe, research and analyze. Search the Stony</w:t>
      </w:r>
      <w:r w:rsidRPr="002F7D49">
        <w:rPr>
          <w:rFonts w:ascii="Times New Roman" w:hAnsi="Times New Roman" w:cs="Times New Roman"/>
          <w:sz w:val="24"/>
          <w:szCs w:val="24"/>
        </w:rPr>
        <w:br/>
        <w:t>Brook University Library, Google Scholar and PubMed to find articles. Find something novel and</w:t>
      </w:r>
      <w:r w:rsidRPr="002F7D49">
        <w:rPr>
          <w:rFonts w:ascii="Times New Roman" w:hAnsi="Times New Roman" w:cs="Times New Roman"/>
          <w:sz w:val="24"/>
          <w:szCs w:val="24"/>
        </w:rPr>
        <w:br/>
        <w:t>focus on that specific topic. Don’t assume, for example, that if you choose to write on the</w:t>
      </w:r>
      <w:r w:rsidRPr="002F7D49">
        <w:rPr>
          <w:rFonts w:ascii="Times New Roman" w:hAnsi="Times New Roman" w:cs="Times New Roman"/>
          <w:sz w:val="24"/>
          <w:szCs w:val="24"/>
        </w:rPr>
        <w:br/>
        <w:t>"technical, physical and/or administrative safeguards” topic that you must define all the</w:t>
      </w:r>
      <w:r w:rsidRPr="002F7D49">
        <w:rPr>
          <w:rFonts w:ascii="Times New Roman" w:hAnsi="Times New Roman" w:cs="Times New Roman"/>
          <w:sz w:val="24"/>
          <w:szCs w:val="24"/>
        </w:rPr>
        <w:br/>
        <w:t>safeguards in detail. Instead, briefly define all points at a high level, then choose one part of the</w:t>
      </w:r>
      <w:r w:rsidRPr="002F7D49">
        <w:rPr>
          <w:rFonts w:ascii="Times New Roman" w:hAnsi="Times New Roman" w:cs="Times New Roman"/>
          <w:sz w:val="24"/>
          <w:szCs w:val="24"/>
        </w:rPr>
        <w:br/>
        <w:t>subject to focus more in depth on and find some examples on the topic and analyze these</w:t>
      </w:r>
      <w:r w:rsidRPr="002F7D49">
        <w:rPr>
          <w:rFonts w:ascii="Times New Roman" w:hAnsi="Times New Roman" w:cs="Times New Roman"/>
          <w:sz w:val="24"/>
          <w:szCs w:val="24"/>
        </w:rPr>
        <w:br/>
        <w:t>examples. At max, one page should be a description of your topic. The rest should be analysis.</w:t>
      </w:r>
      <w:r w:rsidRPr="002F7D49">
        <w:rPr>
          <w:rFonts w:ascii="Times New Roman" w:hAnsi="Times New Roman" w:cs="Times New Roman"/>
          <w:sz w:val="24"/>
          <w:szCs w:val="24"/>
        </w:rPr>
        <w:br/>
        <w:t>Find an angle we have not discussed during this term and your paper will be even stronger! Only</w:t>
      </w:r>
      <w:r w:rsidRPr="002F7D49">
        <w:rPr>
          <w:rFonts w:ascii="Times New Roman" w:hAnsi="Times New Roman" w:cs="Times New Roman"/>
          <w:sz w:val="24"/>
          <w:szCs w:val="24"/>
        </w:rPr>
        <w:br/>
        <w:t>write your name next to one of the topics listed UNLESS you get a new topic approved by me. If</w:t>
      </w:r>
      <w:r w:rsidRPr="002F7D49">
        <w:rPr>
          <w:rFonts w:ascii="Times New Roman" w:hAnsi="Times New Roman" w:cs="Times New Roman"/>
          <w:sz w:val="24"/>
          <w:szCs w:val="24"/>
        </w:rPr>
        <w:br/>
        <w:t>you write about a topic not on the list and I do not approve it, you will earn a zero</w:t>
      </w:r>
    </w:p>
    <w:p w14:paraId="318BB183" w14:textId="664DD83A" w:rsidR="005014E6" w:rsidRDefault="002860A3">
      <w:pPr>
        <w:rPr>
          <w:rFonts w:ascii="Times New Roman" w:hAnsi="Times New Roman" w:cs="Times New Roman"/>
          <w:sz w:val="24"/>
          <w:szCs w:val="24"/>
        </w:rPr>
      </w:pPr>
      <w:r>
        <w:rPr>
          <w:rFonts w:ascii="Times New Roman" w:hAnsi="Times New Roman" w:cs="Times New Roman"/>
          <w:sz w:val="24"/>
          <w:szCs w:val="24"/>
        </w:rPr>
        <w:t>Topic =</w:t>
      </w:r>
      <w:r w:rsidR="002F7D49" w:rsidRPr="002F7D49">
        <w:rPr>
          <w:rFonts w:ascii="Aptos Narrow" w:hAnsi="Aptos Narrow"/>
          <w:color w:val="242424"/>
          <w:shd w:val="clear" w:color="auto" w:fill="FFFFFF"/>
        </w:rPr>
        <w:t xml:space="preserve"> </w:t>
      </w:r>
      <w:r w:rsidR="002F7D49">
        <w:rPr>
          <w:rFonts w:ascii="Aptos Narrow" w:hAnsi="Aptos Narrow"/>
          <w:color w:val="242424"/>
          <w:shd w:val="clear" w:color="auto" w:fill="FFFFFF"/>
        </w:rPr>
        <w:t>T</w:t>
      </w:r>
      <w:r w:rsidR="002F7D49" w:rsidRPr="002F7D49">
        <w:rPr>
          <w:rFonts w:ascii="Times New Roman" w:hAnsi="Times New Roman" w:cs="Times New Roman"/>
          <w:sz w:val="24"/>
          <w:szCs w:val="24"/>
        </w:rPr>
        <w:t>he Effect of Meaningful Use and Interoperability on the healthcare system</w:t>
      </w:r>
    </w:p>
    <w:p w14:paraId="33D9F5C6" w14:textId="5A9BCB67" w:rsidR="0091101B" w:rsidRDefault="00EE1006">
      <w:pPr>
        <w:rPr>
          <w:rFonts w:ascii="Times New Roman" w:hAnsi="Times New Roman" w:cs="Times New Roman"/>
          <w:sz w:val="24"/>
          <w:szCs w:val="24"/>
        </w:rPr>
      </w:pPr>
      <w:r>
        <w:rPr>
          <w:rFonts w:ascii="Times New Roman" w:hAnsi="Times New Roman" w:cs="Times New Roman"/>
          <w:sz w:val="24"/>
          <w:szCs w:val="24"/>
        </w:rPr>
        <w:t xml:space="preserve">Must be in </w:t>
      </w:r>
      <w:r w:rsidR="0091101B">
        <w:rPr>
          <w:rFonts w:ascii="Times New Roman" w:hAnsi="Times New Roman" w:cs="Times New Roman"/>
          <w:sz w:val="24"/>
          <w:szCs w:val="24"/>
        </w:rPr>
        <w:t>APA format</w:t>
      </w:r>
    </w:p>
    <w:tbl>
      <w:tblPr>
        <w:tblW w:w="8656" w:type="dxa"/>
        <w:tblLook w:val="04A0" w:firstRow="1" w:lastRow="0" w:firstColumn="1" w:lastColumn="0" w:noHBand="0" w:noVBand="1"/>
      </w:tblPr>
      <w:tblGrid>
        <w:gridCol w:w="1475"/>
        <w:gridCol w:w="1600"/>
        <w:gridCol w:w="1515"/>
        <w:gridCol w:w="2203"/>
        <w:gridCol w:w="2557"/>
      </w:tblGrid>
      <w:tr w:rsidR="002F7D49" w:rsidRPr="002F7D49" w14:paraId="3827A914" w14:textId="77777777" w:rsidTr="002F7D49">
        <w:trPr>
          <w:trHeight w:val="900"/>
        </w:trPr>
        <w:tc>
          <w:tcPr>
            <w:tcW w:w="13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7D6C1" w14:textId="77777777" w:rsidR="002F7D49" w:rsidRPr="002F7D49" w:rsidRDefault="002F7D49" w:rsidP="002F7D49">
            <w:pPr>
              <w:spacing w:after="0" w:line="240" w:lineRule="auto"/>
              <w:jc w:val="center"/>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Standard</w:t>
            </w:r>
          </w:p>
        </w:tc>
        <w:tc>
          <w:tcPr>
            <w:tcW w:w="1453" w:type="dxa"/>
            <w:tcBorders>
              <w:top w:val="single" w:sz="4" w:space="0" w:color="auto"/>
              <w:left w:val="nil"/>
              <w:bottom w:val="single" w:sz="4" w:space="0" w:color="auto"/>
              <w:right w:val="single" w:sz="4" w:space="0" w:color="auto"/>
            </w:tcBorders>
            <w:shd w:val="clear" w:color="auto" w:fill="auto"/>
            <w:vAlign w:val="center"/>
            <w:hideMark/>
          </w:tcPr>
          <w:p w14:paraId="48F6641C" w14:textId="77777777" w:rsidR="002F7D49" w:rsidRPr="002F7D49" w:rsidRDefault="002F7D49" w:rsidP="002F7D49">
            <w:pPr>
              <w:spacing w:after="0" w:line="240" w:lineRule="auto"/>
              <w:jc w:val="center"/>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Exemplary (A)</w:t>
            </w:r>
          </w:p>
        </w:tc>
        <w:tc>
          <w:tcPr>
            <w:tcW w:w="1366" w:type="dxa"/>
            <w:tcBorders>
              <w:top w:val="single" w:sz="4" w:space="0" w:color="auto"/>
              <w:left w:val="nil"/>
              <w:bottom w:val="single" w:sz="4" w:space="0" w:color="auto"/>
              <w:right w:val="single" w:sz="4" w:space="0" w:color="auto"/>
            </w:tcBorders>
            <w:shd w:val="clear" w:color="auto" w:fill="auto"/>
            <w:vAlign w:val="center"/>
            <w:hideMark/>
          </w:tcPr>
          <w:p w14:paraId="2F6B5047" w14:textId="77777777" w:rsidR="002F7D49" w:rsidRPr="002F7D49" w:rsidRDefault="002F7D49" w:rsidP="002F7D49">
            <w:pPr>
              <w:spacing w:after="0" w:line="240" w:lineRule="auto"/>
              <w:jc w:val="center"/>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Good (B)</w:t>
            </w:r>
          </w:p>
        </w:tc>
        <w:tc>
          <w:tcPr>
            <w:tcW w:w="2074" w:type="dxa"/>
            <w:tcBorders>
              <w:top w:val="single" w:sz="4" w:space="0" w:color="auto"/>
              <w:left w:val="nil"/>
              <w:bottom w:val="single" w:sz="4" w:space="0" w:color="auto"/>
              <w:right w:val="single" w:sz="4" w:space="0" w:color="auto"/>
            </w:tcBorders>
            <w:shd w:val="clear" w:color="auto" w:fill="auto"/>
            <w:vAlign w:val="center"/>
            <w:hideMark/>
          </w:tcPr>
          <w:p w14:paraId="42F37FEC" w14:textId="77777777" w:rsidR="002F7D49" w:rsidRPr="002F7D49" w:rsidRDefault="002F7D49" w:rsidP="002F7D49">
            <w:pPr>
              <w:spacing w:after="0" w:line="240" w:lineRule="auto"/>
              <w:jc w:val="center"/>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Satisfactory (C)</w:t>
            </w:r>
          </w:p>
        </w:tc>
        <w:tc>
          <w:tcPr>
            <w:tcW w:w="2438" w:type="dxa"/>
            <w:tcBorders>
              <w:top w:val="single" w:sz="4" w:space="0" w:color="auto"/>
              <w:left w:val="nil"/>
              <w:bottom w:val="single" w:sz="4" w:space="0" w:color="auto"/>
              <w:right w:val="single" w:sz="4" w:space="0" w:color="auto"/>
            </w:tcBorders>
            <w:shd w:val="clear" w:color="auto" w:fill="auto"/>
            <w:vAlign w:val="center"/>
            <w:hideMark/>
          </w:tcPr>
          <w:p w14:paraId="127F4931" w14:textId="77777777" w:rsidR="002F7D49" w:rsidRPr="002F7D49" w:rsidRDefault="002F7D49" w:rsidP="002F7D49">
            <w:pPr>
              <w:spacing w:after="0" w:line="240" w:lineRule="auto"/>
              <w:jc w:val="center"/>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Unsatisfactory (D)</w:t>
            </w:r>
          </w:p>
        </w:tc>
      </w:tr>
      <w:tr w:rsidR="002F7D49" w:rsidRPr="002F7D49" w14:paraId="79A1424D" w14:textId="77777777" w:rsidTr="002F7D49">
        <w:trPr>
          <w:trHeight w:val="8190"/>
        </w:trPr>
        <w:tc>
          <w:tcPr>
            <w:tcW w:w="1325" w:type="dxa"/>
            <w:tcBorders>
              <w:top w:val="nil"/>
              <w:left w:val="single" w:sz="4" w:space="0" w:color="auto"/>
              <w:bottom w:val="single" w:sz="4" w:space="0" w:color="auto"/>
              <w:right w:val="single" w:sz="4" w:space="0" w:color="auto"/>
            </w:tcBorders>
            <w:shd w:val="clear" w:color="auto" w:fill="auto"/>
            <w:vAlign w:val="center"/>
            <w:hideMark/>
          </w:tcPr>
          <w:p w14:paraId="648E3AA8" w14:textId="77777777" w:rsidR="002F7D49" w:rsidRPr="002F7D49" w:rsidRDefault="002F7D49" w:rsidP="002F7D49">
            <w:pPr>
              <w:spacing w:after="0" w:line="240" w:lineRule="auto"/>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lastRenderedPageBreak/>
              <w:t>Uses Information Effectively to Accomplish a Specific Purpose</w:t>
            </w:r>
          </w:p>
        </w:tc>
        <w:tc>
          <w:tcPr>
            <w:tcW w:w="1453" w:type="dxa"/>
            <w:tcBorders>
              <w:top w:val="nil"/>
              <w:left w:val="nil"/>
              <w:bottom w:val="single" w:sz="4" w:space="0" w:color="auto"/>
              <w:right w:val="single" w:sz="4" w:space="0" w:color="auto"/>
            </w:tcBorders>
            <w:shd w:val="clear" w:color="auto" w:fill="auto"/>
            <w:vAlign w:val="center"/>
            <w:hideMark/>
          </w:tcPr>
          <w:p w14:paraId="3F6D296E"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Analyzes, synthesizes, and organizes relevant information from </w:t>
            </w:r>
            <w:r w:rsidRPr="002F7D49">
              <w:rPr>
                <w:rFonts w:ascii="Aptos Narrow" w:eastAsia="Times New Roman" w:hAnsi="Aptos Narrow" w:cs="Times New Roman"/>
                <w:b/>
                <w:bCs/>
                <w:color w:val="000000"/>
                <w:kern w:val="0"/>
                <w14:ligatures w14:val="none"/>
              </w:rPr>
              <w:t>highest-quality sources</w:t>
            </w:r>
            <w:r w:rsidRPr="002F7D49">
              <w:rPr>
                <w:rFonts w:ascii="Aptos Narrow" w:eastAsia="Times New Roman" w:hAnsi="Aptos Narrow" w:cs="Times New Roman"/>
                <w:color w:val="000000"/>
                <w:kern w:val="0"/>
                <w14:ligatures w14:val="none"/>
              </w:rPr>
              <w:t xml:space="preserve"> to fully achieve a specific purpose, with clarity and depth. Analysis includes different perspectives. Uses information ethically and legally. Intended purpose is fully realized.</w:t>
            </w:r>
          </w:p>
        </w:tc>
        <w:tc>
          <w:tcPr>
            <w:tcW w:w="1366" w:type="dxa"/>
            <w:tcBorders>
              <w:top w:val="nil"/>
              <w:left w:val="nil"/>
              <w:bottom w:val="single" w:sz="4" w:space="0" w:color="auto"/>
              <w:right w:val="single" w:sz="4" w:space="0" w:color="auto"/>
            </w:tcBorders>
            <w:shd w:val="clear" w:color="auto" w:fill="auto"/>
            <w:vAlign w:val="center"/>
            <w:hideMark/>
          </w:tcPr>
          <w:p w14:paraId="59DB381A"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Analyzes, synthesizes, and organizes relevant information from </w:t>
            </w:r>
            <w:r w:rsidRPr="002F7D49">
              <w:rPr>
                <w:rFonts w:ascii="Aptos Narrow" w:eastAsia="Times New Roman" w:hAnsi="Aptos Narrow" w:cs="Times New Roman"/>
                <w:b/>
                <w:bCs/>
                <w:color w:val="000000"/>
                <w:kern w:val="0"/>
                <w14:ligatures w14:val="none"/>
              </w:rPr>
              <w:t>reputable sources</w:t>
            </w:r>
            <w:r w:rsidRPr="002F7D49">
              <w:rPr>
                <w:rFonts w:ascii="Aptos Narrow" w:eastAsia="Times New Roman" w:hAnsi="Aptos Narrow" w:cs="Times New Roman"/>
                <w:color w:val="000000"/>
                <w:kern w:val="0"/>
                <w14:ligatures w14:val="none"/>
              </w:rPr>
              <w:t xml:space="preserve"> and includes multiple perspectives. Uses information ethically and legally. Intended purpose is achieved at an above-average level.</w:t>
            </w:r>
          </w:p>
        </w:tc>
        <w:tc>
          <w:tcPr>
            <w:tcW w:w="2074" w:type="dxa"/>
            <w:tcBorders>
              <w:top w:val="nil"/>
              <w:left w:val="nil"/>
              <w:bottom w:val="single" w:sz="4" w:space="0" w:color="auto"/>
              <w:right w:val="single" w:sz="4" w:space="0" w:color="auto"/>
            </w:tcBorders>
            <w:shd w:val="clear" w:color="auto" w:fill="auto"/>
            <w:vAlign w:val="center"/>
            <w:hideMark/>
          </w:tcPr>
          <w:p w14:paraId="4A0420CD"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Analysis, synthesis, and organization of information achieves only a </w:t>
            </w:r>
            <w:r w:rsidRPr="002F7D49">
              <w:rPr>
                <w:rFonts w:ascii="Aptos Narrow" w:eastAsia="Times New Roman" w:hAnsi="Aptos Narrow" w:cs="Times New Roman"/>
                <w:b/>
                <w:bCs/>
                <w:color w:val="000000"/>
                <w:kern w:val="0"/>
                <w14:ligatures w14:val="none"/>
              </w:rPr>
              <w:t>minimal level of purpose</w:t>
            </w:r>
            <w:r w:rsidRPr="002F7D49">
              <w:rPr>
                <w:rFonts w:ascii="Aptos Narrow" w:eastAsia="Times New Roman" w:hAnsi="Aptos Narrow" w:cs="Times New Roman"/>
                <w:color w:val="000000"/>
                <w:kern w:val="0"/>
                <w14:ligatures w14:val="none"/>
              </w:rPr>
              <w:t>. Uses information ethically and legally. Has one or more issues: one or two irrelevant/questionable sources, information not fully synthesized, analysis not fully realized, or different perspectives not fully explored.</w:t>
            </w:r>
          </w:p>
        </w:tc>
        <w:tc>
          <w:tcPr>
            <w:tcW w:w="2438" w:type="dxa"/>
            <w:tcBorders>
              <w:top w:val="nil"/>
              <w:left w:val="nil"/>
              <w:bottom w:val="single" w:sz="4" w:space="0" w:color="auto"/>
              <w:right w:val="single" w:sz="4" w:space="0" w:color="auto"/>
            </w:tcBorders>
            <w:shd w:val="clear" w:color="auto" w:fill="auto"/>
            <w:vAlign w:val="center"/>
            <w:hideMark/>
          </w:tcPr>
          <w:p w14:paraId="1B6B2CC5"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Information is from irrelevant or poor-quality sources, or information is fragmented/inappropriately used (misquoted, taken out of context, incorrectly paraphrased, etc.), so the intended purpose is not achieved.</w:t>
            </w:r>
          </w:p>
        </w:tc>
      </w:tr>
      <w:tr w:rsidR="002F7D49" w:rsidRPr="002F7D49" w14:paraId="7A5AD906" w14:textId="77777777" w:rsidTr="002F7D49">
        <w:trPr>
          <w:trHeight w:val="8190"/>
        </w:trPr>
        <w:tc>
          <w:tcPr>
            <w:tcW w:w="1325" w:type="dxa"/>
            <w:tcBorders>
              <w:top w:val="nil"/>
              <w:left w:val="single" w:sz="4" w:space="0" w:color="auto"/>
              <w:bottom w:val="single" w:sz="4" w:space="0" w:color="auto"/>
              <w:right w:val="single" w:sz="4" w:space="0" w:color="auto"/>
            </w:tcBorders>
            <w:shd w:val="clear" w:color="auto" w:fill="auto"/>
            <w:vAlign w:val="center"/>
            <w:hideMark/>
          </w:tcPr>
          <w:p w14:paraId="3A7981C7" w14:textId="77777777" w:rsidR="002F7D49" w:rsidRPr="002F7D49" w:rsidRDefault="002F7D49" w:rsidP="002F7D49">
            <w:pPr>
              <w:spacing w:after="0" w:line="240" w:lineRule="auto"/>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lastRenderedPageBreak/>
              <w:t>Demonstrates Mastery of Course Material</w:t>
            </w:r>
          </w:p>
        </w:tc>
        <w:tc>
          <w:tcPr>
            <w:tcW w:w="1453" w:type="dxa"/>
            <w:tcBorders>
              <w:top w:val="nil"/>
              <w:left w:val="nil"/>
              <w:bottom w:val="single" w:sz="4" w:space="0" w:color="auto"/>
              <w:right w:val="single" w:sz="4" w:space="0" w:color="auto"/>
            </w:tcBorders>
            <w:shd w:val="clear" w:color="auto" w:fill="auto"/>
            <w:vAlign w:val="center"/>
            <w:hideMark/>
          </w:tcPr>
          <w:p w14:paraId="6274883B"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Creates an </w:t>
            </w:r>
            <w:r w:rsidRPr="002F7D49">
              <w:rPr>
                <w:rFonts w:ascii="Aptos Narrow" w:eastAsia="Times New Roman" w:hAnsi="Aptos Narrow" w:cs="Times New Roman"/>
                <w:b/>
                <w:bCs/>
                <w:color w:val="000000"/>
                <w:kern w:val="0"/>
                <w14:ligatures w14:val="none"/>
              </w:rPr>
              <w:t>original work product</w:t>
            </w:r>
            <w:r w:rsidRPr="002F7D49">
              <w:rPr>
                <w:rFonts w:ascii="Aptos Narrow" w:eastAsia="Times New Roman" w:hAnsi="Aptos Narrow" w:cs="Times New Roman"/>
                <w:color w:val="000000"/>
                <w:kern w:val="0"/>
                <w14:ligatures w14:val="none"/>
              </w:rPr>
              <w:t xml:space="preserve"> that effectively integrates, synthesizes, and applies course theory and important course content. Offers </w:t>
            </w:r>
            <w:r w:rsidRPr="002F7D49">
              <w:rPr>
                <w:rFonts w:ascii="Aptos Narrow" w:eastAsia="Times New Roman" w:hAnsi="Aptos Narrow" w:cs="Times New Roman"/>
                <w:b/>
                <w:bCs/>
                <w:color w:val="000000"/>
                <w:kern w:val="0"/>
                <w14:ligatures w14:val="none"/>
              </w:rPr>
              <w:t>insightful and novel interpretations, ideas, or actions</w:t>
            </w:r>
            <w:r w:rsidRPr="002F7D49">
              <w:rPr>
                <w:rFonts w:ascii="Aptos Narrow" w:eastAsia="Times New Roman" w:hAnsi="Aptos Narrow" w:cs="Times New Roman"/>
                <w:color w:val="000000"/>
                <w:kern w:val="0"/>
                <w14:ligatures w14:val="none"/>
              </w:rPr>
              <w:t>.</w:t>
            </w:r>
          </w:p>
        </w:tc>
        <w:tc>
          <w:tcPr>
            <w:tcW w:w="1366" w:type="dxa"/>
            <w:tcBorders>
              <w:top w:val="nil"/>
              <w:left w:val="nil"/>
              <w:bottom w:val="single" w:sz="4" w:space="0" w:color="auto"/>
              <w:right w:val="single" w:sz="4" w:space="0" w:color="auto"/>
            </w:tcBorders>
            <w:shd w:val="clear" w:color="auto" w:fill="auto"/>
            <w:vAlign w:val="center"/>
            <w:hideMark/>
          </w:tcPr>
          <w:p w14:paraId="2B9B3094"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Creates an original work product that effectively integrates, synthesizes, and applies course theory and important course content. Produces insightful and analytical outcomes but </w:t>
            </w:r>
            <w:r w:rsidRPr="002F7D49">
              <w:rPr>
                <w:rFonts w:ascii="Aptos Narrow" w:eastAsia="Times New Roman" w:hAnsi="Aptos Narrow" w:cs="Times New Roman"/>
                <w:b/>
                <w:bCs/>
                <w:color w:val="000000"/>
                <w:kern w:val="0"/>
                <w14:ligatures w14:val="none"/>
              </w:rPr>
              <w:t>does not offer a novel interpretation, idea, or action</w:t>
            </w:r>
            <w:r w:rsidRPr="002F7D49">
              <w:rPr>
                <w:rFonts w:ascii="Aptos Narrow" w:eastAsia="Times New Roman" w:hAnsi="Aptos Narrow" w:cs="Times New Roman"/>
                <w:color w:val="000000"/>
                <w:kern w:val="0"/>
                <w14:ligatures w14:val="none"/>
              </w:rPr>
              <w:t>.</w:t>
            </w:r>
          </w:p>
        </w:tc>
        <w:tc>
          <w:tcPr>
            <w:tcW w:w="2074" w:type="dxa"/>
            <w:tcBorders>
              <w:top w:val="nil"/>
              <w:left w:val="nil"/>
              <w:bottom w:val="single" w:sz="4" w:space="0" w:color="auto"/>
              <w:right w:val="single" w:sz="4" w:space="0" w:color="auto"/>
            </w:tcBorders>
            <w:shd w:val="clear" w:color="auto" w:fill="auto"/>
            <w:vAlign w:val="center"/>
            <w:hideMark/>
          </w:tcPr>
          <w:p w14:paraId="7BA35BE1"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Creates an original work product that integrates, synthesizes, and applies course theory and important course content at a </w:t>
            </w:r>
            <w:r w:rsidRPr="002F7D49">
              <w:rPr>
                <w:rFonts w:ascii="Aptos Narrow" w:eastAsia="Times New Roman" w:hAnsi="Aptos Narrow" w:cs="Times New Roman"/>
                <w:b/>
                <w:bCs/>
                <w:color w:val="000000"/>
                <w:kern w:val="0"/>
                <w14:ligatures w14:val="none"/>
              </w:rPr>
              <w:t>minimal level</w:t>
            </w:r>
            <w:r w:rsidRPr="002F7D49">
              <w:rPr>
                <w:rFonts w:ascii="Aptos Narrow" w:eastAsia="Times New Roman" w:hAnsi="Aptos Narrow" w:cs="Times New Roman"/>
                <w:color w:val="000000"/>
                <w:kern w:val="0"/>
                <w14:ligatures w14:val="none"/>
              </w:rPr>
              <w:t>.</w:t>
            </w:r>
          </w:p>
        </w:tc>
        <w:tc>
          <w:tcPr>
            <w:tcW w:w="2438" w:type="dxa"/>
            <w:tcBorders>
              <w:top w:val="nil"/>
              <w:left w:val="nil"/>
              <w:bottom w:val="single" w:sz="4" w:space="0" w:color="auto"/>
              <w:right w:val="single" w:sz="4" w:space="0" w:color="auto"/>
            </w:tcBorders>
            <w:shd w:val="clear" w:color="auto" w:fill="auto"/>
            <w:vAlign w:val="center"/>
            <w:hideMark/>
          </w:tcPr>
          <w:p w14:paraId="4508B6D5"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Creates an original work product that does not effectively integrate, synthesize, or apply course theory and important course content.</w:t>
            </w:r>
          </w:p>
        </w:tc>
      </w:tr>
      <w:tr w:rsidR="002F7D49" w:rsidRPr="002F7D49" w14:paraId="4DA45272" w14:textId="77777777" w:rsidTr="002F7D49">
        <w:trPr>
          <w:trHeight w:val="6300"/>
        </w:trPr>
        <w:tc>
          <w:tcPr>
            <w:tcW w:w="1325" w:type="dxa"/>
            <w:tcBorders>
              <w:top w:val="nil"/>
              <w:left w:val="single" w:sz="4" w:space="0" w:color="auto"/>
              <w:bottom w:val="single" w:sz="4" w:space="0" w:color="auto"/>
              <w:right w:val="single" w:sz="4" w:space="0" w:color="auto"/>
            </w:tcBorders>
            <w:shd w:val="clear" w:color="auto" w:fill="auto"/>
            <w:vAlign w:val="center"/>
            <w:hideMark/>
          </w:tcPr>
          <w:p w14:paraId="0A44BE9C" w14:textId="77777777" w:rsidR="002F7D49" w:rsidRPr="002F7D49" w:rsidRDefault="002F7D49" w:rsidP="002F7D49">
            <w:pPr>
              <w:spacing w:after="0" w:line="240" w:lineRule="auto"/>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lastRenderedPageBreak/>
              <w:t>Context of and Purpose for Writing</w:t>
            </w:r>
          </w:p>
        </w:tc>
        <w:tc>
          <w:tcPr>
            <w:tcW w:w="1453" w:type="dxa"/>
            <w:tcBorders>
              <w:top w:val="nil"/>
              <w:left w:val="nil"/>
              <w:bottom w:val="single" w:sz="4" w:space="0" w:color="auto"/>
              <w:right w:val="single" w:sz="4" w:space="0" w:color="auto"/>
            </w:tcBorders>
            <w:shd w:val="clear" w:color="auto" w:fill="auto"/>
            <w:vAlign w:val="center"/>
            <w:hideMark/>
          </w:tcPr>
          <w:p w14:paraId="0A510ADE"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Demonstrates a </w:t>
            </w:r>
            <w:r w:rsidRPr="002F7D49">
              <w:rPr>
                <w:rFonts w:ascii="Aptos Narrow" w:eastAsia="Times New Roman" w:hAnsi="Aptos Narrow" w:cs="Times New Roman"/>
                <w:b/>
                <w:bCs/>
                <w:color w:val="000000"/>
                <w:kern w:val="0"/>
                <w14:ligatures w14:val="none"/>
              </w:rPr>
              <w:t>thorough understanding</w:t>
            </w:r>
            <w:r w:rsidRPr="002F7D49">
              <w:rPr>
                <w:rFonts w:ascii="Aptos Narrow" w:eastAsia="Times New Roman" w:hAnsi="Aptos Narrow" w:cs="Times New Roman"/>
                <w:color w:val="000000"/>
                <w:kern w:val="0"/>
                <w14:ligatures w14:val="none"/>
              </w:rPr>
              <w:t xml:space="preserve"> of context, audience, and purpose that is responsive to the assigned task(s), with clear alignment throughout the work.</w:t>
            </w:r>
          </w:p>
        </w:tc>
        <w:tc>
          <w:tcPr>
            <w:tcW w:w="1366" w:type="dxa"/>
            <w:tcBorders>
              <w:top w:val="nil"/>
              <w:left w:val="nil"/>
              <w:bottom w:val="single" w:sz="4" w:space="0" w:color="auto"/>
              <w:right w:val="single" w:sz="4" w:space="0" w:color="auto"/>
            </w:tcBorders>
            <w:shd w:val="clear" w:color="auto" w:fill="auto"/>
            <w:vAlign w:val="center"/>
            <w:hideMark/>
          </w:tcPr>
          <w:p w14:paraId="621A8FDB"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Demonstrates </w:t>
            </w:r>
            <w:r w:rsidRPr="002F7D49">
              <w:rPr>
                <w:rFonts w:ascii="Aptos Narrow" w:eastAsia="Times New Roman" w:hAnsi="Aptos Narrow" w:cs="Times New Roman"/>
                <w:b/>
                <w:bCs/>
                <w:color w:val="000000"/>
                <w:kern w:val="0"/>
                <w14:ligatures w14:val="none"/>
              </w:rPr>
              <w:t>adequate consideration</w:t>
            </w:r>
            <w:r w:rsidRPr="002F7D49">
              <w:rPr>
                <w:rFonts w:ascii="Aptos Narrow" w:eastAsia="Times New Roman" w:hAnsi="Aptos Narrow" w:cs="Times New Roman"/>
                <w:color w:val="000000"/>
                <w:kern w:val="0"/>
                <w14:ligatures w14:val="none"/>
              </w:rPr>
              <w:t xml:space="preserve"> of context, audience, and purpose with a clear focus on the assigned task(s).</w:t>
            </w:r>
          </w:p>
        </w:tc>
        <w:tc>
          <w:tcPr>
            <w:tcW w:w="2074" w:type="dxa"/>
            <w:tcBorders>
              <w:top w:val="nil"/>
              <w:left w:val="nil"/>
              <w:bottom w:val="single" w:sz="4" w:space="0" w:color="auto"/>
              <w:right w:val="single" w:sz="4" w:space="0" w:color="auto"/>
            </w:tcBorders>
            <w:shd w:val="clear" w:color="auto" w:fill="auto"/>
            <w:vAlign w:val="center"/>
            <w:hideMark/>
          </w:tcPr>
          <w:p w14:paraId="300DC104"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Demonstrates a </w:t>
            </w:r>
            <w:r w:rsidRPr="002F7D49">
              <w:rPr>
                <w:rFonts w:ascii="Aptos Narrow" w:eastAsia="Times New Roman" w:hAnsi="Aptos Narrow" w:cs="Times New Roman"/>
                <w:b/>
                <w:bCs/>
                <w:color w:val="000000"/>
                <w:kern w:val="0"/>
                <w14:ligatures w14:val="none"/>
              </w:rPr>
              <w:t>developing awareness</w:t>
            </w:r>
            <w:r w:rsidRPr="002F7D49">
              <w:rPr>
                <w:rFonts w:ascii="Aptos Narrow" w:eastAsia="Times New Roman" w:hAnsi="Aptos Narrow" w:cs="Times New Roman"/>
                <w:color w:val="000000"/>
                <w:kern w:val="0"/>
                <w14:ligatures w14:val="none"/>
              </w:rPr>
              <w:t xml:space="preserve"> of alignment among context, audience, and purpose.</w:t>
            </w:r>
          </w:p>
        </w:tc>
        <w:tc>
          <w:tcPr>
            <w:tcW w:w="2438" w:type="dxa"/>
            <w:tcBorders>
              <w:top w:val="nil"/>
              <w:left w:val="nil"/>
              <w:bottom w:val="single" w:sz="4" w:space="0" w:color="auto"/>
              <w:right w:val="single" w:sz="4" w:space="0" w:color="auto"/>
            </w:tcBorders>
            <w:shd w:val="clear" w:color="auto" w:fill="auto"/>
            <w:vAlign w:val="center"/>
            <w:hideMark/>
          </w:tcPr>
          <w:p w14:paraId="1AB284FB"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Fails to demonstrate alignment of context, audience, and purpose.</w:t>
            </w:r>
          </w:p>
        </w:tc>
      </w:tr>
      <w:tr w:rsidR="002F7D49" w:rsidRPr="002F7D49" w14:paraId="075E292C" w14:textId="77777777" w:rsidTr="002F7D49">
        <w:trPr>
          <w:trHeight w:val="6000"/>
        </w:trPr>
        <w:tc>
          <w:tcPr>
            <w:tcW w:w="1325" w:type="dxa"/>
            <w:tcBorders>
              <w:top w:val="nil"/>
              <w:left w:val="single" w:sz="4" w:space="0" w:color="auto"/>
              <w:bottom w:val="single" w:sz="4" w:space="0" w:color="auto"/>
              <w:right w:val="single" w:sz="4" w:space="0" w:color="auto"/>
            </w:tcBorders>
            <w:shd w:val="clear" w:color="auto" w:fill="auto"/>
            <w:vAlign w:val="center"/>
            <w:hideMark/>
          </w:tcPr>
          <w:p w14:paraId="33FBC145" w14:textId="77777777" w:rsidR="002F7D49" w:rsidRPr="002F7D49" w:rsidRDefault="002F7D49" w:rsidP="002F7D49">
            <w:pPr>
              <w:spacing w:after="0" w:line="240" w:lineRule="auto"/>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t>Control of Syntax and Mechanics</w:t>
            </w:r>
          </w:p>
        </w:tc>
        <w:tc>
          <w:tcPr>
            <w:tcW w:w="1453" w:type="dxa"/>
            <w:tcBorders>
              <w:top w:val="nil"/>
              <w:left w:val="nil"/>
              <w:bottom w:val="single" w:sz="4" w:space="0" w:color="auto"/>
              <w:right w:val="single" w:sz="4" w:space="0" w:color="auto"/>
            </w:tcBorders>
            <w:shd w:val="clear" w:color="auto" w:fill="auto"/>
            <w:vAlign w:val="center"/>
            <w:hideMark/>
          </w:tcPr>
          <w:p w14:paraId="5C325672"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Uses language and professional jargon that skillfully communicates meaning with </w:t>
            </w:r>
            <w:r w:rsidRPr="002F7D49">
              <w:rPr>
                <w:rFonts w:ascii="Aptos Narrow" w:eastAsia="Times New Roman" w:hAnsi="Aptos Narrow" w:cs="Times New Roman"/>
                <w:b/>
                <w:bCs/>
                <w:color w:val="000000"/>
                <w:kern w:val="0"/>
                <w14:ligatures w14:val="none"/>
              </w:rPr>
              <w:t>power, clarity, and fluency</w:t>
            </w:r>
            <w:r w:rsidRPr="002F7D49">
              <w:rPr>
                <w:rFonts w:ascii="Aptos Narrow" w:eastAsia="Times New Roman" w:hAnsi="Aptos Narrow" w:cs="Times New Roman"/>
                <w:color w:val="000000"/>
                <w:kern w:val="0"/>
                <w14:ligatures w14:val="none"/>
              </w:rPr>
              <w:t xml:space="preserve"> and is </w:t>
            </w:r>
            <w:r w:rsidRPr="002F7D49">
              <w:rPr>
                <w:rFonts w:ascii="Aptos Narrow" w:eastAsia="Times New Roman" w:hAnsi="Aptos Narrow" w:cs="Times New Roman"/>
                <w:b/>
                <w:bCs/>
                <w:color w:val="000000"/>
                <w:kern w:val="0"/>
                <w14:ligatures w14:val="none"/>
              </w:rPr>
              <w:t>virtually error-free</w:t>
            </w:r>
            <w:r w:rsidRPr="002F7D49">
              <w:rPr>
                <w:rFonts w:ascii="Aptos Narrow" w:eastAsia="Times New Roman" w:hAnsi="Aptos Narrow" w:cs="Times New Roman"/>
                <w:color w:val="000000"/>
                <w:kern w:val="0"/>
                <w14:ligatures w14:val="none"/>
              </w:rPr>
              <w:t>.</w:t>
            </w:r>
          </w:p>
        </w:tc>
        <w:tc>
          <w:tcPr>
            <w:tcW w:w="1366" w:type="dxa"/>
            <w:tcBorders>
              <w:top w:val="nil"/>
              <w:left w:val="nil"/>
              <w:bottom w:val="single" w:sz="4" w:space="0" w:color="auto"/>
              <w:right w:val="single" w:sz="4" w:space="0" w:color="auto"/>
            </w:tcBorders>
            <w:shd w:val="clear" w:color="auto" w:fill="auto"/>
            <w:vAlign w:val="center"/>
            <w:hideMark/>
          </w:tcPr>
          <w:p w14:paraId="122B4037"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Uses straightforward and professional language that generally conveys meaning. </w:t>
            </w:r>
            <w:r w:rsidRPr="002F7D49">
              <w:rPr>
                <w:rFonts w:ascii="Aptos Narrow" w:eastAsia="Times New Roman" w:hAnsi="Aptos Narrow" w:cs="Times New Roman"/>
                <w:b/>
                <w:bCs/>
                <w:color w:val="000000"/>
                <w:kern w:val="0"/>
                <w14:ligatures w14:val="none"/>
              </w:rPr>
              <w:t>Few errors.</w:t>
            </w:r>
          </w:p>
        </w:tc>
        <w:tc>
          <w:tcPr>
            <w:tcW w:w="2074" w:type="dxa"/>
            <w:tcBorders>
              <w:top w:val="nil"/>
              <w:left w:val="nil"/>
              <w:bottom w:val="single" w:sz="4" w:space="0" w:color="auto"/>
              <w:right w:val="single" w:sz="4" w:space="0" w:color="auto"/>
            </w:tcBorders>
            <w:shd w:val="clear" w:color="auto" w:fill="auto"/>
            <w:vAlign w:val="center"/>
            <w:hideMark/>
          </w:tcPr>
          <w:p w14:paraId="204B2791"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Language generally conveys meaning, although writing contains </w:t>
            </w:r>
            <w:r w:rsidRPr="002F7D49">
              <w:rPr>
                <w:rFonts w:ascii="Aptos Narrow" w:eastAsia="Times New Roman" w:hAnsi="Aptos Narrow" w:cs="Times New Roman"/>
                <w:b/>
                <w:bCs/>
                <w:color w:val="000000"/>
                <w:kern w:val="0"/>
                <w14:ligatures w14:val="none"/>
              </w:rPr>
              <w:t>more than minimal errors</w:t>
            </w:r>
            <w:r w:rsidRPr="002F7D49">
              <w:rPr>
                <w:rFonts w:ascii="Aptos Narrow" w:eastAsia="Times New Roman" w:hAnsi="Aptos Narrow" w:cs="Times New Roman"/>
                <w:color w:val="000000"/>
                <w:kern w:val="0"/>
                <w14:ligatures w14:val="none"/>
              </w:rPr>
              <w:t>.</w:t>
            </w:r>
          </w:p>
        </w:tc>
        <w:tc>
          <w:tcPr>
            <w:tcW w:w="2438" w:type="dxa"/>
            <w:tcBorders>
              <w:top w:val="nil"/>
              <w:left w:val="nil"/>
              <w:bottom w:val="single" w:sz="4" w:space="0" w:color="auto"/>
              <w:right w:val="single" w:sz="4" w:space="0" w:color="auto"/>
            </w:tcBorders>
            <w:shd w:val="clear" w:color="auto" w:fill="auto"/>
            <w:vAlign w:val="center"/>
            <w:hideMark/>
          </w:tcPr>
          <w:p w14:paraId="7E39B83E" w14:textId="77777777"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Language sometimes impedes meaning because of errors in usage.</w:t>
            </w:r>
          </w:p>
        </w:tc>
      </w:tr>
      <w:tr w:rsidR="002F7D49" w:rsidRPr="002F7D49" w14:paraId="443C5C99" w14:textId="77777777" w:rsidTr="002F7D49">
        <w:trPr>
          <w:trHeight w:val="5700"/>
        </w:trPr>
        <w:tc>
          <w:tcPr>
            <w:tcW w:w="1325" w:type="dxa"/>
            <w:tcBorders>
              <w:top w:val="nil"/>
              <w:left w:val="single" w:sz="4" w:space="0" w:color="auto"/>
              <w:bottom w:val="single" w:sz="4" w:space="0" w:color="auto"/>
              <w:right w:val="single" w:sz="4" w:space="0" w:color="auto"/>
            </w:tcBorders>
            <w:shd w:val="clear" w:color="auto" w:fill="auto"/>
            <w:vAlign w:val="center"/>
            <w:hideMark/>
          </w:tcPr>
          <w:p w14:paraId="425E4032" w14:textId="77777777" w:rsidR="002F7D49" w:rsidRPr="002F7D49" w:rsidRDefault="002F7D49" w:rsidP="002F7D49">
            <w:pPr>
              <w:spacing w:after="0" w:line="240" w:lineRule="auto"/>
              <w:rPr>
                <w:rFonts w:ascii="Aptos Narrow" w:eastAsia="Times New Roman" w:hAnsi="Aptos Narrow" w:cs="Times New Roman"/>
                <w:b/>
                <w:bCs/>
                <w:color w:val="000000"/>
                <w:kern w:val="0"/>
                <w14:ligatures w14:val="none"/>
              </w:rPr>
            </w:pPr>
            <w:r w:rsidRPr="002F7D49">
              <w:rPr>
                <w:rFonts w:ascii="Aptos Narrow" w:eastAsia="Times New Roman" w:hAnsi="Aptos Narrow" w:cs="Times New Roman"/>
                <w:b/>
                <w:bCs/>
                <w:color w:val="000000"/>
                <w:kern w:val="0"/>
                <w14:ligatures w14:val="none"/>
              </w:rPr>
              <w:lastRenderedPageBreak/>
              <w:t>Followed Instructions</w:t>
            </w:r>
          </w:p>
        </w:tc>
        <w:tc>
          <w:tcPr>
            <w:tcW w:w="1453" w:type="dxa"/>
            <w:tcBorders>
              <w:top w:val="nil"/>
              <w:left w:val="nil"/>
              <w:bottom w:val="single" w:sz="4" w:space="0" w:color="auto"/>
              <w:right w:val="single" w:sz="4" w:space="0" w:color="auto"/>
            </w:tcBorders>
            <w:shd w:val="clear" w:color="auto" w:fill="auto"/>
            <w:vAlign w:val="center"/>
            <w:hideMark/>
          </w:tcPr>
          <w:p w14:paraId="34D19562" w14:textId="6F0AC339"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Followed assignment instructions: </w:t>
            </w:r>
            <w:r w:rsidRPr="002F7D49">
              <w:rPr>
                <w:rFonts w:ascii="Aptos Narrow" w:eastAsia="Times New Roman" w:hAnsi="Aptos Narrow" w:cs="Times New Roman"/>
                <w:b/>
                <w:bCs/>
                <w:color w:val="000000"/>
                <w:kern w:val="0"/>
                <w14:ligatures w14:val="none"/>
              </w:rPr>
              <w:t>all components included and at sufficient depth</w:t>
            </w:r>
            <w:r w:rsidRPr="002F7D49">
              <w:rPr>
                <w:rFonts w:ascii="Aptos Narrow" w:eastAsia="Times New Roman" w:hAnsi="Aptos Narrow" w:cs="Times New Roman"/>
                <w:color w:val="000000"/>
                <w:kern w:val="0"/>
                <w14:ligatures w14:val="none"/>
              </w:rPr>
              <w:t xml:space="preserve">, </w:t>
            </w:r>
            <w:r w:rsidR="00D02A8A">
              <w:rPr>
                <w:rFonts w:ascii="Aptos Narrow" w:eastAsia="Times New Roman" w:hAnsi="Aptos Narrow" w:cs="Times New Roman"/>
                <w:color w:val="000000"/>
                <w:kern w:val="0"/>
                <w14:ligatures w14:val="none"/>
              </w:rPr>
              <w:t xml:space="preserve">APA </w:t>
            </w:r>
            <w:r w:rsidRPr="002F7D49">
              <w:rPr>
                <w:rFonts w:ascii="Aptos Narrow" w:eastAsia="Times New Roman" w:hAnsi="Aptos Narrow" w:cs="Times New Roman"/>
                <w:color w:val="000000"/>
                <w:kern w:val="0"/>
                <w14:ligatures w14:val="none"/>
              </w:rPr>
              <w:t>formatting used accurately, submitted on time, etc.</w:t>
            </w:r>
          </w:p>
        </w:tc>
        <w:tc>
          <w:tcPr>
            <w:tcW w:w="1366" w:type="dxa"/>
            <w:tcBorders>
              <w:top w:val="nil"/>
              <w:left w:val="nil"/>
              <w:bottom w:val="single" w:sz="4" w:space="0" w:color="auto"/>
              <w:right w:val="single" w:sz="4" w:space="0" w:color="auto"/>
            </w:tcBorders>
            <w:shd w:val="clear" w:color="auto" w:fill="auto"/>
            <w:vAlign w:val="center"/>
            <w:hideMark/>
          </w:tcPr>
          <w:p w14:paraId="675C948F" w14:textId="2ECF3F62"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 xml:space="preserve">Followed all instructions, but </w:t>
            </w:r>
            <w:r w:rsidRPr="002F7D49">
              <w:rPr>
                <w:rFonts w:ascii="Aptos Narrow" w:eastAsia="Times New Roman" w:hAnsi="Aptos Narrow" w:cs="Times New Roman"/>
                <w:b/>
                <w:bCs/>
                <w:color w:val="000000"/>
                <w:kern w:val="0"/>
                <w14:ligatures w14:val="none"/>
              </w:rPr>
              <w:t>some components are not executed correctly</w:t>
            </w:r>
            <w:r w:rsidRPr="002F7D49">
              <w:rPr>
                <w:rFonts w:ascii="Aptos Narrow" w:eastAsia="Times New Roman" w:hAnsi="Aptos Narrow" w:cs="Times New Roman"/>
                <w:color w:val="000000"/>
                <w:kern w:val="0"/>
                <w14:ligatures w14:val="none"/>
              </w:rPr>
              <w:t xml:space="preserve"> or A</w:t>
            </w:r>
            <w:r w:rsidR="00D02A8A">
              <w:rPr>
                <w:rFonts w:ascii="Aptos Narrow" w:eastAsia="Times New Roman" w:hAnsi="Aptos Narrow" w:cs="Times New Roman"/>
                <w:color w:val="000000"/>
                <w:kern w:val="0"/>
                <w14:ligatures w14:val="none"/>
              </w:rPr>
              <w:t xml:space="preserve">PA </w:t>
            </w:r>
            <w:r w:rsidRPr="002F7D49">
              <w:rPr>
                <w:rFonts w:ascii="Aptos Narrow" w:eastAsia="Times New Roman" w:hAnsi="Aptos Narrow" w:cs="Times New Roman"/>
                <w:color w:val="000000"/>
                <w:kern w:val="0"/>
                <w14:ligatures w14:val="none"/>
              </w:rPr>
              <w:t>formatting is not consistently accurate.</w:t>
            </w:r>
          </w:p>
        </w:tc>
        <w:tc>
          <w:tcPr>
            <w:tcW w:w="2074" w:type="dxa"/>
            <w:tcBorders>
              <w:top w:val="nil"/>
              <w:left w:val="nil"/>
              <w:bottom w:val="single" w:sz="4" w:space="0" w:color="auto"/>
              <w:right w:val="single" w:sz="4" w:space="0" w:color="auto"/>
            </w:tcBorders>
            <w:shd w:val="clear" w:color="auto" w:fill="auto"/>
            <w:vAlign w:val="center"/>
            <w:hideMark/>
          </w:tcPr>
          <w:p w14:paraId="65BC287C" w14:textId="1930B534"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Followed some but not all instructions; no components are missing, but there are A</w:t>
            </w:r>
            <w:r w:rsidR="00D02A8A">
              <w:rPr>
                <w:rFonts w:ascii="Aptos Narrow" w:eastAsia="Times New Roman" w:hAnsi="Aptos Narrow" w:cs="Times New Roman"/>
                <w:color w:val="000000"/>
                <w:kern w:val="0"/>
                <w14:ligatures w14:val="none"/>
              </w:rPr>
              <w:t>PA</w:t>
            </w:r>
            <w:r w:rsidRPr="002F7D49">
              <w:rPr>
                <w:rFonts w:ascii="Aptos Narrow" w:eastAsia="Times New Roman" w:hAnsi="Aptos Narrow" w:cs="Times New Roman"/>
                <w:color w:val="000000"/>
                <w:kern w:val="0"/>
                <w14:ligatures w14:val="none"/>
              </w:rPr>
              <w:t xml:space="preserve"> formatting issues.</w:t>
            </w:r>
          </w:p>
        </w:tc>
        <w:tc>
          <w:tcPr>
            <w:tcW w:w="2438" w:type="dxa"/>
            <w:tcBorders>
              <w:top w:val="nil"/>
              <w:left w:val="nil"/>
              <w:bottom w:val="single" w:sz="4" w:space="0" w:color="auto"/>
              <w:right w:val="single" w:sz="4" w:space="0" w:color="auto"/>
            </w:tcBorders>
            <w:shd w:val="clear" w:color="auto" w:fill="auto"/>
            <w:vAlign w:val="center"/>
            <w:hideMark/>
          </w:tcPr>
          <w:p w14:paraId="7E6A0485" w14:textId="4322D633" w:rsidR="002F7D49" w:rsidRPr="002F7D49" w:rsidRDefault="002F7D49" w:rsidP="002F7D49">
            <w:pPr>
              <w:spacing w:after="0" w:line="240" w:lineRule="auto"/>
              <w:rPr>
                <w:rFonts w:ascii="Aptos Narrow" w:eastAsia="Times New Roman" w:hAnsi="Aptos Narrow" w:cs="Times New Roman"/>
                <w:color w:val="000000"/>
                <w:kern w:val="0"/>
                <w14:ligatures w14:val="none"/>
              </w:rPr>
            </w:pPr>
            <w:r w:rsidRPr="002F7D49">
              <w:rPr>
                <w:rFonts w:ascii="Aptos Narrow" w:eastAsia="Times New Roman" w:hAnsi="Aptos Narrow" w:cs="Times New Roman"/>
                <w:color w:val="000000"/>
                <w:kern w:val="0"/>
                <w14:ligatures w14:val="none"/>
              </w:rPr>
              <w:t>Did not follow instructions, parts are missing, fails to use A</w:t>
            </w:r>
            <w:r w:rsidR="00D02A8A">
              <w:rPr>
                <w:rFonts w:ascii="Aptos Narrow" w:eastAsia="Times New Roman" w:hAnsi="Aptos Narrow" w:cs="Times New Roman"/>
                <w:color w:val="000000"/>
                <w:kern w:val="0"/>
                <w14:ligatures w14:val="none"/>
              </w:rPr>
              <w:t>P</w:t>
            </w:r>
            <w:r w:rsidRPr="002F7D49">
              <w:rPr>
                <w:rFonts w:ascii="Aptos Narrow" w:eastAsia="Times New Roman" w:hAnsi="Aptos Narrow" w:cs="Times New Roman"/>
                <w:color w:val="000000"/>
                <w:kern w:val="0"/>
                <w14:ligatures w14:val="none"/>
              </w:rPr>
              <w:t>A formatting, or submission is late.</w:t>
            </w:r>
          </w:p>
        </w:tc>
      </w:tr>
    </w:tbl>
    <w:p w14:paraId="4D668593" w14:textId="77777777" w:rsidR="00AD58C8" w:rsidRDefault="00AD58C8">
      <w:pPr>
        <w:rPr>
          <w:rFonts w:ascii="Times New Roman" w:hAnsi="Times New Roman" w:cs="Times New Roman"/>
          <w:sz w:val="24"/>
          <w:szCs w:val="24"/>
        </w:rPr>
      </w:pPr>
    </w:p>
    <w:p w14:paraId="553EC18A" w14:textId="77777777" w:rsidR="00AD58C8" w:rsidRDefault="00AD58C8">
      <w:pPr>
        <w:rPr>
          <w:rFonts w:ascii="Times New Roman" w:hAnsi="Times New Roman" w:cs="Times New Roman"/>
          <w:sz w:val="24"/>
          <w:szCs w:val="24"/>
        </w:rPr>
      </w:pPr>
    </w:p>
    <w:p w14:paraId="32E4ADDA" w14:textId="24DC260B" w:rsidR="00AD58C8" w:rsidRDefault="00AD58C8">
      <w:pPr>
        <w:rPr>
          <w:rFonts w:ascii="Times New Roman" w:hAnsi="Times New Roman" w:cs="Times New Roman"/>
          <w:b/>
          <w:bCs/>
          <w:sz w:val="24"/>
          <w:szCs w:val="24"/>
        </w:rPr>
      </w:pPr>
      <w:r w:rsidRPr="00AD58C8">
        <w:rPr>
          <w:rFonts w:ascii="Times New Roman" w:hAnsi="Times New Roman" w:cs="Times New Roman"/>
          <w:b/>
          <w:bCs/>
          <w:sz w:val="24"/>
          <w:szCs w:val="24"/>
        </w:rPr>
        <w:t>Meaningful Use and interoperability the foundation</w:t>
      </w:r>
      <w:r w:rsidRPr="00AD58C8">
        <w:rPr>
          <w:rFonts w:ascii="Times New Roman" w:hAnsi="Times New Roman" w:cs="Times New Roman"/>
          <w:sz w:val="24"/>
          <w:szCs w:val="24"/>
        </w:rPr>
        <w:t xml:space="preserve">, then analyze the </w:t>
      </w:r>
      <w:r w:rsidRPr="00AD58C8">
        <w:rPr>
          <w:rFonts w:ascii="Times New Roman" w:hAnsi="Times New Roman" w:cs="Times New Roman"/>
          <w:b/>
          <w:bCs/>
          <w:sz w:val="24"/>
          <w:szCs w:val="24"/>
        </w:rPr>
        <w:t>unintended cybersecurity and patient safety consequences</w:t>
      </w:r>
    </w:p>
    <w:p w14:paraId="159C4A95" w14:textId="77777777" w:rsidR="00AD58C8" w:rsidRDefault="00AD58C8">
      <w:pPr>
        <w:rPr>
          <w:rFonts w:ascii="Times New Roman" w:hAnsi="Times New Roman" w:cs="Times New Roman"/>
          <w:b/>
          <w:bCs/>
          <w:sz w:val="24"/>
          <w:szCs w:val="24"/>
        </w:rPr>
      </w:pPr>
    </w:p>
    <w:p w14:paraId="7ADD3909" w14:textId="77777777" w:rsidR="00AD58C8" w:rsidRP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FHIR</w:t>
      </w:r>
      <w:proofErr w:type="gramEnd"/>
      <w:r w:rsidRPr="00AD58C8">
        <w:rPr>
          <w:rFonts w:ascii="Times New Roman" w:hAnsi="Times New Roman" w:cs="Times New Roman"/>
          <w:sz w:val="24"/>
          <w:szCs w:val="24"/>
        </w:rPr>
        <w:t xml:space="preserve"> API security. </w:t>
      </w:r>
    </w:p>
    <w:p w14:paraId="13E2069B" w14:textId="77777777" w:rsidR="00AD58C8" w:rsidRP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DICOM</w:t>
      </w:r>
      <w:proofErr w:type="gramEnd"/>
      <w:r w:rsidRPr="00AD58C8">
        <w:rPr>
          <w:rFonts w:ascii="Times New Roman" w:hAnsi="Times New Roman" w:cs="Times New Roman"/>
          <w:sz w:val="24"/>
          <w:szCs w:val="24"/>
        </w:rPr>
        <w:t xml:space="preserve"> security. </w:t>
      </w:r>
    </w:p>
    <w:p w14:paraId="6124375B" w14:textId="77777777" w:rsidR="00AD58C8" w:rsidRP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Legacy</w:t>
      </w:r>
      <w:proofErr w:type="gramEnd"/>
      <w:r w:rsidRPr="00AD58C8">
        <w:rPr>
          <w:rFonts w:ascii="Times New Roman" w:hAnsi="Times New Roman" w:cs="Times New Roman"/>
          <w:sz w:val="24"/>
          <w:szCs w:val="24"/>
        </w:rPr>
        <w:t xml:space="preserve"> HL7 environments. </w:t>
      </w:r>
    </w:p>
    <w:p w14:paraId="3C2E1ABD" w14:textId="456C9019" w:rsid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AI</w:t>
      </w:r>
      <w:proofErr w:type="gramEnd"/>
      <w:r w:rsidRPr="00AD58C8">
        <w:rPr>
          <w:rFonts w:ascii="Times New Roman" w:hAnsi="Times New Roman" w:cs="Times New Roman"/>
          <w:sz w:val="24"/>
          <w:szCs w:val="24"/>
        </w:rPr>
        <w:t xml:space="preserve"> documentation systems.</w:t>
      </w:r>
    </w:p>
    <w:p w14:paraId="75F487E4" w14:textId="77777777" w:rsidR="00AD58C8" w:rsidRDefault="00AD58C8" w:rsidP="00AD58C8">
      <w:pPr>
        <w:rPr>
          <w:rFonts w:ascii="Times New Roman" w:hAnsi="Times New Roman" w:cs="Times New Roman"/>
          <w:sz w:val="24"/>
          <w:szCs w:val="24"/>
        </w:rPr>
      </w:pPr>
    </w:p>
    <w:p w14:paraId="5B292B30" w14:textId="77777777" w:rsidR="00AD58C8" w:rsidRP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xml:space="preserve">  </w:t>
      </w:r>
      <w:r w:rsidRPr="00AD58C8">
        <w:rPr>
          <w:rFonts w:ascii="Times New Roman" w:hAnsi="Times New Roman" w:cs="Times New Roman"/>
          <w:b/>
          <w:bCs/>
          <w:sz w:val="24"/>
          <w:szCs w:val="24"/>
        </w:rPr>
        <w:t>~</w:t>
      </w:r>
      <w:proofErr w:type="gramEnd"/>
      <w:r w:rsidRPr="00AD58C8">
        <w:rPr>
          <w:rFonts w:ascii="Times New Roman" w:hAnsi="Times New Roman" w:cs="Times New Roman"/>
          <w:b/>
          <w:bCs/>
          <w:sz w:val="24"/>
          <w:szCs w:val="24"/>
        </w:rPr>
        <w:t>1 page maximum:</w:t>
      </w:r>
      <w:r w:rsidRPr="00AD58C8">
        <w:rPr>
          <w:rFonts w:ascii="Times New Roman" w:hAnsi="Times New Roman" w:cs="Times New Roman"/>
          <w:sz w:val="24"/>
          <w:szCs w:val="24"/>
        </w:rPr>
        <w:t xml:space="preserve"> Background/context (HITECH Act, Meaningful Use, interoperability) </w:t>
      </w:r>
    </w:p>
    <w:p w14:paraId="571C5B2B" w14:textId="556AC45A" w:rsidR="00AD58C8" w:rsidRDefault="00AD58C8" w:rsidP="00AD58C8">
      <w:pPr>
        <w:rPr>
          <w:rFonts w:ascii="Times New Roman" w:hAnsi="Times New Roman" w:cs="Times New Roman"/>
          <w:sz w:val="24"/>
          <w:szCs w:val="24"/>
        </w:rPr>
      </w:pPr>
      <w:proofErr w:type="gramStart"/>
      <w:r w:rsidRPr="00AD58C8">
        <w:rPr>
          <w:rFonts w:ascii="Times New Roman" w:hAnsi="Times New Roman" w:cs="Times New Roman"/>
          <w:sz w:val="24"/>
          <w:szCs w:val="24"/>
        </w:rPr>
        <w:t xml:space="preserve">  </w:t>
      </w:r>
      <w:r w:rsidRPr="00AD58C8">
        <w:rPr>
          <w:rFonts w:ascii="Times New Roman" w:hAnsi="Times New Roman" w:cs="Times New Roman"/>
          <w:b/>
          <w:bCs/>
          <w:sz w:val="24"/>
          <w:szCs w:val="24"/>
        </w:rPr>
        <w:t>~</w:t>
      </w:r>
      <w:proofErr w:type="gramEnd"/>
      <w:r w:rsidRPr="00AD58C8">
        <w:rPr>
          <w:rFonts w:ascii="Times New Roman" w:hAnsi="Times New Roman" w:cs="Times New Roman"/>
          <w:b/>
          <w:bCs/>
          <w:sz w:val="24"/>
          <w:szCs w:val="24"/>
        </w:rPr>
        <w:t>3 pages:</w:t>
      </w:r>
      <w:r w:rsidRPr="00AD58C8">
        <w:rPr>
          <w:rFonts w:ascii="Times New Roman" w:hAnsi="Times New Roman" w:cs="Times New Roman"/>
          <w:sz w:val="24"/>
          <w:szCs w:val="24"/>
        </w:rPr>
        <w:t xml:space="preserve"> Analysis (technical debt, FHIR, DICOM, HIPAA, patient safety, best practices)</w:t>
      </w:r>
    </w:p>
    <w:p w14:paraId="4A3EB0EF" w14:textId="77777777" w:rsidR="00AD58C8" w:rsidRDefault="00AD58C8" w:rsidP="00AD58C8">
      <w:pPr>
        <w:rPr>
          <w:rFonts w:ascii="Times New Roman" w:hAnsi="Times New Roman" w:cs="Times New Roman"/>
          <w:sz w:val="24"/>
          <w:szCs w:val="24"/>
        </w:rPr>
      </w:pPr>
    </w:p>
    <w:p w14:paraId="16835117" w14:textId="77777777" w:rsidR="00AD58C8" w:rsidRDefault="00AD58C8" w:rsidP="00AD58C8">
      <w:pPr>
        <w:rPr>
          <w:rFonts w:ascii="Times New Roman" w:hAnsi="Times New Roman" w:cs="Times New Roman"/>
          <w:sz w:val="24"/>
          <w:szCs w:val="24"/>
        </w:rPr>
      </w:pPr>
    </w:p>
    <w:p w14:paraId="66417219" w14:textId="52511967" w:rsidR="00AD58C8" w:rsidRDefault="00AD58C8">
      <w:pPr>
        <w:rPr>
          <w:rFonts w:ascii="Times New Roman" w:hAnsi="Times New Roman" w:cs="Times New Roman"/>
          <w:b/>
          <w:bCs/>
          <w:sz w:val="24"/>
          <w:szCs w:val="24"/>
        </w:rPr>
      </w:pPr>
      <w:r>
        <w:rPr>
          <w:rFonts w:ascii="Times New Roman" w:hAnsi="Times New Roman" w:cs="Times New Roman"/>
          <w:b/>
          <w:bCs/>
          <w:sz w:val="24"/>
          <w:szCs w:val="24"/>
        </w:rPr>
        <w:br w:type="page"/>
      </w:r>
    </w:p>
    <w:p w14:paraId="4C4B69B9" w14:textId="77777777" w:rsidR="0062133B" w:rsidRDefault="0062133B" w:rsidP="0062133B">
      <w:pPr>
        <w:spacing w:line="480" w:lineRule="auto"/>
        <w:jc w:val="center"/>
        <w:rPr>
          <w:rFonts w:ascii="Times New Roman" w:hAnsi="Times New Roman" w:cs="Times New Roman"/>
          <w:b/>
          <w:bCs/>
          <w:sz w:val="24"/>
          <w:szCs w:val="24"/>
        </w:rPr>
      </w:pPr>
      <w:r w:rsidRPr="0007307D">
        <w:rPr>
          <w:rFonts w:ascii="Times New Roman" w:hAnsi="Times New Roman" w:cs="Times New Roman"/>
          <w:b/>
          <w:bCs/>
          <w:sz w:val="24"/>
          <w:szCs w:val="24"/>
        </w:rPr>
        <w:lastRenderedPageBreak/>
        <w:t>Healthcare Interoperability and Meaningful Use</w:t>
      </w:r>
      <w:r w:rsidRPr="0007307D">
        <w:rPr>
          <w:rFonts w:ascii="Times New Roman" w:hAnsi="Times New Roman" w:cs="Times New Roman"/>
          <w:b/>
          <w:bCs/>
          <w:sz w:val="24"/>
          <w:szCs w:val="24"/>
        </w:rPr>
        <w:br/>
        <w:t>Addressing Technical Debt</w:t>
      </w:r>
      <w:r>
        <w:rPr>
          <w:rFonts w:ascii="Times New Roman" w:hAnsi="Times New Roman" w:cs="Times New Roman"/>
          <w:b/>
          <w:bCs/>
          <w:sz w:val="24"/>
          <w:szCs w:val="24"/>
        </w:rPr>
        <w:t xml:space="preserve"> and Cybers</w:t>
      </w:r>
      <w:r w:rsidRPr="0007307D">
        <w:rPr>
          <w:rFonts w:ascii="Times New Roman" w:hAnsi="Times New Roman" w:cs="Times New Roman"/>
          <w:b/>
          <w:bCs/>
          <w:sz w:val="24"/>
          <w:szCs w:val="24"/>
        </w:rPr>
        <w:t>ecurity Risks</w:t>
      </w:r>
    </w:p>
    <w:p w14:paraId="0423B8CD" w14:textId="77777777" w:rsidR="0062133B" w:rsidRPr="004D0E21" w:rsidRDefault="0062133B" w:rsidP="0062133B">
      <w:pPr>
        <w:spacing w:line="480" w:lineRule="auto"/>
        <w:jc w:val="center"/>
        <w:rPr>
          <w:rFonts w:ascii="Times New Roman" w:hAnsi="Times New Roman" w:cs="Times New Roman"/>
          <w:sz w:val="24"/>
          <w:szCs w:val="24"/>
        </w:rPr>
      </w:pPr>
      <w:r>
        <w:rPr>
          <w:rFonts w:ascii="Times New Roman" w:hAnsi="Times New Roman" w:cs="Times New Roman"/>
          <w:sz w:val="24"/>
          <w:szCs w:val="24"/>
        </w:rPr>
        <w:t>Yatza Lo</w:t>
      </w:r>
      <w:r w:rsidRPr="00C46A0E">
        <w:rPr>
          <w:rFonts w:ascii="Times New Roman" w:hAnsi="Times New Roman" w:cs="Times New Roman"/>
          <w:sz w:val="24"/>
          <w:szCs w:val="24"/>
        </w:rPr>
        <w:br/>
        <w:t>School of Health Professions, Stony Brook University</w:t>
      </w:r>
      <w:r w:rsidRPr="00C46A0E">
        <w:rPr>
          <w:rFonts w:ascii="Times New Roman" w:hAnsi="Times New Roman" w:cs="Times New Roman"/>
          <w:sz w:val="24"/>
          <w:szCs w:val="24"/>
        </w:rPr>
        <w:br/>
      </w:r>
      <w:r w:rsidRPr="004D0E21">
        <w:rPr>
          <w:rFonts w:ascii="Times New Roman" w:hAnsi="Times New Roman" w:cs="Times New Roman"/>
          <w:sz w:val="24"/>
          <w:szCs w:val="24"/>
        </w:rPr>
        <w:t>HHA 503 - Healthcare Cybersecurity: Regulations, Confidentiality, and Privacy</w:t>
      </w:r>
    </w:p>
    <w:p w14:paraId="697534BC" w14:textId="170B479E" w:rsidR="0062133B" w:rsidRDefault="0062133B" w:rsidP="0062133B">
      <w:pPr>
        <w:spacing w:line="480" w:lineRule="auto"/>
        <w:jc w:val="center"/>
        <w:rPr>
          <w:rFonts w:ascii="Times New Roman" w:hAnsi="Times New Roman" w:cs="Times New Roman"/>
          <w:sz w:val="24"/>
          <w:szCs w:val="24"/>
        </w:rPr>
      </w:pPr>
      <w:r w:rsidRPr="004D0E21">
        <w:rPr>
          <w:rFonts w:ascii="Times New Roman" w:hAnsi="Times New Roman" w:cs="Times New Roman"/>
          <w:sz w:val="24"/>
          <w:szCs w:val="24"/>
        </w:rPr>
        <w:t>Professor Blake Benz</w:t>
      </w:r>
      <w:r w:rsidRPr="00C46A0E">
        <w:rPr>
          <w:rFonts w:ascii="Times New Roman" w:hAnsi="Times New Roman" w:cs="Times New Roman"/>
          <w:sz w:val="24"/>
          <w:szCs w:val="24"/>
        </w:rPr>
        <w:br/>
      </w:r>
      <w:r>
        <w:rPr>
          <w:rFonts w:ascii="Times New Roman" w:hAnsi="Times New Roman" w:cs="Times New Roman"/>
          <w:sz w:val="24"/>
          <w:szCs w:val="24"/>
        </w:rPr>
        <w:t>August 1</w:t>
      </w:r>
      <w:r w:rsidR="007535E7">
        <w:rPr>
          <w:rFonts w:ascii="Times New Roman" w:hAnsi="Times New Roman" w:cs="Times New Roman"/>
          <w:sz w:val="24"/>
          <w:szCs w:val="24"/>
        </w:rPr>
        <w:t>3</w:t>
      </w:r>
      <w:r>
        <w:rPr>
          <w:rFonts w:ascii="Times New Roman" w:hAnsi="Times New Roman" w:cs="Times New Roman"/>
          <w:sz w:val="24"/>
          <w:szCs w:val="24"/>
        </w:rPr>
        <w:t>, 2026</w:t>
      </w:r>
    </w:p>
    <w:p w14:paraId="50750D34" w14:textId="77777777" w:rsidR="0062133B" w:rsidRDefault="0062133B" w:rsidP="0062133B">
      <w:pPr>
        <w:rPr>
          <w:rFonts w:ascii="Times New Roman" w:hAnsi="Times New Roman" w:cs="Times New Roman"/>
          <w:sz w:val="24"/>
          <w:szCs w:val="24"/>
        </w:rPr>
      </w:pPr>
      <w:r>
        <w:rPr>
          <w:rFonts w:ascii="Times New Roman" w:hAnsi="Times New Roman" w:cs="Times New Roman"/>
          <w:sz w:val="24"/>
          <w:szCs w:val="24"/>
        </w:rPr>
        <w:br w:type="page"/>
      </w:r>
    </w:p>
    <w:p w14:paraId="358855DD" w14:textId="77777777" w:rsidR="0062133B" w:rsidRPr="00955BEE" w:rsidRDefault="0062133B" w:rsidP="0062133B">
      <w:pPr>
        <w:spacing w:after="240" w:line="480" w:lineRule="auto"/>
        <w:ind w:firstLine="720"/>
        <w:rPr>
          <w:rFonts w:ascii="Times New Roman" w:hAnsi="Times New Roman" w:cs="Times New Roman"/>
          <w:sz w:val="24"/>
          <w:szCs w:val="24"/>
        </w:rPr>
      </w:pPr>
      <w:r w:rsidRPr="00955BEE">
        <w:rPr>
          <w:rFonts w:ascii="Times New Roman" w:hAnsi="Times New Roman" w:cs="Times New Roman"/>
          <w:sz w:val="24"/>
          <w:szCs w:val="24"/>
        </w:rPr>
        <w:lastRenderedPageBreak/>
        <w:t xml:space="preserve">The Health Information Technology for Economic and Clinical Health (HITECH) Act accelerated EHR adoption through the Meaningful Use program, which provided financial incentives beginning in 2011 (Centers for Medicare &amp; Medicaid Services [CMS], 2023). Meaningful Use encouraged capabilities such as clinical decision support (CDS), computerized provider order entry (CPOE), electronic prescribing (e-prescribe), and health information exchange (HIE) (CMS, 2023; Kan, 2011). Research found Meaningful Use-related functionalities were associated with improvements in healthcare quality, patient safety, and efficiency (Jones et al., 2014).  However, expanding interoperability increased the number of systems and connections that healthcare organizations must protect, creating additional cybersecurity exposure when authorization, legacy infrastructure, and security governance do not mature at the same pace. The rapid adoption of EHR platforms, patient portals, application programming interfaces (APIs), medical imaging systems, and cloud-based services has further expanded the healthcare technology environment and its associated cybersecurity challenges (Office of the National Coordinator for Health Information Technology [ONC], 2026; Coventry &amp; </w:t>
      </w:r>
      <w:proofErr w:type="spellStart"/>
      <w:r w:rsidRPr="00955BEE">
        <w:rPr>
          <w:rFonts w:ascii="Times New Roman" w:hAnsi="Times New Roman" w:cs="Times New Roman"/>
          <w:sz w:val="24"/>
          <w:szCs w:val="24"/>
        </w:rPr>
        <w:t>Branley</w:t>
      </w:r>
      <w:proofErr w:type="spellEnd"/>
      <w:r w:rsidRPr="00955BEE">
        <w:rPr>
          <w:rFonts w:ascii="Times New Roman" w:hAnsi="Times New Roman" w:cs="Times New Roman"/>
          <w:sz w:val="24"/>
          <w:szCs w:val="24"/>
        </w:rPr>
        <w:t>, 2018).</w:t>
      </w:r>
    </w:p>
    <w:p w14:paraId="4A52CE2F" w14:textId="77777777" w:rsidR="0062133B" w:rsidRPr="00955BEE" w:rsidRDefault="0062133B" w:rsidP="0062133B">
      <w:pPr>
        <w:spacing w:after="240" w:line="480" w:lineRule="auto"/>
        <w:ind w:firstLine="720"/>
        <w:rPr>
          <w:rFonts w:ascii="Times New Roman" w:hAnsi="Times New Roman" w:cs="Times New Roman"/>
          <w:sz w:val="24"/>
          <w:szCs w:val="24"/>
        </w:rPr>
      </w:pPr>
      <w:r w:rsidRPr="00955BEE">
        <w:rPr>
          <w:rFonts w:ascii="Times New Roman" w:hAnsi="Times New Roman" w:cs="Times New Roman"/>
          <w:sz w:val="24"/>
          <w:szCs w:val="24"/>
        </w:rPr>
        <w:t xml:space="preserve">Fast Healthcare Interoperability Resources (FHIR) has become a critical component of healthcare data exchange by enabling API-based communication among EHR platforms, mobile applications, patient portals, and other healthcare technologies (Health Level Seven International [HL7], 2023; </w:t>
      </w:r>
      <w:proofErr w:type="spellStart"/>
      <w:r w:rsidRPr="00955BEE">
        <w:rPr>
          <w:rFonts w:ascii="Times New Roman" w:hAnsi="Times New Roman" w:cs="Times New Roman"/>
          <w:sz w:val="24"/>
          <w:szCs w:val="24"/>
        </w:rPr>
        <w:t>Saripalle</w:t>
      </w:r>
      <w:proofErr w:type="spellEnd"/>
      <w:r w:rsidRPr="00955BEE">
        <w:rPr>
          <w:rFonts w:ascii="Times New Roman" w:hAnsi="Times New Roman" w:cs="Times New Roman"/>
          <w:sz w:val="24"/>
          <w:szCs w:val="24"/>
        </w:rPr>
        <w:t xml:space="preserve"> et al., 2019). FHIR improves interoperability, but increased connectivity and API access also expand exposure to sensitive healthcare information.</w:t>
      </w:r>
      <w:r>
        <w:rPr>
          <w:rFonts w:ascii="Times New Roman" w:hAnsi="Times New Roman" w:cs="Times New Roman"/>
          <w:sz w:val="24"/>
          <w:szCs w:val="24"/>
        </w:rPr>
        <w:t xml:space="preserve"> S</w:t>
      </w:r>
      <w:r w:rsidRPr="00955BEE">
        <w:rPr>
          <w:rFonts w:ascii="Times New Roman" w:hAnsi="Times New Roman" w:cs="Times New Roman"/>
          <w:sz w:val="24"/>
          <w:szCs w:val="24"/>
        </w:rPr>
        <w:t>trong authentication, authorization, monitoring, and governance are essential</w:t>
      </w:r>
      <w:r>
        <w:rPr>
          <w:rFonts w:ascii="Times New Roman" w:hAnsi="Times New Roman" w:cs="Times New Roman"/>
          <w:sz w:val="24"/>
          <w:szCs w:val="24"/>
        </w:rPr>
        <w:t xml:space="preserve"> in addressing cybersecurity risks</w:t>
      </w:r>
      <w:r w:rsidRPr="00955BEE">
        <w:rPr>
          <w:rFonts w:ascii="Times New Roman" w:hAnsi="Times New Roman" w:cs="Times New Roman"/>
          <w:sz w:val="24"/>
          <w:szCs w:val="24"/>
        </w:rPr>
        <w:t>.</w:t>
      </w:r>
      <w:r>
        <w:rPr>
          <w:rFonts w:ascii="Times New Roman" w:hAnsi="Times New Roman" w:cs="Times New Roman"/>
          <w:sz w:val="24"/>
          <w:szCs w:val="24"/>
        </w:rPr>
        <w:t xml:space="preserve"> </w:t>
      </w:r>
      <w:r w:rsidRPr="00955BEE">
        <w:rPr>
          <w:rFonts w:ascii="Times New Roman" w:hAnsi="Times New Roman" w:cs="Times New Roman"/>
          <w:sz w:val="24"/>
          <w:szCs w:val="24"/>
        </w:rPr>
        <w:t>CVE-2026-24487</w:t>
      </w:r>
      <w:r>
        <w:rPr>
          <w:rFonts w:ascii="Times New Roman" w:hAnsi="Times New Roman" w:cs="Times New Roman"/>
          <w:sz w:val="24"/>
          <w:szCs w:val="24"/>
        </w:rPr>
        <w:t xml:space="preserve"> </w:t>
      </w:r>
      <w:r w:rsidRPr="00955BEE">
        <w:rPr>
          <w:rFonts w:ascii="Times New Roman" w:hAnsi="Times New Roman" w:cs="Times New Roman"/>
          <w:sz w:val="24"/>
          <w:szCs w:val="24"/>
        </w:rPr>
        <w:t xml:space="preserve">affected the </w:t>
      </w:r>
      <w:proofErr w:type="spellStart"/>
      <w:r w:rsidRPr="00955BEE">
        <w:rPr>
          <w:rFonts w:ascii="Times New Roman" w:hAnsi="Times New Roman" w:cs="Times New Roman"/>
          <w:sz w:val="24"/>
          <w:szCs w:val="24"/>
        </w:rPr>
        <w:t>OpenEMR</w:t>
      </w:r>
      <w:proofErr w:type="spellEnd"/>
      <w:r w:rsidRPr="00955BEE">
        <w:rPr>
          <w:rFonts w:ascii="Times New Roman" w:hAnsi="Times New Roman" w:cs="Times New Roman"/>
          <w:sz w:val="24"/>
          <w:szCs w:val="24"/>
        </w:rPr>
        <w:t xml:space="preserve"> FHIR </w:t>
      </w:r>
      <w:proofErr w:type="spellStart"/>
      <w:r w:rsidRPr="00955BEE">
        <w:rPr>
          <w:rFonts w:ascii="Times New Roman" w:hAnsi="Times New Roman" w:cs="Times New Roman"/>
          <w:sz w:val="24"/>
          <w:szCs w:val="24"/>
        </w:rPr>
        <w:t>CareTeam</w:t>
      </w:r>
      <w:proofErr w:type="spellEnd"/>
      <w:r w:rsidRPr="00955BEE">
        <w:rPr>
          <w:rFonts w:ascii="Times New Roman" w:hAnsi="Times New Roman" w:cs="Times New Roman"/>
          <w:sz w:val="24"/>
          <w:szCs w:val="24"/>
        </w:rPr>
        <w:t xml:space="preserve"> endpoint and allowed patient-scoped tokens to access care team data belonging to other patients (National Institute of Standards and </w:t>
      </w:r>
      <w:r w:rsidRPr="00955BEE">
        <w:rPr>
          <w:rFonts w:ascii="Times New Roman" w:hAnsi="Times New Roman" w:cs="Times New Roman"/>
          <w:sz w:val="24"/>
          <w:szCs w:val="24"/>
        </w:rPr>
        <w:lastRenderedPageBreak/>
        <w:t xml:space="preserve">Technology [NIST], 2026; </w:t>
      </w:r>
      <w:proofErr w:type="spellStart"/>
      <w:r w:rsidRPr="00955BEE">
        <w:rPr>
          <w:rFonts w:ascii="Times New Roman" w:hAnsi="Times New Roman" w:cs="Times New Roman"/>
          <w:sz w:val="24"/>
          <w:szCs w:val="24"/>
        </w:rPr>
        <w:t>SentinelOne</w:t>
      </w:r>
      <w:proofErr w:type="spellEnd"/>
      <w:r w:rsidRPr="00955BEE">
        <w:rPr>
          <w:rFonts w:ascii="Times New Roman" w:hAnsi="Times New Roman" w:cs="Times New Roman"/>
          <w:sz w:val="24"/>
          <w:szCs w:val="24"/>
        </w:rPr>
        <w:t xml:space="preserve">, 2026). Although the patient-scoped token was valid, the </w:t>
      </w:r>
      <w:proofErr w:type="spellStart"/>
      <w:r w:rsidRPr="00955BEE">
        <w:rPr>
          <w:rFonts w:ascii="Times New Roman" w:hAnsi="Times New Roman" w:cs="Times New Roman"/>
          <w:sz w:val="24"/>
          <w:szCs w:val="24"/>
        </w:rPr>
        <w:t>CareTeam</w:t>
      </w:r>
      <w:proofErr w:type="spellEnd"/>
      <w:r w:rsidRPr="00955BEE">
        <w:rPr>
          <w:rFonts w:ascii="Times New Roman" w:hAnsi="Times New Roman" w:cs="Times New Roman"/>
          <w:sz w:val="24"/>
          <w:szCs w:val="24"/>
        </w:rPr>
        <w:t xml:space="preserve"> endpoint did not adequately enforce patient-level authorization, allowing access to other patients' data. This example shows that secure interoperability requires more than strong authentication; it also depends on appropriate authorization and access controls.</w:t>
      </w:r>
    </w:p>
    <w:p w14:paraId="65BCC52D" w14:textId="4DABC352" w:rsidR="0062133B" w:rsidRPr="00955BEE" w:rsidRDefault="0062133B" w:rsidP="0062133B">
      <w:pPr>
        <w:spacing w:after="240" w:line="480" w:lineRule="auto"/>
        <w:ind w:firstLine="720"/>
        <w:rPr>
          <w:rFonts w:ascii="Times New Roman" w:hAnsi="Times New Roman" w:cs="Times New Roman"/>
          <w:sz w:val="24"/>
          <w:szCs w:val="24"/>
        </w:rPr>
      </w:pPr>
      <w:r w:rsidRPr="00955BEE">
        <w:rPr>
          <w:rFonts w:ascii="Times New Roman" w:hAnsi="Times New Roman" w:cs="Times New Roman"/>
          <w:sz w:val="24"/>
          <w:szCs w:val="24"/>
        </w:rPr>
        <w:t>Digital Imaging and Communications in Medicine (DICOM) presents another cybersecurity challenge within healthcare interoperability (National Electrical Manufacturers Association [NEMA], n.d.). DICOM-enabled imaging systems support teleradiology, which can improve access to radiological services and reduce administrative burden (CARE, 2023).</w:t>
      </w:r>
      <w:r>
        <w:rPr>
          <w:rFonts w:ascii="Times New Roman" w:hAnsi="Times New Roman" w:cs="Times New Roman"/>
          <w:sz w:val="24"/>
          <w:szCs w:val="24"/>
        </w:rPr>
        <w:t xml:space="preserve"> </w:t>
      </w:r>
      <w:r w:rsidRPr="00955BEE">
        <w:rPr>
          <w:rFonts w:ascii="Times New Roman" w:hAnsi="Times New Roman" w:cs="Times New Roman"/>
          <w:sz w:val="24"/>
          <w:szCs w:val="24"/>
        </w:rPr>
        <w:t xml:space="preserve">Despite these benefits, legacy systems combined with expanding connectivity can create additional risks within medical imaging environments (Desjardins et al., 2020). Cybersecurity incidents can disrupt healthcare services and result in fatal patient outcomes (Computer Fraud &amp; Security, 2020). </w:t>
      </w:r>
      <w:r w:rsidRPr="00E45FE0">
        <w:rPr>
          <w:rFonts w:ascii="Times New Roman" w:hAnsi="Times New Roman" w:cs="Times New Roman"/>
          <w:sz w:val="24"/>
          <w:szCs w:val="24"/>
        </w:rPr>
        <w:t xml:space="preserve">At the Black Hat Europe 2023 conference, researchers identified vulnerabilities associated with DICOM implementations and reported that the United States had the highest level of exposure, with approximately 18.2 million patient records potentially exposed through internet-connected systems. </w:t>
      </w:r>
      <w:r w:rsidR="002860A3" w:rsidRPr="00E45FE0">
        <w:rPr>
          <w:rFonts w:ascii="Times New Roman" w:hAnsi="Times New Roman" w:cs="Times New Roman"/>
          <w:sz w:val="24"/>
          <w:szCs w:val="24"/>
        </w:rPr>
        <w:t>Th</w:t>
      </w:r>
      <w:r w:rsidR="002860A3">
        <w:rPr>
          <w:rFonts w:ascii="Times New Roman" w:hAnsi="Times New Roman" w:cs="Times New Roman"/>
          <w:sz w:val="24"/>
          <w:szCs w:val="24"/>
        </w:rPr>
        <w:t>ese finding highlights</w:t>
      </w:r>
      <w:r w:rsidRPr="00E45FE0">
        <w:rPr>
          <w:rFonts w:ascii="Times New Roman" w:hAnsi="Times New Roman" w:cs="Times New Roman"/>
          <w:sz w:val="24"/>
          <w:szCs w:val="24"/>
        </w:rPr>
        <w:t xml:space="preserve"> how connecting legacy protocols to broader networks can increase the risk of DICOM data exposure when underlying systems and infrastructure are not adequately secured. Connecting Picture Archiving and Communication System (PACS) and imaging systems improves accessibility and radiology turnaround; however, legacy systems and outdated protocols can create security weaknesses.</w:t>
      </w:r>
      <w:r w:rsidRPr="00955BEE">
        <w:rPr>
          <w:rFonts w:ascii="Times New Roman" w:hAnsi="Times New Roman" w:cs="Times New Roman"/>
          <w:sz w:val="24"/>
          <w:szCs w:val="24"/>
        </w:rPr>
        <w:t xml:space="preserve"> Organizations should modernize these systems by applying network segmentation, vulnerability management, appropriate authorization, strong authentication, and continuous monitoring to reduce the risk of data breaches (Desjardins et al., 2020; Coventry &amp; </w:t>
      </w:r>
      <w:proofErr w:type="spellStart"/>
      <w:r w:rsidRPr="00955BEE">
        <w:rPr>
          <w:rFonts w:ascii="Times New Roman" w:hAnsi="Times New Roman" w:cs="Times New Roman"/>
          <w:sz w:val="24"/>
          <w:szCs w:val="24"/>
        </w:rPr>
        <w:t>Branley</w:t>
      </w:r>
      <w:proofErr w:type="spellEnd"/>
      <w:r w:rsidRPr="00955BEE">
        <w:rPr>
          <w:rFonts w:ascii="Times New Roman" w:hAnsi="Times New Roman" w:cs="Times New Roman"/>
          <w:sz w:val="24"/>
          <w:szCs w:val="24"/>
        </w:rPr>
        <w:t xml:space="preserve">, 2018; Kruse et al., 2017; </w:t>
      </w:r>
      <w:proofErr w:type="spellStart"/>
      <w:r w:rsidRPr="00955BEE">
        <w:rPr>
          <w:rFonts w:ascii="Times New Roman" w:hAnsi="Times New Roman" w:cs="Times New Roman"/>
          <w:sz w:val="24"/>
          <w:szCs w:val="24"/>
        </w:rPr>
        <w:t>Yazdanmehr</w:t>
      </w:r>
      <w:proofErr w:type="spellEnd"/>
      <w:r w:rsidRPr="00955BEE">
        <w:rPr>
          <w:rFonts w:ascii="Times New Roman" w:hAnsi="Times New Roman" w:cs="Times New Roman"/>
          <w:sz w:val="24"/>
          <w:szCs w:val="24"/>
        </w:rPr>
        <w:t xml:space="preserve">, 2023). The HIPAA Security Rule requires covered entities and business associates </w:t>
      </w:r>
      <w:r w:rsidRPr="00955BEE">
        <w:rPr>
          <w:rFonts w:ascii="Times New Roman" w:hAnsi="Times New Roman" w:cs="Times New Roman"/>
          <w:sz w:val="24"/>
          <w:szCs w:val="24"/>
        </w:rPr>
        <w:lastRenderedPageBreak/>
        <w:t>to implement administrative, physical, and technical safeguards to protect ePHI, but it does not require organizations to follow a specific cybersecurity framework (U.S. Department of Health &amp; Human Services [HHS], n.d.). As healthcare environments become increasingly interconnected, organizations must move beyond compliance toward proactive risk management that addresses both cybersecurity threats and technical debt.</w:t>
      </w:r>
    </w:p>
    <w:p w14:paraId="15E542F7" w14:textId="77777777" w:rsidR="0062133B" w:rsidRPr="00955BEE" w:rsidRDefault="0062133B" w:rsidP="0062133B">
      <w:pPr>
        <w:spacing w:after="240" w:line="480" w:lineRule="auto"/>
        <w:ind w:firstLine="720"/>
        <w:rPr>
          <w:rFonts w:ascii="Times New Roman" w:hAnsi="Times New Roman" w:cs="Times New Roman"/>
          <w:sz w:val="24"/>
          <w:szCs w:val="24"/>
        </w:rPr>
      </w:pPr>
      <w:r w:rsidRPr="00955BEE">
        <w:rPr>
          <w:rFonts w:ascii="Times New Roman" w:hAnsi="Times New Roman" w:cs="Times New Roman"/>
          <w:sz w:val="24"/>
          <w:szCs w:val="24"/>
        </w:rPr>
        <w:t xml:space="preserve">The NIST Cybersecurity Framework (CSF) 2.0 provides a structured approach for managing cybersecurity risks in connected healthcare environments across the Govern, Identify, Protect, Detect, Respond, and Recover functions (NIST, 2024). Healthcare systems must also consider risks involving privacy, reliability, transparency, and human oversight as emerging technologies such as artificial intelligence (AI) continue to expand. The NIST AI Risk Management Framework (AI RMF) 1.0 provides guidance for addressing these concerns throughout the AI lifecycle (NIST, 2023). For example, an AI-enabled ambient documentation tool can improve clinical efficiency while raising concerns about the protection and use of patient information. Applying the CSF 2.0 and AI RMF 1.0 together can help organizations address both cybersecurity and AI-specific risks. Additional safeguards include zero trust principles, API governance, legacy system modernization, and vendor oversight. Controls such as multi-factor authentication (MFA), role-based access control (RBAC), network segmentation, </w:t>
      </w:r>
      <w:r>
        <w:rPr>
          <w:rFonts w:ascii="Times New Roman" w:hAnsi="Times New Roman" w:cs="Times New Roman"/>
          <w:sz w:val="24"/>
          <w:szCs w:val="24"/>
        </w:rPr>
        <w:t xml:space="preserve">encryption, </w:t>
      </w:r>
      <w:r w:rsidRPr="00955BEE">
        <w:rPr>
          <w:rFonts w:ascii="Times New Roman" w:hAnsi="Times New Roman" w:cs="Times New Roman"/>
          <w:sz w:val="24"/>
          <w:szCs w:val="24"/>
        </w:rPr>
        <w:t>vulnerability assessments, and API monitoring can further protect interconnected systems from unauthorized access and other threats (</w:t>
      </w:r>
      <w:proofErr w:type="spellStart"/>
      <w:r w:rsidRPr="00955BEE">
        <w:rPr>
          <w:rFonts w:ascii="Times New Roman" w:hAnsi="Times New Roman" w:cs="Times New Roman"/>
          <w:sz w:val="24"/>
          <w:szCs w:val="24"/>
        </w:rPr>
        <w:t>Vukotich</w:t>
      </w:r>
      <w:proofErr w:type="spellEnd"/>
      <w:r w:rsidRPr="00955BEE">
        <w:rPr>
          <w:rFonts w:ascii="Times New Roman" w:hAnsi="Times New Roman" w:cs="Times New Roman"/>
          <w:sz w:val="24"/>
          <w:szCs w:val="24"/>
        </w:rPr>
        <w:t>, 2023).</w:t>
      </w:r>
    </w:p>
    <w:p w14:paraId="1746BBA0" w14:textId="77777777" w:rsidR="0062133B" w:rsidRPr="00955BEE" w:rsidRDefault="0062133B" w:rsidP="0062133B">
      <w:pPr>
        <w:spacing w:after="240" w:line="480" w:lineRule="auto"/>
        <w:ind w:firstLine="720"/>
        <w:rPr>
          <w:rFonts w:ascii="Times New Roman" w:hAnsi="Times New Roman" w:cs="Times New Roman"/>
          <w:sz w:val="24"/>
          <w:szCs w:val="24"/>
        </w:rPr>
      </w:pPr>
      <w:r w:rsidRPr="00955BEE">
        <w:rPr>
          <w:rFonts w:ascii="Times New Roman" w:hAnsi="Times New Roman" w:cs="Times New Roman"/>
          <w:sz w:val="24"/>
          <w:szCs w:val="24"/>
        </w:rPr>
        <w:t xml:space="preserve">In conclusion, Meaningful Use helped create a more connected healthcare environment by encouraging EHR adoption and interoperability while supporting greater patient access to health information. Although privacy and security </w:t>
      </w:r>
      <w:r>
        <w:rPr>
          <w:rFonts w:ascii="Times New Roman" w:hAnsi="Times New Roman" w:cs="Times New Roman"/>
          <w:sz w:val="24"/>
          <w:szCs w:val="24"/>
        </w:rPr>
        <w:t>considerations</w:t>
      </w:r>
      <w:r w:rsidRPr="00955BEE">
        <w:rPr>
          <w:rFonts w:ascii="Times New Roman" w:hAnsi="Times New Roman" w:cs="Times New Roman"/>
          <w:sz w:val="24"/>
          <w:szCs w:val="24"/>
        </w:rPr>
        <w:t xml:space="preserve"> were included, connectivity expanded faster than security architecture, authorization controls, and legacy systems could be </w:t>
      </w:r>
      <w:r w:rsidRPr="00955BEE">
        <w:rPr>
          <w:rFonts w:ascii="Times New Roman" w:hAnsi="Times New Roman" w:cs="Times New Roman"/>
          <w:sz w:val="24"/>
          <w:szCs w:val="24"/>
        </w:rPr>
        <w:lastRenderedPageBreak/>
        <w:t xml:space="preserve">modernized. As a result, some organizations were not adequately prepared to address emerging cybersecurity challenges, contributing to the persistence of technical debt. The DICOM case illustrates how legacy technologies can create vulnerabilities when connected to modern networks and services. Similarly, the </w:t>
      </w:r>
      <w:proofErr w:type="spellStart"/>
      <w:r w:rsidRPr="00955BEE">
        <w:rPr>
          <w:rFonts w:ascii="Times New Roman" w:hAnsi="Times New Roman" w:cs="Times New Roman"/>
          <w:sz w:val="24"/>
          <w:szCs w:val="24"/>
        </w:rPr>
        <w:t>OpenEMR</w:t>
      </w:r>
      <w:proofErr w:type="spellEnd"/>
      <w:r w:rsidRPr="00955BEE">
        <w:rPr>
          <w:rFonts w:ascii="Times New Roman" w:hAnsi="Times New Roman" w:cs="Times New Roman"/>
          <w:sz w:val="24"/>
          <w:szCs w:val="24"/>
        </w:rPr>
        <w:t xml:space="preserve"> vulnerability indicates that newer interoperability technologies such as FHIR can create security risks when authentication and patient-level authorization controls are not adequately implemented. Together, these cases indicate that interoperability alone does not ensure secure information exchange. Instead, security must evolve alongside connectivity, requiring organizations to address both legacy technical debt and risks associated with emerging technologies. The outcomes of Meaningful Use suggest that future interoperability initiatives should evaluate security maturity alongside connectivity rather than treating security as a separate requirement. Otherwise, policies designed to improve information access may unintentionally increase exposure to unauthorized access. As healthcare organizations continue integrating new technologies with existing infrastructure, cybersecurity and risk management should be incorporated into system design from the beginning.</w:t>
      </w:r>
    </w:p>
    <w:p w14:paraId="0F989DF4" w14:textId="77777777" w:rsidR="0062133B" w:rsidRDefault="0062133B" w:rsidP="0062133B">
      <w:pPr>
        <w:spacing w:after="240" w:line="480" w:lineRule="auto"/>
        <w:rPr>
          <w:rFonts w:ascii="Times New Roman" w:hAnsi="Times New Roman" w:cs="Times New Roman"/>
          <w:sz w:val="24"/>
          <w:szCs w:val="24"/>
        </w:rPr>
      </w:pPr>
      <w:r w:rsidRPr="00E45FE0">
        <w:rPr>
          <w:rFonts w:ascii="Times New Roman" w:hAnsi="Times New Roman" w:cs="Times New Roman"/>
          <w:sz w:val="24"/>
          <w:szCs w:val="24"/>
        </w:rPr>
        <w:t>Managing these trade-offs requires strong leadership. Healthcare leaders must ensure that cybersecurity considerations are incorporated into technology investments and system design rather than treated as a secondary concern. Policymakers could also strengthen cybersecurity requirements and enforcement mechanisms to encourage healthcare organizations to improve their cybersecurity posture and align their practices with established frameworks such as the NIST CSF 2.0. Strong cybersecurity practices and API governance are essential for achieving secure interoperability beyond HIPAA compliance.</w:t>
      </w:r>
    </w:p>
    <w:p w14:paraId="6CF04F49" w14:textId="77777777" w:rsidR="0062133B" w:rsidRDefault="0062133B" w:rsidP="0062133B">
      <w:pPr>
        <w:spacing w:after="240" w:line="480" w:lineRule="auto"/>
        <w:rPr>
          <w:rFonts w:ascii="Times New Roman" w:hAnsi="Times New Roman" w:cs="Times New Roman"/>
          <w:b/>
          <w:bCs/>
          <w:sz w:val="24"/>
          <w:szCs w:val="24"/>
        </w:rPr>
      </w:pPr>
    </w:p>
    <w:p w14:paraId="5A1EA5D2" w14:textId="77777777" w:rsidR="0062133B" w:rsidRPr="00D030FA" w:rsidRDefault="0062133B" w:rsidP="0062133B">
      <w:pPr>
        <w:spacing w:after="240" w:line="480" w:lineRule="auto"/>
        <w:rPr>
          <w:rFonts w:ascii="Times New Roman" w:hAnsi="Times New Roman" w:cs="Times New Roman"/>
          <w:b/>
          <w:bCs/>
          <w:sz w:val="24"/>
          <w:szCs w:val="24"/>
        </w:rPr>
      </w:pPr>
      <w:r w:rsidRPr="00D030FA">
        <w:rPr>
          <w:rFonts w:ascii="Times New Roman" w:hAnsi="Times New Roman" w:cs="Times New Roman"/>
          <w:b/>
          <w:bCs/>
          <w:sz w:val="24"/>
          <w:szCs w:val="24"/>
        </w:rPr>
        <w:lastRenderedPageBreak/>
        <w:t>References</w:t>
      </w:r>
    </w:p>
    <w:p w14:paraId="64CC3E55"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CARE. (2023). </w:t>
      </w:r>
      <w:r w:rsidRPr="00D030FA">
        <w:rPr>
          <w:rFonts w:ascii="Times New Roman" w:hAnsi="Times New Roman" w:cs="Times New Roman"/>
          <w:i/>
          <w:iCs/>
          <w:sz w:val="24"/>
          <w:szCs w:val="24"/>
        </w:rPr>
        <w:t>Building a scalable teleradiology ecosystem to combat burnout</w:t>
      </w:r>
      <w:r w:rsidRPr="00D030FA">
        <w:rPr>
          <w:rFonts w:ascii="Times New Roman" w:hAnsi="Times New Roman" w:cs="Times New Roman"/>
          <w:sz w:val="24"/>
          <w:szCs w:val="24"/>
        </w:rPr>
        <w:t xml:space="preserve">. </w:t>
      </w:r>
      <w:hyperlink r:id="rId5" w:history="1">
        <w:r w:rsidRPr="00D030FA">
          <w:rPr>
            <w:rStyle w:val="Hyperlink"/>
            <w:rFonts w:ascii="Times New Roman" w:hAnsi="Times New Roman" w:cs="Times New Roman"/>
            <w:sz w:val="24"/>
            <w:szCs w:val="24"/>
          </w:rPr>
          <w:t>https://care.io/blog/building-a-scalable-teleradiology-ecosystem-to-combat-burnout</w:t>
        </w:r>
      </w:hyperlink>
    </w:p>
    <w:p w14:paraId="0A8022F1"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Centers for Medicare &amp; Medicaid Services. (2023). </w:t>
      </w:r>
      <w:r w:rsidRPr="00D030FA">
        <w:rPr>
          <w:rFonts w:ascii="Times New Roman" w:hAnsi="Times New Roman" w:cs="Times New Roman"/>
          <w:i/>
          <w:iCs/>
          <w:sz w:val="24"/>
          <w:szCs w:val="24"/>
        </w:rPr>
        <w:t>Promoting interoperability programs</w:t>
      </w:r>
      <w:r w:rsidRPr="00D030FA">
        <w:rPr>
          <w:rFonts w:ascii="Times New Roman" w:hAnsi="Times New Roman" w:cs="Times New Roman"/>
          <w:sz w:val="24"/>
          <w:szCs w:val="24"/>
        </w:rPr>
        <w:t xml:space="preserve">. </w:t>
      </w:r>
      <w:hyperlink r:id="rId6" w:history="1">
        <w:r w:rsidRPr="00D030FA">
          <w:rPr>
            <w:rStyle w:val="Hyperlink"/>
            <w:rFonts w:ascii="Times New Roman" w:hAnsi="Times New Roman" w:cs="Times New Roman"/>
            <w:sz w:val="24"/>
            <w:szCs w:val="24"/>
          </w:rPr>
          <w:t>https://www.cms.gov/regulations-and-guidance/legislation/ehrincentiveprograms</w:t>
        </w:r>
      </w:hyperlink>
    </w:p>
    <w:p w14:paraId="70C925C7"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Computer Fraud &amp; Security. (2020). Ransomware claims first fatality as healthcare under renewed assault. </w:t>
      </w:r>
      <w:r w:rsidRPr="00D030FA">
        <w:rPr>
          <w:rFonts w:ascii="Times New Roman" w:hAnsi="Times New Roman" w:cs="Times New Roman"/>
          <w:i/>
          <w:iCs/>
          <w:sz w:val="24"/>
          <w:szCs w:val="24"/>
        </w:rPr>
        <w:t>Computer Fraud &amp; Security, 2020</w:t>
      </w:r>
      <w:r w:rsidRPr="00D030FA">
        <w:rPr>
          <w:rFonts w:ascii="Times New Roman" w:hAnsi="Times New Roman" w:cs="Times New Roman"/>
          <w:sz w:val="24"/>
          <w:szCs w:val="24"/>
        </w:rPr>
        <w:t xml:space="preserve">(10), 1–3. </w:t>
      </w:r>
      <w:hyperlink r:id="rId7" w:history="1">
        <w:r w:rsidRPr="00D030FA">
          <w:rPr>
            <w:rStyle w:val="Hyperlink"/>
            <w:rFonts w:ascii="Times New Roman" w:hAnsi="Times New Roman" w:cs="Times New Roman"/>
            <w:sz w:val="24"/>
            <w:szCs w:val="24"/>
          </w:rPr>
          <w:t>https://doi.org/10.1016/S1361-3723(20)30101-9</w:t>
        </w:r>
      </w:hyperlink>
    </w:p>
    <w:p w14:paraId="6FBB4644"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Coventry, L., &amp; </w:t>
      </w:r>
      <w:proofErr w:type="spellStart"/>
      <w:r w:rsidRPr="00D030FA">
        <w:rPr>
          <w:rFonts w:ascii="Times New Roman" w:hAnsi="Times New Roman" w:cs="Times New Roman"/>
          <w:sz w:val="24"/>
          <w:szCs w:val="24"/>
        </w:rPr>
        <w:t>Branley</w:t>
      </w:r>
      <w:proofErr w:type="spellEnd"/>
      <w:r w:rsidRPr="00D030FA">
        <w:rPr>
          <w:rFonts w:ascii="Times New Roman" w:hAnsi="Times New Roman" w:cs="Times New Roman"/>
          <w:sz w:val="24"/>
          <w:szCs w:val="24"/>
        </w:rPr>
        <w:t xml:space="preserve">, D. (2018). Cybersecurity in healthcare: A narrative review of trends, threats and ways forward. </w:t>
      </w:r>
      <w:proofErr w:type="spellStart"/>
      <w:r w:rsidRPr="00D030FA">
        <w:rPr>
          <w:rFonts w:ascii="Times New Roman" w:hAnsi="Times New Roman" w:cs="Times New Roman"/>
          <w:i/>
          <w:iCs/>
          <w:sz w:val="24"/>
          <w:szCs w:val="24"/>
        </w:rPr>
        <w:t>Maturitas</w:t>
      </w:r>
      <w:proofErr w:type="spellEnd"/>
      <w:r w:rsidRPr="00D030FA">
        <w:rPr>
          <w:rFonts w:ascii="Times New Roman" w:hAnsi="Times New Roman" w:cs="Times New Roman"/>
          <w:i/>
          <w:iCs/>
          <w:sz w:val="24"/>
          <w:szCs w:val="24"/>
        </w:rPr>
        <w:t>, 113</w:t>
      </w:r>
      <w:r w:rsidRPr="00D030FA">
        <w:rPr>
          <w:rFonts w:ascii="Times New Roman" w:hAnsi="Times New Roman" w:cs="Times New Roman"/>
          <w:sz w:val="24"/>
          <w:szCs w:val="24"/>
        </w:rPr>
        <w:t xml:space="preserve">, 48–52. </w:t>
      </w:r>
      <w:hyperlink r:id="rId8" w:history="1">
        <w:r w:rsidRPr="00D030FA">
          <w:rPr>
            <w:rStyle w:val="Hyperlink"/>
            <w:rFonts w:ascii="Times New Roman" w:hAnsi="Times New Roman" w:cs="Times New Roman"/>
            <w:sz w:val="24"/>
            <w:szCs w:val="24"/>
          </w:rPr>
          <w:t>https://doi.org/10.1016/j.maturitas.2018.04.008</w:t>
        </w:r>
      </w:hyperlink>
    </w:p>
    <w:p w14:paraId="7E838C05"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Desjardins, B., Mirsky, Y., Ortiz, M. P., </w:t>
      </w:r>
      <w:proofErr w:type="spellStart"/>
      <w:r w:rsidRPr="00D030FA">
        <w:rPr>
          <w:rFonts w:ascii="Times New Roman" w:hAnsi="Times New Roman" w:cs="Times New Roman"/>
          <w:sz w:val="24"/>
          <w:szCs w:val="24"/>
        </w:rPr>
        <w:t>Glozman</w:t>
      </w:r>
      <w:proofErr w:type="spellEnd"/>
      <w:r w:rsidRPr="00D030FA">
        <w:rPr>
          <w:rFonts w:ascii="Times New Roman" w:hAnsi="Times New Roman" w:cs="Times New Roman"/>
          <w:sz w:val="24"/>
          <w:szCs w:val="24"/>
        </w:rPr>
        <w:t xml:space="preserve">, Z., Tarbox, L., Horn, R., &amp; Horii, S. C. (2020). DICOM images have been hacked! Now what? </w:t>
      </w:r>
      <w:r w:rsidRPr="00D030FA">
        <w:rPr>
          <w:rFonts w:ascii="Times New Roman" w:hAnsi="Times New Roman" w:cs="Times New Roman"/>
          <w:i/>
          <w:iCs/>
          <w:sz w:val="24"/>
          <w:szCs w:val="24"/>
        </w:rPr>
        <w:t>American Journal of Roentgenology, 214</w:t>
      </w:r>
      <w:r w:rsidRPr="00D030FA">
        <w:rPr>
          <w:rFonts w:ascii="Times New Roman" w:hAnsi="Times New Roman" w:cs="Times New Roman"/>
          <w:sz w:val="24"/>
          <w:szCs w:val="24"/>
        </w:rPr>
        <w:t xml:space="preserve">(4), 727–735. </w:t>
      </w:r>
      <w:hyperlink r:id="rId9" w:history="1">
        <w:r w:rsidRPr="00D030FA">
          <w:rPr>
            <w:rStyle w:val="Hyperlink"/>
            <w:rFonts w:ascii="Times New Roman" w:hAnsi="Times New Roman" w:cs="Times New Roman"/>
            <w:sz w:val="24"/>
            <w:szCs w:val="24"/>
          </w:rPr>
          <w:t>https://doi.org/10.2214/AJR.19.21958</w:t>
        </w:r>
      </w:hyperlink>
    </w:p>
    <w:p w14:paraId="179F9C9F"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Health Level Seven International. (2023). </w:t>
      </w:r>
      <w:r w:rsidRPr="00D030FA">
        <w:rPr>
          <w:rFonts w:ascii="Times New Roman" w:hAnsi="Times New Roman" w:cs="Times New Roman"/>
          <w:i/>
          <w:iCs/>
          <w:sz w:val="24"/>
          <w:szCs w:val="24"/>
        </w:rPr>
        <w:t>FHIR overview</w:t>
      </w:r>
      <w:r w:rsidRPr="00D030FA">
        <w:rPr>
          <w:rFonts w:ascii="Times New Roman" w:hAnsi="Times New Roman" w:cs="Times New Roman"/>
          <w:sz w:val="24"/>
          <w:szCs w:val="24"/>
        </w:rPr>
        <w:t xml:space="preserve">. </w:t>
      </w:r>
      <w:hyperlink r:id="rId10" w:history="1">
        <w:r w:rsidRPr="00D030FA">
          <w:rPr>
            <w:rStyle w:val="Hyperlink"/>
            <w:rFonts w:ascii="Times New Roman" w:hAnsi="Times New Roman" w:cs="Times New Roman"/>
            <w:sz w:val="24"/>
            <w:szCs w:val="24"/>
          </w:rPr>
          <w:t>https://www.hl7.org/fhir/</w:t>
        </w:r>
      </w:hyperlink>
    </w:p>
    <w:p w14:paraId="61483C87"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Jones, S. S., Rudin, R. S., Perry, T., &amp; </w:t>
      </w:r>
      <w:proofErr w:type="spellStart"/>
      <w:r w:rsidRPr="00D030FA">
        <w:rPr>
          <w:rFonts w:ascii="Times New Roman" w:hAnsi="Times New Roman" w:cs="Times New Roman"/>
          <w:sz w:val="24"/>
          <w:szCs w:val="24"/>
        </w:rPr>
        <w:t>Shekelle</w:t>
      </w:r>
      <w:proofErr w:type="spellEnd"/>
      <w:r w:rsidRPr="00D030FA">
        <w:rPr>
          <w:rFonts w:ascii="Times New Roman" w:hAnsi="Times New Roman" w:cs="Times New Roman"/>
          <w:sz w:val="24"/>
          <w:szCs w:val="24"/>
        </w:rPr>
        <w:t xml:space="preserve">, P. G. (2014). Health information technology: An updated systematic review with a focus on meaningful use. </w:t>
      </w:r>
      <w:r w:rsidRPr="00D030FA">
        <w:rPr>
          <w:rFonts w:ascii="Times New Roman" w:hAnsi="Times New Roman" w:cs="Times New Roman"/>
          <w:i/>
          <w:iCs/>
          <w:sz w:val="24"/>
          <w:szCs w:val="24"/>
        </w:rPr>
        <w:t>Annals of Internal Medicine, 160</w:t>
      </w:r>
      <w:r w:rsidRPr="00D030FA">
        <w:rPr>
          <w:rFonts w:ascii="Times New Roman" w:hAnsi="Times New Roman" w:cs="Times New Roman"/>
          <w:sz w:val="24"/>
          <w:szCs w:val="24"/>
        </w:rPr>
        <w:t xml:space="preserve">(1), 48–54. </w:t>
      </w:r>
      <w:hyperlink r:id="rId11" w:history="1">
        <w:r w:rsidRPr="00D030FA">
          <w:rPr>
            <w:rStyle w:val="Hyperlink"/>
            <w:rFonts w:ascii="Times New Roman" w:hAnsi="Times New Roman" w:cs="Times New Roman"/>
            <w:sz w:val="24"/>
            <w:szCs w:val="24"/>
          </w:rPr>
          <w:t>https://doi.org/10.7326/M13-1531</w:t>
        </w:r>
      </w:hyperlink>
    </w:p>
    <w:p w14:paraId="2B46ECCC"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Kan, J. T. (2011). The 2011 Medicare Electronic Health Records Incentive Program. </w:t>
      </w:r>
      <w:r w:rsidRPr="00D030FA">
        <w:rPr>
          <w:rFonts w:ascii="Times New Roman" w:hAnsi="Times New Roman" w:cs="Times New Roman"/>
          <w:i/>
          <w:iCs/>
          <w:sz w:val="24"/>
          <w:szCs w:val="24"/>
        </w:rPr>
        <w:t>Journal of Oncology Practice, 7</w:t>
      </w:r>
      <w:r w:rsidRPr="00D030FA">
        <w:rPr>
          <w:rFonts w:ascii="Times New Roman" w:hAnsi="Times New Roman" w:cs="Times New Roman"/>
          <w:sz w:val="24"/>
          <w:szCs w:val="24"/>
        </w:rPr>
        <w:t xml:space="preserve">(4), 271–272. </w:t>
      </w:r>
      <w:hyperlink r:id="rId12" w:history="1">
        <w:r w:rsidRPr="00D030FA">
          <w:rPr>
            <w:rStyle w:val="Hyperlink"/>
            <w:rFonts w:ascii="Times New Roman" w:hAnsi="Times New Roman" w:cs="Times New Roman"/>
            <w:sz w:val="24"/>
            <w:szCs w:val="24"/>
          </w:rPr>
          <w:t>https://doi.org/10.1200/JOP.2011.000348</w:t>
        </w:r>
      </w:hyperlink>
    </w:p>
    <w:p w14:paraId="5AF71B36"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lastRenderedPageBreak/>
        <w:t xml:space="preserve">Kruse, C. S., Frederick, B., Jacobson, T., &amp; </w:t>
      </w:r>
      <w:proofErr w:type="spellStart"/>
      <w:r w:rsidRPr="00D030FA">
        <w:rPr>
          <w:rFonts w:ascii="Times New Roman" w:hAnsi="Times New Roman" w:cs="Times New Roman"/>
          <w:sz w:val="24"/>
          <w:szCs w:val="24"/>
        </w:rPr>
        <w:t>Monticone</w:t>
      </w:r>
      <w:proofErr w:type="spellEnd"/>
      <w:r w:rsidRPr="00D030FA">
        <w:rPr>
          <w:rFonts w:ascii="Times New Roman" w:hAnsi="Times New Roman" w:cs="Times New Roman"/>
          <w:sz w:val="24"/>
          <w:szCs w:val="24"/>
        </w:rPr>
        <w:t xml:space="preserve">, D. K. (2017). Cybersecurity in healthcare: A systematic review of modern threats and trends. </w:t>
      </w:r>
      <w:r w:rsidRPr="00D030FA">
        <w:rPr>
          <w:rFonts w:ascii="Times New Roman" w:hAnsi="Times New Roman" w:cs="Times New Roman"/>
          <w:i/>
          <w:iCs/>
          <w:sz w:val="24"/>
          <w:szCs w:val="24"/>
        </w:rPr>
        <w:t>Technology and Health Care, 25</w:t>
      </w:r>
      <w:r w:rsidRPr="00D030FA">
        <w:rPr>
          <w:rFonts w:ascii="Times New Roman" w:hAnsi="Times New Roman" w:cs="Times New Roman"/>
          <w:sz w:val="24"/>
          <w:szCs w:val="24"/>
        </w:rPr>
        <w:t xml:space="preserve">(1), 1–10. </w:t>
      </w:r>
      <w:hyperlink r:id="rId13" w:history="1">
        <w:r w:rsidRPr="00D030FA">
          <w:rPr>
            <w:rStyle w:val="Hyperlink"/>
            <w:rFonts w:ascii="Times New Roman" w:hAnsi="Times New Roman" w:cs="Times New Roman"/>
            <w:sz w:val="24"/>
            <w:szCs w:val="24"/>
          </w:rPr>
          <w:t>https://doi.org/10.3233/THC-161263</w:t>
        </w:r>
      </w:hyperlink>
    </w:p>
    <w:p w14:paraId="54DBBCEF"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National Electrical Manufacturers Association. (n.d.). </w:t>
      </w:r>
      <w:r w:rsidRPr="00D030FA">
        <w:rPr>
          <w:rFonts w:ascii="Times New Roman" w:hAnsi="Times New Roman" w:cs="Times New Roman"/>
          <w:i/>
          <w:iCs/>
          <w:sz w:val="24"/>
          <w:szCs w:val="24"/>
        </w:rPr>
        <w:t>About DICOM</w:t>
      </w:r>
      <w:r w:rsidRPr="00D030FA">
        <w:rPr>
          <w:rFonts w:ascii="Times New Roman" w:hAnsi="Times New Roman" w:cs="Times New Roman"/>
          <w:sz w:val="24"/>
          <w:szCs w:val="24"/>
        </w:rPr>
        <w:t xml:space="preserve">. DICOM Standard. </w:t>
      </w:r>
      <w:hyperlink r:id="rId14" w:history="1">
        <w:r w:rsidRPr="00D030FA">
          <w:rPr>
            <w:rStyle w:val="Hyperlink"/>
            <w:rFonts w:ascii="Times New Roman" w:hAnsi="Times New Roman" w:cs="Times New Roman"/>
            <w:sz w:val="24"/>
            <w:szCs w:val="24"/>
          </w:rPr>
          <w:t>https://www.dicomstandard.org/about/</w:t>
        </w:r>
      </w:hyperlink>
    </w:p>
    <w:p w14:paraId="0CEC0042"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National Institute of Standards and Technology. (2023). </w:t>
      </w:r>
      <w:r w:rsidRPr="00D030FA">
        <w:rPr>
          <w:rFonts w:ascii="Times New Roman" w:hAnsi="Times New Roman" w:cs="Times New Roman"/>
          <w:i/>
          <w:iCs/>
          <w:sz w:val="24"/>
          <w:szCs w:val="24"/>
        </w:rPr>
        <w:t>Artificial intelligence risk management framework (AI RMF 1.0)</w:t>
      </w:r>
      <w:r w:rsidRPr="00D030FA">
        <w:rPr>
          <w:rFonts w:ascii="Times New Roman" w:hAnsi="Times New Roman" w:cs="Times New Roman"/>
          <w:sz w:val="24"/>
          <w:szCs w:val="24"/>
        </w:rPr>
        <w:t xml:space="preserve"> (NIST AI 100-1). U.S. Department of Commerce. </w:t>
      </w:r>
      <w:hyperlink r:id="rId15" w:history="1">
        <w:r w:rsidRPr="00D030FA">
          <w:rPr>
            <w:rStyle w:val="Hyperlink"/>
            <w:rFonts w:ascii="Times New Roman" w:hAnsi="Times New Roman" w:cs="Times New Roman"/>
            <w:sz w:val="24"/>
            <w:szCs w:val="24"/>
          </w:rPr>
          <w:t>https://doi.org/10.6028/NIST.AI.100-1</w:t>
        </w:r>
      </w:hyperlink>
    </w:p>
    <w:p w14:paraId="54D298E0"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National Institute of Standards and Technology. (2024). </w:t>
      </w:r>
      <w:r w:rsidRPr="00D030FA">
        <w:rPr>
          <w:rFonts w:ascii="Times New Roman" w:hAnsi="Times New Roman" w:cs="Times New Roman"/>
          <w:i/>
          <w:iCs/>
          <w:sz w:val="24"/>
          <w:szCs w:val="24"/>
        </w:rPr>
        <w:t>Cybersecurity framework (CSF) 2.0</w:t>
      </w:r>
      <w:r w:rsidRPr="00D030FA">
        <w:rPr>
          <w:rFonts w:ascii="Times New Roman" w:hAnsi="Times New Roman" w:cs="Times New Roman"/>
          <w:sz w:val="24"/>
          <w:szCs w:val="24"/>
        </w:rPr>
        <w:t xml:space="preserve">. U.S. Department of Commerce. </w:t>
      </w:r>
      <w:hyperlink r:id="rId16" w:history="1">
        <w:r w:rsidRPr="00D030FA">
          <w:rPr>
            <w:rStyle w:val="Hyperlink"/>
            <w:rFonts w:ascii="Times New Roman" w:hAnsi="Times New Roman" w:cs="Times New Roman"/>
            <w:sz w:val="24"/>
            <w:szCs w:val="24"/>
          </w:rPr>
          <w:t>https://doi.org/10.6028/NIST.CSWP.29</w:t>
        </w:r>
      </w:hyperlink>
    </w:p>
    <w:p w14:paraId="2E3FAC5B"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National Institute of Standards and Technology. (2026). </w:t>
      </w:r>
      <w:r w:rsidRPr="00D030FA">
        <w:rPr>
          <w:rFonts w:ascii="Times New Roman" w:hAnsi="Times New Roman" w:cs="Times New Roman"/>
          <w:i/>
          <w:iCs/>
          <w:sz w:val="24"/>
          <w:szCs w:val="24"/>
        </w:rPr>
        <w:t>CVE-2026-24487 detail</w:t>
      </w:r>
      <w:r w:rsidRPr="00D030FA">
        <w:rPr>
          <w:rFonts w:ascii="Times New Roman" w:hAnsi="Times New Roman" w:cs="Times New Roman"/>
          <w:sz w:val="24"/>
          <w:szCs w:val="24"/>
        </w:rPr>
        <w:t xml:space="preserve">. National Vulnerability Database. </w:t>
      </w:r>
      <w:hyperlink r:id="rId17" w:history="1">
        <w:r w:rsidRPr="00D030FA">
          <w:rPr>
            <w:rStyle w:val="Hyperlink"/>
            <w:rFonts w:ascii="Times New Roman" w:hAnsi="Times New Roman" w:cs="Times New Roman"/>
            <w:sz w:val="24"/>
            <w:szCs w:val="24"/>
          </w:rPr>
          <w:t>https://nvd.nist.gov/vuln/detail/CVE-2026-24487</w:t>
        </w:r>
      </w:hyperlink>
    </w:p>
    <w:p w14:paraId="5BC3F6E0"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 xml:space="preserve">Office of the National Coordinator for Health Information Technology. (2026, April 1). </w:t>
      </w:r>
      <w:r w:rsidRPr="00D030FA">
        <w:rPr>
          <w:rFonts w:ascii="Times New Roman" w:hAnsi="Times New Roman" w:cs="Times New Roman"/>
          <w:i/>
          <w:iCs/>
          <w:sz w:val="24"/>
          <w:szCs w:val="24"/>
        </w:rPr>
        <w:t>Benefits of health IT</w:t>
      </w:r>
      <w:r w:rsidRPr="00D030FA">
        <w:rPr>
          <w:rFonts w:ascii="Times New Roman" w:hAnsi="Times New Roman" w:cs="Times New Roman"/>
          <w:sz w:val="24"/>
          <w:szCs w:val="24"/>
        </w:rPr>
        <w:t xml:space="preserve">. </w:t>
      </w:r>
      <w:hyperlink r:id="rId18" w:history="1">
        <w:r w:rsidRPr="00D030FA">
          <w:rPr>
            <w:rStyle w:val="Hyperlink"/>
            <w:rFonts w:ascii="Times New Roman" w:hAnsi="Times New Roman" w:cs="Times New Roman"/>
            <w:sz w:val="24"/>
            <w:szCs w:val="24"/>
          </w:rPr>
          <w:t>https://healthit.gov/health-it-basics/benefits-health-it/</w:t>
        </w:r>
      </w:hyperlink>
    </w:p>
    <w:p w14:paraId="07E2C4B9" w14:textId="77777777" w:rsidR="0062133B" w:rsidRPr="00D030FA" w:rsidRDefault="0062133B" w:rsidP="0062133B">
      <w:pPr>
        <w:spacing w:after="240" w:line="480" w:lineRule="auto"/>
        <w:rPr>
          <w:rFonts w:ascii="Times New Roman" w:hAnsi="Times New Roman" w:cs="Times New Roman"/>
          <w:sz w:val="24"/>
          <w:szCs w:val="24"/>
        </w:rPr>
      </w:pPr>
      <w:proofErr w:type="spellStart"/>
      <w:r w:rsidRPr="00D030FA">
        <w:rPr>
          <w:rFonts w:ascii="Times New Roman" w:hAnsi="Times New Roman" w:cs="Times New Roman"/>
          <w:sz w:val="24"/>
          <w:szCs w:val="24"/>
        </w:rPr>
        <w:t>Saripalle</w:t>
      </w:r>
      <w:proofErr w:type="spellEnd"/>
      <w:r w:rsidRPr="00D030FA">
        <w:rPr>
          <w:rFonts w:ascii="Times New Roman" w:hAnsi="Times New Roman" w:cs="Times New Roman"/>
          <w:sz w:val="24"/>
          <w:szCs w:val="24"/>
        </w:rPr>
        <w:t xml:space="preserve">, R., Runyan, C., &amp; Russell, M. (2019). Using HL7 FHIR to achieve interoperability in patient health record. </w:t>
      </w:r>
      <w:r w:rsidRPr="00D030FA">
        <w:rPr>
          <w:rFonts w:ascii="Times New Roman" w:hAnsi="Times New Roman" w:cs="Times New Roman"/>
          <w:i/>
          <w:iCs/>
          <w:sz w:val="24"/>
          <w:szCs w:val="24"/>
        </w:rPr>
        <w:t>Journal of Biomedical Informatics, 94</w:t>
      </w:r>
      <w:r w:rsidRPr="00D030FA">
        <w:rPr>
          <w:rFonts w:ascii="Times New Roman" w:hAnsi="Times New Roman" w:cs="Times New Roman"/>
          <w:sz w:val="24"/>
          <w:szCs w:val="24"/>
        </w:rPr>
        <w:t xml:space="preserve">, Article 103188. </w:t>
      </w:r>
      <w:hyperlink r:id="rId19" w:history="1">
        <w:r w:rsidRPr="00D030FA">
          <w:rPr>
            <w:rStyle w:val="Hyperlink"/>
            <w:rFonts w:ascii="Times New Roman" w:hAnsi="Times New Roman" w:cs="Times New Roman"/>
            <w:sz w:val="24"/>
            <w:szCs w:val="24"/>
          </w:rPr>
          <w:t>https://doi.org/10.1016/j.jbi.2019.103188</w:t>
        </w:r>
      </w:hyperlink>
    </w:p>
    <w:p w14:paraId="21A19C6A" w14:textId="77777777" w:rsidR="0062133B" w:rsidRPr="00D030FA" w:rsidRDefault="0062133B" w:rsidP="0062133B">
      <w:pPr>
        <w:spacing w:after="240" w:line="480" w:lineRule="auto"/>
        <w:rPr>
          <w:rFonts w:ascii="Times New Roman" w:hAnsi="Times New Roman" w:cs="Times New Roman"/>
          <w:sz w:val="24"/>
          <w:szCs w:val="24"/>
        </w:rPr>
      </w:pPr>
      <w:proofErr w:type="spellStart"/>
      <w:r w:rsidRPr="00D030FA">
        <w:rPr>
          <w:rFonts w:ascii="Times New Roman" w:hAnsi="Times New Roman" w:cs="Times New Roman"/>
          <w:sz w:val="24"/>
          <w:szCs w:val="24"/>
        </w:rPr>
        <w:t>SentinelOne</w:t>
      </w:r>
      <w:proofErr w:type="spellEnd"/>
      <w:r w:rsidRPr="00D030FA">
        <w:rPr>
          <w:rFonts w:ascii="Times New Roman" w:hAnsi="Times New Roman" w:cs="Times New Roman"/>
          <w:sz w:val="24"/>
          <w:szCs w:val="24"/>
        </w:rPr>
        <w:t xml:space="preserve">. (2026, February 27). </w:t>
      </w:r>
      <w:r w:rsidRPr="00D030FA">
        <w:rPr>
          <w:rFonts w:ascii="Times New Roman" w:hAnsi="Times New Roman" w:cs="Times New Roman"/>
          <w:i/>
          <w:iCs/>
          <w:sz w:val="24"/>
          <w:szCs w:val="24"/>
        </w:rPr>
        <w:t xml:space="preserve">CVE-2026-24487: </w:t>
      </w:r>
      <w:proofErr w:type="spellStart"/>
      <w:r w:rsidRPr="00D030FA">
        <w:rPr>
          <w:rFonts w:ascii="Times New Roman" w:hAnsi="Times New Roman" w:cs="Times New Roman"/>
          <w:i/>
          <w:iCs/>
          <w:sz w:val="24"/>
          <w:szCs w:val="24"/>
        </w:rPr>
        <w:t>OpenEMR</w:t>
      </w:r>
      <w:proofErr w:type="spellEnd"/>
      <w:r w:rsidRPr="00D030FA">
        <w:rPr>
          <w:rFonts w:ascii="Times New Roman" w:hAnsi="Times New Roman" w:cs="Times New Roman"/>
          <w:i/>
          <w:iCs/>
          <w:sz w:val="24"/>
          <w:szCs w:val="24"/>
        </w:rPr>
        <w:t xml:space="preserve"> auth bypass vulnerability</w:t>
      </w:r>
      <w:r w:rsidRPr="00D030FA">
        <w:rPr>
          <w:rFonts w:ascii="Times New Roman" w:hAnsi="Times New Roman" w:cs="Times New Roman"/>
          <w:sz w:val="24"/>
          <w:szCs w:val="24"/>
        </w:rPr>
        <w:t xml:space="preserve">. </w:t>
      </w:r>
      <w:proofErr w:type="spellStart"/>
      <w:r w:rsidRPr="00D030FA">
        <w:rPr>
          <w:rFonts w:ascii="Times New Roman" w:hAnsi="Times New Roman" w:cs="Times New Roman"/>
          <w:sz w:val="24"/>
          <w:szCs w:val="24"/>
        </w:rPr>
        <w:t>SentinelOne</w:t>
      </w:r>
      <w:proofErr w:type="spellEnd"/>
      <w:r w:rsidRPr="00D030FA">
        <w:rPr>
          <w:rFonts w:ascii="Times New Roman" w:hAnsi="Times New Roman" w:cs="Times New Roman"/>
          <w:sz w:val="24"/>
          <w:szCs w:val="24"/>
        </w:rPr>
        <w:t xml:space="preserve"> Vulnerability Database. </w:t>
      </w:r>
      <w:hyperlink r:id="rId20" w:history="1">
        <w:r w:rsidRPr="00D030FA">
          <w:rPr>
            <w:rStyle w:val="Hyperlink"/>
            <w:rFonts w:ascii="Times New Roman" w:hAnsi="Times New Roman" w:cs="Times New Roman"/>
            <w:sz w:val="24"/>
            <w:szCs w:val="24"/>
          </w:rPr>
          <w:t>https://www.sentinelone.com/vulnerability-database/cve-2026-24487/</w:t>
        </w:r>
      </w:hyperlink>
    </w:p>
    <w:p w14:paraId="4FFA529E"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lastRenderedPageBreak/>
        <w:t xml:space="preserve">U.S. Department of Health &amp; Human Services. (n.d.). </w:t>
      </w:r>
      <w:r w:rsidRPr="00D030FA">
        <w:rPr>
          <w:rFonts w:ascii="Times New Roman" w:hAnsi="Times New Roman" w:cs="Times New Roman"/>
          <w:i/>
          <w:iCs/>
          <w:sz w:val="24"/>
          <w:szCs w:val="24"/>
        </w:rPr>
        <w:t>Summary of the HIPAA Security Rule</w:t>
      </w:r>
      <w:r w:rsidRPr="00D030FA">
        <w:rPr>
          <w:rFonts w:ascii="Times New Roman" w:hAnsi="Times New Roman" w:cs="Times New Roman"/>
          <w:sz w:val="24"/>
          <w:szCs w:val="24"/>
        </w:rPr>
        <w:t xml:space="preserve">. </w:t>
      </w:r>
      <w:hyperlink r:id="rId21" w:history="1">
        <w:r w:rsidRPr="00D030FA">
          <w:rPr>
            <w:rStyle w:val="Hyperlink"/>
            <w:rFonts w:ascii="Times New Roman" w:hAnsi="Times New Roman" w:cs="Times New Roman"/>
            <w:sz w:val="24"/>
            <w:szCs w:val="24"/>
          </w:rPr>
          <w:t>https://www.hhs.gov/hipaa/for-professionals/security/index.html</w:t>
        </w:r>
      </w:hyperlink>
    </w:p>
    <w:p w14:paraId="51405582" w14:textId="77777777" w:rsidR="0062133B" w:rsidRPr="00D030FA" w:rsidRDefault="0062133B" w:rsidP="0062133B">
      <w:pPr>
        <w:spacing w:after="240" w:line="480" w:lineRule="auto"/>
        <w:rPr>
          <w:rFonts w:ascii="Times New Roman" w:hAnsi="Times New Roman" w:cs="Times New Roman"/>
          <w:sz w:val="24"/>
          <w:szCs w:val="24"/>
        </w:rPr>
      </w:pPr>
      <w:proofErr w:type="spellStart"/>
      <w:r w:rsidRPr="00D030FA">
        <w:rPr>
          <w:rFonts w:ascii="Times New Roman" w:hAnsi="Times New Roman" w:cs="Times New Roman"/>
          <w:sz w:val="24"/>
          <w:szCs w:val="24"/>
        </w:rPr>
        <w:t>Vukotich</w:t>
      </w:r>
      <w:proofErr w:type="spellEnd"/>
      <w:r w:rsidRPr="00D030FA">
        <w:rPr>
          <w:rFonts w:ascii="Times New Roman" w:hAnsi="Times New Roman" w:cs="Times New Roman"/>
          <w:sz w:val="24"/>
          <w:szCs w:val="24"/>
        </w:rPr>
        <w:t xml:space="preserve">, G. (2023). Healthcare and cybersecurity: Taking a </w:t>
      </w:r>
      <w:proofErr w:type="gramStart"/>
      <w:r w:rsidRPr="00D030FA">
        <w:rPr>
          <w:rFonts w:ascii="Times New Roman" w:hAnsi="Times New Roman" w:cs="Times New Roman"/>
          <w:sz w:val="24"/>
          <w:szCs w:val="24"/>
        </w:rPr>
        <w:t>zero trust</w:t>
      </w:r>
      <w:proofErr w:type="gramEnd"/>
      <w:r w:rsidRPr="00D030FA">
        <w:rPr>
          <w:rFonts w:ascii="Times New Roman" w:hAnsi="Times New Roman" w:cs="Times New Roman"/>
          <w:sz w:val="24"/>
          <w:szCs w:val="24"/>
        </w:rPr>
        <w:t xml:space="preserve"> approach. </w:t>
      </w:r>
      <w:r w:rsidRPr="00D030FA">
        <w:rPr>
          <w:rFonts w:ascii="Times New Roman" w:hAnsi="Times New Roman" w:cs="Times New Roman"/>
          <w:i/>
          <w:iCs/>
          <w:sz w:val="24"/>
          <w:szCs w:val="24"/>
        </w:rPr>
        <w:t>Health Services Insights, 16</w:t>
      </w:r>
      <w:r w:rsidRPr="00D030FA">
        <w:rPr>
          <w:rFonts w:ascii="Times New Roman" w:hAnsi="Times New Roman" w:cs="Times New Roman"/>
          <w:sz w:val="24"/>
          <w:szCs w:val="24"/>
        </w:rPr>
        <w:t xml:space="preserve">, 11786329231187826. </w:t>
      </w:r>
      <w:hyperlink r:id="rId22" w:history="1">
        <w:r w:rsidRPr="00D030FA">
          <w:rPr>
            <w:rStyle w:val="Hyperlink"/>
            <w:rFonts w:ascii="Times New Roman" w:hAnsi="Times New Roman" w:cs="Times New Roman"/>
            <w:sz w:val="24"/>
            <w:szCs w:val="24"/>
          </w:rPr>
          <w:t>https://doi.org/10.1177/11786329231187826</w:t>
        </w:r>
      </w:hyperlink>
    </w:p>
    <w:p w14:paraId="2C1D3B76" w14:textId="77777777" w:rsidR="0062133B" w:rsidRPr="00D030FA" w:rsidRDefault="0062133B" w:rsidP="0062133B">
      <w:pPr>
        <w:spacing w:after="240" w:line="480" w:lineRule="auto"/>
        <w:rPr>
          <w:rFonts w:ascii="Times New Roman" w:hAnsi="Times New Roman" w:cs="Times New Roman"/>
          <w:sz w:val="24"/>
          <w:szCs w:val="24"/>
        </w:rPr>
      </w:pPr>
      <w:proofErr w:type="spellStart"/>
      <w:r w:rsidRPr="00D030FA">
        <w:rPr>
          <w:rFonts w:ascii="Times New Roman" w:hAnsi="Times New Roman" w:cs="Times New Roman"/>
          <w:sz w:val="24"/>
          <w:szCs w:val="24"/>
        </w:rPr>
        <w:t>Yazdanmehr</w:t>
      </w:r>
      <w:proofErr w:type="spellEnd"/>
      <w:r w:rsidRPr="00D030FA">
        <w:rPr>
          <w:rFonts w:ascii="Times New Roman" w:hAnsi="Times New Roman" w:cs="Times New Roman"/>
          <w:sz w:val="24"/>
          <w:szCs w:val="24"/>
        </w:rPr>
        <w:t xml:space="preserve">, S. (2023). </w:t>
      </w:r>
      <w:r w:rsidRPr="00D030FA">
        <w:rPr>
          <w:rFonts w:ascii="Times New Roman" w:hAnsi="Times New Roman" w:cs="Times New Roman"/>
          <w:i/>
          <w:iCs/>
          <w:sz w:val="24"/>
          <w:szCs w:val="24"/>
        </w:rPr>
        <w:t>Millions of patient records at risk: The perils of legacy protocols</w:t>
      </w:r>
      <w:r w:rsidRPr="00D030FA">
        <w:rPr>
          <w:rFonts w:ascii="Times New Roman" w:hAnsi="Times New Roman" w:cs="Times New Roman"/>
          <w:sz w:val="24"/>
          <w:szCs w:val="24"/>
        </w:rPr>
        <w:t xml:space="preserve"> [Video]. YouTube. </w:t>
      </w:r>
      <w:hyperlink r:id="rId23" w:history="1">
        <w:r w:rsidRPr="00D030FA">
          <w:rPr>
            <w:rStyle w:val="Hyperlink"/>
            <w:rFonts w:ascii="Times New Roman" w:hAnsi="Times New Roman" w:cs="Times New Roman"/>
            <w:sz w:val="24"/>
            <w:szCs w:val="24"/>
          </w:rPr>
          <w:t>https://www.youtube.com/watch?v=CgJIxTP8ydQ</w:t>
        </w:r>
      </w:hyperlink>
    </w:p>
    <w:p w14:paraId="787EF288" w14:textId="77777777" w:rsidR="0062133B" w:rsidRPr="00D030FA" w:rsidRDefault="0062133B" w:rsidP="0062133B">
      <w:pPr>
        <w:spacing w:after="240" w:line="480" w:lineRule="auto"/>
        <w:rPr>
          <w:rFonts w:ascii="Times New Roman" w:hAnsi="Times New Roman" w:cs="Times New Roman"/>
          <w:sz w:val="24"/>
          <w:szCs w:val="24"/>
        </w:rPr>
      </w:pPr>
      <w:r w:rsidRPr="00D030FA">
        <w:rPr>
          <w:rFonts w:ascii="Times New Roman" w:hAnsi="Times New Roman" w:cs="Times New Roman"/>
          <w:sz w:val="24"/>
          <w:szCs w:val="24"/>
        </w:rPr>
        <w:t>ChatGPT was used to assist with grammar, spelling, punctuation, clarity, and verification of information and citations. The author reviewed and evaluated all suggestions and is responsible for the accuracy, content, and final submission of this paper.</w:t>
      </w:r>
    </w:p>
    <w:p w14:paraId="0C485E2F" w14:textId="3736CC61" w:rsidR="00AD58C8" w:rsidRPr="00922856" w:rsidRDefault="00AD58C8" w:rsidP="0062133B">
      <w:pPr>
        <w:spacing w:line="480" w:lineRule="auto"/>
        <w:jc w:val="center"/>
        <w:rPr>
          <w:rFonts w:ascii="Times New Roman" w:hAnsi="Times New Roman" w:cs="Times New Roman"/>
          <w:sz w:val="24"/>
          <w:szCs w:val="24"/>
        </w:rPr>
      </w:pPr>
    </w:p>
    <w:sectPr w:rsidR="00AD58C8" w:rsidRPr="00922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C4CE7"/>
    <w:multiLevelType w:val="hybridMultilevel"/>
    <w:tmpl w:val="0C8C9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3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E6"/>
    <w:rsid w:val="00010F7E"/>
    <w:rsid w:val="0001123C"/>
    <w:rsid w:val="00012AC6"/>
    <w:rsid w:val="00012BC5"/>
    <w:rsid w:val="0003334D"/>
    <w:rsid w:val="00036151"/>
    <w:rsid w:val="00041D77"/>
    <w:rsid w:val="00052885"/>
    <w:rsid w:val="00066816"/>
    <w:rsid w:val="00076031"/>
    <w:rsid w:val="000A7061"/>
    <w:rsid w:val="000B65F9"/>
    <w:rsid w:val="000C3642"/>
    <w:rsid w:val="000C429F"/>
    <w:rsid w:val="000D0A63"/>
    <w:rsid w:val="000D3E26"/>
    <w:rsid w:val="000E4F1B"/>
    <w:rsid w:val="0011533C"/>
    <w:rsid w:val="00117D61"/>
    <w:rsid w:val="001219B8"/>
    <w:rsid w:val="0012395A"/>
    <w:rsid w:val="00130619"/>
    <w:rsid w:val="00151F4A"/>
    <w:rsid w:val="00153877"/>
    <w:rsid w:val="00181676"/>
    <w:rsid w:val="001A60CC"/>
    <w:rsid w:val="001C32B6"/>
    <w:rsid w:val="001C5917"/>
    <w:rsid w:val="001C7F09"/>
    <w:rsid w:val="001D7CB4"/>
    <w:rsid w:val="001E30A2"/>
    <w:rsid w:val="001E70C0"/>
    <w:rsid w:val="002035C7"/>
    <w:rsid w:val="00210181"/>
    <w:rsid w:val="00216803"/>
    <w:rsid w:val="00222EEA"/>
    <w:rsid w:val="00232915"/>
    <w:rsid w:val="0023382D"/>
    <w:rsid w:val="00252C70"/>
    <w:rsid w:val="002823B5"/>
    <w:rsid w:val="002860A3"/>
    <w:rsid w:val="002862A4"/>
    <w:rsid w:val="00290938"/>
    <w:rsid w:val="00293717"/>
    <w:rsid w:val="002947F1"/>
    <w:rsid w:val="002A5F00"/>
    <w:rsid w:val="002B6DE9"/>
    <w:rsid w:val="002D074A"/>
    <w:rsid w:val="002F5477"/>
    <w:rsid w:val="002F7D49"/>
    <w:rsid w:val="00305168"/>
    <w:rsid w:val="00333685"/>
    <w:rsid w:val="0033706A"/>
    <w:rsid w:val="00353BFF"/>
    <w:rsid w:val="00356D60"/>
    <w:rsid w:val="003A315D"/>
    <w:rsid w:val="003D303C"/>
    <w:rsid w:val="003D3E3C"/>
    <w:rsid w:val="003E4C83"/>
    <w:rsid w:val="003E4EA3"/>
    <w:rsid w:val="003F6DF1"/>
    <w:rsid w:val="00400862"/>
    <w:rsid w:val="00404E97"/>
    <w:rsid w:val="004252F2"/>
    <w:rsid w:val="00432F89"/>
    <w:rsid w:val="0043716C"/>
    <w:rsid w:val="0044465C"/>
    <w:rsid w:val="0046250A"/>
    <w:rsid w:val="004668AA"/>
    <w:rsid w:val="00481522"/>
    <w:rsid w:val="0049598A"/>
    <w:rsid w:val="004978CE"/>
    <w:rsid w:val="004A01EC"/>
    <w:rsid w:val="004A38C8"/>
    <w:rsid w:val="004A6328"/>
    <w:rsid w:val="004B5082"/>
    <w:rsid w:val="004C5E29"/>
    <w:rsid w:val="004D0E21"/>
    <w:rsid w:val="004D1F76"/>
    <w:rsid w:val="005014E6"/>
    <w:rsid w:val="00501F7A"/>
    <w:rsid w:val="00504E35"/>
    <w:rsid w:val="005115D4"/>
    <w:rsid w:val="005133F1"/>
    <w:rsid w:val="005527B1"/>
    <w:rsid w:val="00563933"/>
    <w:rsid w:val="005653BB"/>
    <w:rsid w:val="00591CAD"/>
    <w:rsid w:val="00592FBE"/>
    <w:rsid w:val="00596669"/>
    <w:rsid w:val="005A5BDE"/>
    <w:rsid w:val="005D1ED7"/>
    <w:rsid w:val="005D313F"/>
    <w:rsid w:val="005D5C9E"/>
    <w:rsid w:val="005D6478"/>
    <w:rsid w:val="00602856"/>
    <w:rsid w:val="00612DF8"/>
    <w:rsid w:val="0062133B"/>
    <w:rsid w:val="0065663B"/>
    <w:rsid w:val="00665404"/>
    <w:rsid w:val="0067077D"/>
    <w:rsid w:val="00675A11"/>
    <w:rsid w:val="00682233"/>
    <w:rsid w:val="00687338"/>
    <w:rsid w:val="006C19FC"/>
    <w:rsid w:val="006D09DF"/>
    <w:rsid w:val="006D7972"/>
    <w:rsid w:val="007029BF"/>
    <w:rsid w:val="00727166"/>
    <w:rsid w:val="0074023A"/>
    <w:rsid w:val="00746EDE"/>
    <w:rsid w:val="007535E7"/>
    <w:rsid w:val="0075659B"/>
    <w:rsid w:val="007568B0"/>
    <w:rsid w:val="00762783"/>
    <w:rsid w:val="007645B2"/>
    <w:rsid w:val="00777EB0"/>
    <w:rsid w:val="00787B4F"/>
    <w:rsid w:val="007A6722"/>
    <w:rsid w:val="007D01F4"/>
    <w:rsid w:val="007D0C8A"/>
    <w:rsid w:val="008209BA"/>
    <w:rsid w:val="008245A9"/>
    <w:rsid w:val="00834E39"/>
    <w:rsid w:val="00846652"/>
    <w:rsid w:val="0085170F"/>
    <w:rsid w:val="0085239E"/>
    <w:rsid w:val="00867F31"/>
    <w:rsid w:val="00875D3C"/>
    <w:rsid w:val="00880102"/>
    <w:rsid w:val="00883E4C"/>
    <w:rsid w:val="00897139"/>
    <w:rsid w:val="008B0BCE"/>
    <w:rsid w:val="008C073E"/>
    <w:rsid w:val="008C58CD"/>
    <w:rsid w:val="008D0B99"/>
    <w:rsid w:val="008E3C4A"/>
    <w:rsid w:val="009078EF"/>
    <w:rsid w:val="00911001"/>
    <w:rsid w:val="0091101B"/>
    <w:rsid w:val="00911898"/>
    <w:rsid w:val="00922856"/>
    <w:rsid w:val="00926A71"/>
    <w:rsid w:val="00936B50"/>
    <w:rsid w:val="009627A0"/>
    <w:rsid w:val="00966400"/>
    <w:rsid w:val="00974A41"/>
    <w:rsid w:val="00977039"/>
    <w:rsid w:val="009825DD"/>
    <w:rsid w:val="009A1341"/>
    <w:rsid w:val="009A2FF7"/>
    <w:rsid w:val="009A3DDD"/>
    <w:rsid w:val="009C06B0"/>
    <w:rsid w:val="009F4DF0"/>
    <w:rsid w:val="009F5943"/>
    <w:rsid w:val="00A05268"/>
    <w:rsid w:val="00A07DB1"/>
    <w:rsid w:val="00A168CD"/>
    <w:rsid w:val="00A24E1D"/>
    <w:rsid w:val="00A4468A"/>
    <w:rsid w:val="00A51966"/>
    <w:rsid w:val="00A703E5"/>
    <w:rsid w:val="00A727F1"/>
    <w:rsid w:val="00A762B5"/>
    <w:rsid w:val="00A77901"/>
    <w:rsid w:val="00A839E0"/>
    <w:rsid w:val="00AA2B9B"/>
    <w:rsid w:val="00AA441E"/>
    <w:rsid w:val="00AA55F2"/>
    <w:rsid w:val="00AA65CE"/>
    <w:rsid w:val="00AB0C2B"/>
    <w:rsid w:val="00AB2529"/>
    <w:rsid w:val="00AB27C5"/>
    <w:rsid w:val="00AD1867"/>
    <w:rsid w:val="00AD58C8"/>
    <w:rsid w:val="00AE6C9A"/>
    <w:rsid w:val="00AF34C1"/>
    <w:rsid w:val="00B04992"/>
    <w:rsid w:val="00B172D6"/>
    <w:rsid w:val="00B472BE"/>
    <w:rsid w:val="00B53831"/>
    <w:rsid w:val="00B567C7"/>
    <w:rsid w:val="00B75A5E"/>
    <w:rsid w:val="00B77A96"/>
    <w:rsid w:val="00B9374D"/>
    <w:rsid w:val="00B95397"/>
    <w:rsid w:val="00BA4441"/>
    <w:rsid w:val="00BB65DA"/>
    <w:rsid w:val="00BC0E1E"/>
    <w:rsid w:val="00BC7188"/>
    <w:rsid w:val="00BD64DB"/>
    <w:rsid w:val="00BE410C"/>
    <w:rsid w:val="00C0021D"/>
    <w:rsid w:val="00C0538D"/>
    <w:rsid w:val="00C10420"/>
    <w:rsid w:val="00C43969"/>
    <w:rsid w:val="00C46167"/>
    <w:rsid w:val="00C46A0E"/>
    <w:rsid w:val="00C6250D"/>
    <w:rsid w:val="00C71B93"/>
    <w:rsid w:val="00C83F9B"/>
    <w:rsid w:val="00C87380"/>
    <w:rsid w:val="00C93F7E"/>
    <w:rsid w:val="00C95EE3"/>
    <w:rsid w:val="00CA3941"/>
    <w:rsid w:val="00CB1B9E"/>
    <w:rsid w:val="00CC7276"/>
    <w:rsid w:val="00CE7387"/>
    <w:rsid w:val="00D02A8A"/>
    <w:rsid w:val="00D1555E"/>
    <w:rsid w:val="00D1773D"/>
    <w:rsid w:val="00D30C1A"/>
    <w:rsid w:val="00D5115A"/>
    <w:rsid w:val="00D51F2F"/>
    <w:rsid w:val="00D72321"/>
    <w:rsid w:val="00D72C27"/>
    <w:rsid w:val="00D83844"/>
    <w:rsid w:val="00D852C6"/>
    <w:rsid w:val="00D87B17"/>
    <w:rsid w:val="00DB3707"/>
    <w:rsid w:val="00DC01F2"/>
    <w:rsid w:val="00DC0D62"/>
    <w:rsid w:val="00DC1D34"/>
    <w:rsid w:val="00DD6AFB"/>
    <w:rsid w:val="00DD73B7"/>
    <w:rsid w:val="00DE24BC"/>
    <w:rsid w:val="00E2367A"/>
    <w:rsid w:val="00E63222"/>
    <w:rsid w:val="00E76B9F"/>
    <w:rsid w:val="00E7743B"/>
    <w:rsid w:val="00E800CA"/>
    <w:rsid w:val="00E83F0F"/>
    <w:rsid w:val="00E8458D"/>
    <w:rsid w:val="00EB3855"/>
    <w:rsid w:val="00EB590B"/>
    <w:rsid w:val="00ED76E0"/>
    <w:rsid w:val="00EE1006"/>
    <w:rsid w:val="00EE51CE"/>
    <w:rsid w:val="00F02E67"/>
    <w:rsid w:val="00F13738"/>
    <w:rsid w:val="00F141D4"/>
    <w:rsid w:val="00F269DD"/>
    <w:rsid w:val="00F356C4"/>
    <w:rsid w:val="00F40A90"/>
    <w:rsid w:val="00F436A4"/>
    <w:rsid w:val="00F52CAE"/>
    <w:rsid w:val="00F63E04"/>
    <w:rsid w:val="00F71605"/>
    <w:rsid w:val="00F731CA"/>
    <w:rsid w:val="00F746A8"/>
    <w:rsid w:val="00F77C5E"/>
    <w:rsid w:val="00F82C8D"/>
    <w:rsid w:val="00F923B4"/>
    <w:rsid w:val="00F93E2C"/>
    <w:rsid w:val="00FA192B"/>
    <w:rsid w:val="00FA4853"/>
    <w:rsid w:val="00FC743B"/>
    <w:rsid w:val="00FD227D"/>
    <w:rsid w:val="00FD65D4"/>
    <w:rsid w:val="00FE3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272B"/>
  <w15:chartTrackingRefBased/>
  <w15:docId w15:val="{00091CE8-9B71-4F82-B115-BA379571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4E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14E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14E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14E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14E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4E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14E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14E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14E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14E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4E6"/>
    <w:rPr>
      <w:rFonts w:eastAsiaTheme="majorEastAsia" w:cstheme="majorBidi"/>
      <w:color w:val="272727" w:themeColor="text1" w:themeTint="D8"/>
    </w:rPr>
  </w:style>
  <w:style w:type="paragraph" w:styleId="Title">
    <w:name w:val="Title"/>
    <w:basedOn w:val="Normal"/>
    <w:next w:val="Normal"/>
    <w:link w:val="TitleChar"/>
    <w:uiPriority w:val="10"/>
    <w:qFormat/>
    <w:rsid w:val="0050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4E6"/>
    <w:pPr>
      <w:spacing w:before="160"/>
      <w:jc w:val="center"/>
    </w:pPr>
    <w:rPr>
      <w:i/>
      <w:iCs/>
      <w:color w:val="404040" w:themeColor="text1" w:themeTint="BF"/>
    </w:rPr>
  </w:style>
  <w:style w:type="character" w:customStyle="1" w:styleId="QuoteChar">
    <w:name w:val="Quote Char"/>
    <w:basedOn w:val="DefaultParagraphFont"/>
    <w:link w:val="Quote"/>
    <w:uiPriority w:val="29"/>
    <w:rsid w:val="005014E6"/>
    <w:rPr>
      <w:i/>
      <w:iCs/>
      <w:color w:val="404040" w:themeColor="text1" w:themeTint="BF"/>
    </w:rPr>
  </w:style>
  <w:style w:type="paragraph" w:styleId="ListParagraph">
    <w:name w:val="List Paragraph"/>
    <w:basedOn w:val="Normal"/>
    <w:uiPriority w:val="34"/>
    <w:qFormat/>
    <w:rsid w:val="005014E6"/>
    <w:pPr>
      <w:ind w:left="720"/>
      <w:contextualSpacing/>
    </w:pPr>
  </w:style>
  <w:style w:type="character" w:styleId="IntenseEmphasis">
    <w:name w:val="Intense Emphasis"/>
    <w:basedOn w:val="DefaultParagraphFont"/>
    <w:uiPriority w:val="21"/>
    <w:qFormat/>
    <w:rsid w:val="005014E6"/>
    <w:rPr>
      <w:i/>
      <w:iCs/>
      <w:color w:val="2E74B5" w:themeColor="accent1" w:themeShade="BF"/>
    </w:rPr>
  </w:style>
  <w:style w:type="paragraph" w:styleId="IntenseQuote">
    <w:name w:val="Intense Quote"/>
    <w:basedOn w:val="Normal"/>
    <w:next w:val="Normal"/>
    <w:link w:val="IntenseQuoteChar"/>
    <w:uiPriority w:val="30"/>
    <w:qFormat/>
    <w:rsid w:val="005014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4E6"/>
    <w:rPr>
      <w:i/>
      <w:iCs/>
      <w:color w:val="2E74B5" w:themeColor="accent1" w:themeShade="BF"/>
    </w:rPr>
  </w:style>
  <w:style w:type="character" w:styleId="IntenseReference">
    <w:name w:val="Intense Reference"/>
    <w:basedOn w:val="DefaultParagraphFont"/>
    <w:uiPriority w:val="32"/>
    <w:qFormat/>
    <w:rsid w:val="005014E6"/>
    <w:rPr>
      <w:b/>
      <w:bCs/>
      <w:smallCaps/>
      <w:color w:val="2E74B5" w:themeColor="accent1" w:themeShade="BF"/>
      <w:spacing w:val="5"/>
    </w:rPr>
  </w:style>
  <w:style w:type="character" w:styleId="Hyperlink">
    <w:name w:val="Hyperlink"/>
    <w:basedOn w:val="DefaultParagraphFont"/>
    <w:uiPriority w:val="99"/>
    <w:unhideWhenUsed/>
    <w:rsid w:val="00AD58C8"/>
    <w:rPr>
      <w:color w:val="0563C1" w:themeColor="hyperlink"/>
      <w:u w:val="single"/>
    </w:rPr>
  </w:style>
  <w:style w:type="character" w:styleId="UnresolvedMention">
    <w:name w:val="Unresolved Mention"/>
    <w:basedOn w:val="DefaultParagraphFont"/>
    <w:uiPriority w:val="99"/>
    <w:semiHidden/>
    <w:unhideWhenUsed/>
    <w:rsid w:val="00AD58C8"/>
    <w:rPr>
      <w:color w:val="605E5C"/>
      <w:shd w:val="clear" w:color="auto" w:fill="E1DFDD"/>
    </w:rPr>
  </w:style>
  <w:style w:type="character" w:styleId="FollowedHyperlink">
    <w:name w:val="FollowedHyperlink"/>
    <w:basedOn w:val="DefaultParagraphFont"/>
    <w:uiPriority w:val="99"/>
    <w:semiHidden/>
    <w:unhideWhenUsed/>
    <w:rsid w:val="00E83F0F"/>
    <w:rPr>
      <w:color w:val="954F72" w:themeColor="followedHyperlink"/>
      <w:u w:val="single"/>
    </w:rPr>
  </w:style>
  <w:style w:type="paragraph" w:styleId="NormalWeb">
    <w:name w:val="Normal (Web)"/>
    <w:basedOn w:val="Normal"/>
    <w:uiPriority w:val="99"/>
    <w:semiHidden/>
    <w:unhideWhenUsed/>
    <w:rsid w:val="005D64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7887">
      <w:bodyDiv w:val="1"/>
      <w:marLeft w:val="0"/>
      <w:marRight w:val="0"/>
      <w:marTop w:val="0"/>
      <w:marBottom w:val="0"/>
      <w:divBdr>
        <w:top w:val="none" w:sz="0" w:space="0" w:color="auto"/>
        <w:left w:val="none" w:sz="0" w:space="0" w:color="auto"/>
        <w:bottom w:val="none" w:sz="0" w:space="0" w:color="auto"/>
        <w:right w:val="none" w:sz="0" w:space="0" w:color="auto"/>
      </w:divBdr>
    </w:div>
    <w:div w:id="44372688">
      <w:bodyDiv w:val="1"/>
      <w:marLeft w:val="0"/>
      <w:marRight w:val="0"/>
      <w:marTop w:val="0"/>
      <w:marBottom w:val="0"/>
      <w:divBdr>
        <w:top w:val="none" w:sz="0" w:space="0" w:color="auto"/>
        <w:left w:val="none" w:sz="0" w:space="0" w:color="auto"/>
        <w:bottom w:val="none" w:sz="0" w:space="0" w:color="auto"/>
        <w:right w:val="none" w:sz="0" w:space="0" w:color="auto"/>
      </w:divBdr>
    </w:div>
    <w:div w:id="47191857">
      <w:bodyDiv w:val="1"/>
      <w:marLeft w:val="0"/>
      <w:marRight w:val="0"/>
      <w:marTop w:val="0"/>
      <w:marBottom w:val="0"/>
      <w:divBdr>
        <w:top w:val="none" w:sz="0" w:space="0" w:color="auto"/>
        <w:left w:val="none" w:sz="0" w:space="0" w:color="auto"/>
        <w:bottom w:val="none" w:sz="0" w:space="0" w:color="auto"/>
        <w:right w:val="none" w:sz="0" w:space="0" w:color="auto"/>
      </w:divBdr>
    </w:div>
    <w:div w:id="59719295">
      <w:bodyDiv w:val="1"/>
      <w:marLeft w:val="0"/>
      <w:marRight w:val="0"/>
      <w:marTop w:val="0"/>
      <w:marBottom w:val="0"/>
      <w:divBdr>
        <w:top w:val="none" w:sz="0" w:space="0" w:color="auto"/>
        <w:left w:val="none" w:sz="0" w:space="0" w:color="auto"/>
        <w:bottom w:val="none" w:sz="0" w:space="0" w:color="auto"/>
        <w:right w:val="none" w:sz="0" w:space="0" w:color="auto"/>
      </w:divBdr>
    </w:div>
    <w:div w:id="63915024">
      <w:bodyDiv w:val="1"/>
      <w:marLeft w:val="0"/>
      <w:marRight w:val="0"/>
      <w:marTop w:val="0"/>
      <w:marBottom w:val="0"/>
      <w:divBdr>
        <w:top w:val="none" w:sz="0" w:space="0" w:color="auto"/>
        <w:left w:val="none" w:sz="0" w:space="0" w:color="auto"/>
        <w:bottom w:val="none" w:sz="0" w:space="0" w:color="auto"/>
        <w:right w:val="none" w:sz="0" w:space="0" w:color="auto"/>
      </w:divBdr>
    </w:div>
    <w:div w:id="83890150">
      <w:bodyDiv w:val="1"/>
      <w:marLeft w:val="0"/>
      <w:marRight w:val="0"/>
      <w:marTop w:val="0"/>
      <w:marBottom w:val="0"/>
      <w:divBdr>
        <w:top w:val="none" w:sz="0" w:space="0" w:color="auto"/>
        <w:left w:val="none" w:sz="0" w:space="0" w:color="auto"/>
        <w:bottom w:val="none" w:sz="0" w:space="0" w:color="auto"/>
        <w:right w:val="none" w:sz="0" w:space="0" w:color="auto"/>
      </w:divBdr>
    </w:div>
    <w:div w:id="163517342">
      <w:bodyDiv w:val="1"/>
      <w:marLeft w:val="0"/>
      <w:marRight w:val="0"/>
      <w:marTop w:val="0"/>
      <w:marBottom w:val="0"/>
      <w:divBdr>
        <w:top w:val="none" w:sz="0" w:space="0" w:color="auto"/>
        <w:left w:val="none" w:sz="0" w:space="0" w:color="auto"/>
        <w:bottom w:val="none" w:sz="0" w:space="0" w:color="auto"/>
        <w:right w:val="none" w:sz="0" w:space="0" w:color="auto"/>
      </w:divBdr>
    </w:div>
    <w:div w:id="188880519">
      <w:bodyDiv w:val="1"/>
      <w:marLeft w:val="0"/>
      <w:marRight w:val="0"/>
      <w:marTop w:val="0"/>
      <w:marBottom w:val="0"/>
      <w:divBdr>
        <w:top w:val="none" w:sz="0" w:space="0" w:color="auto"/>
        <w:left w:val="none" w:sz="0" w:space="0" w:color="auto"/>
        <w:bottom w:val="none" w:sz="0" w:space="0" w:color="auto"/>
        <w:right w:val="none" w:sz="0" w:space="0" w:color="auto"/>
      </w:divBdr>
    </w:div>
    <w:div w:id="224535503">
      <w:bodyDiv w:val="1"/>
      <w:marLeft w:val="0"/>
      <w:marRight w:val="0"/>
      <w:marTop w:val="0"/>
      <w:marBottom w:val="0"/>
      <w:divBdr>
        <w:top w:val="none" w:sz="0" w:space="0" w:color="auto"/>
        <w:left w:val="none" w:sz="0" w:space="0" w:color="auto"/>
        <w:bottom w:val="none" w:sz="0" w:space="0" w:color="auto"/>
        <w:right w:val="none" w:sz="0" w:space="0" w:color="auto"/>
      </w:divBdr>
    </w:div>
    <w:div w:id="282617614">
      <w:bodyDiv w:val="1"/>
      <w:marLeft w:val="0"/>
      <w:marRight w:val="0"/>
      <w:marTop w:val="0"/>
      <w:marBottom w:val="0"/>
      <w:divBdr>
        <w:top w:val="none" w:sz="0" w:space="0" w:color="auto"/>
        <w:left w:val="none" w:sz="0" w:space="0" w:color="auto"/>
        <w:bottom w:val="none" w:sz="0" w:space="0" w:color="auto"/>
        <w:right w:val="none" w:sz="0" w:space="0" w:color="auto"/>
      </w:divBdr>
    </w:div>
    <w:div w:id="319577757">
      <w:bodyDiv w:val="1"/>
      <w:marLeft w:val="0"/>
      <w:marRight w:val="0"/>
      <w:marTop w:val="0"/>
      <w:marBottom w:val="0"/>
      <w:divBdr>
        <w:top w:val="none" w:sz="0" w:space="0" w:color="auto"/>
        <w:left w:val="none" w:sz="0" w:space="0" w:color="auto"/>
        <w:bottom w:val="none" w:sz="0" w:space="0" w:color="auto"/>
        <w:right w:val="none" w:sz="0" w:space="0" w:color="auto"/>
      </w:divBdr>
    </w:div>
    <w:div w:id="396048840">
      <w:bodyDiv w:val="1"/>
      <w:marLeft w:val="0"/>
      <w:marRight w:val="0"/>
      <w:marTop w:val="0"/>
      <w:marBottom w:val="0"/>
      <w:divBdr>
        <w:top w:val="none" w:sz="0" w:space="0" w:color="auto"/>
        <w:left w:val="none" w:sz="0" w:space="0" w:color="auto"/>
        <w:bottom w:val="none" w:sz="0" w:space="0" w:color="auto"/>
        <w:right w:val="none" w:sz="0" w:space="0" w:color="auto"/>
      </w:divBdr>
    </w:div>
    <w:div w:id="415633927">
      <w:bodyDiv w:val="1"/>
      <w:marLeft w:val="0"/>
      <w:marRight w:val="0"/>
      <w:marTop w:val="0"/>
      <w:marBottom w:val="0"/>
      <w:divBdr>
        <w:top w:val="none" w:sz="0" w:space="0" w:color="auto"/>
        <w:left w:val="none" w:sz="0" w:space="0" w:color="auto"/>
        <w:bottom w:val="none" w:sz="0" w:space="0" w:color="auto"/>
        <w:right w:val="none" w:sz="0" w:space="0" w:color="auto"/>
      </w:divBdr>
    </w:div>
    <w:div w:id="436290593">
      <w:bodyDiv w:val="1"/>
      <w:marLeft w:val="0"/>
      <w:marRight w:val="0"/>
      <w:marTop w:val="0"/>
      <w:marBottom w:val="0"/>
      <w:divBdr>
        <w:top w:val="none" w:sz="0" w:space="0" w:color="auto"/>
        <w:left w:val="none" w:sz="0" w:space="0" w:color="auto"/>
        <w:bottom w:val="none" w:sz="0" w:space="0" w:color="auto"/>
        <w:right w:val="none" w:sz="0" w:space="0" w:color="auto"/>
      </w:divBdr>
    </w:div>
    <w:div w:id="461726311">
      <w:bodyDiv w:val="1"/>
      <w:marLeft w:val="0"/>
      <w:marRight w:val="0"/>
      <w:marTop w:val="0"/>
      <w:marBottom w:val="0"/>
      <w:divBdr>
        <w:top w:val="none" w:sz="0" w:space="0" w:color="auto"/>
        <w:left w:val="none" w:sz="0" w:space="0" w:color="auto"/>
        <w:bottom w:val="none" w:sz="0" w:space="0" w:color="auto"/>
        <w:right w:val="none" w:sz="0" w:space="0" w:color="auto"/>
      </w:divBdr>
    </w:div>
    <w:div w:id="463625572">
      <w:bodyDiv w:val="1"/>
      <w:marLeft w:val="0"/>
      <w:marRight w:val="0"/>
      <w:marTop w:val="0"/>
      <w:marBottom w:val="0"/>
      <w:divBdr>
        <w:top w:val="none" w:sz="0" w:space="0" w:color="auto"/>
        <w:left w:val="none" w:sz="0" w:space="0" w:color="auto"/>
        <w:bottom w:val="none" w:sz="0" w:space="0" w:color="auto"/>
        <w:right w:val="none" w:sz="0" w:space="0" w:color="auto"/>
      </w:divBdr>
    </w:div>
    <w:div w:id="471488942">
      <w:bodyDiv w:val="1"/>
      <w:marLeft w:val="0"/>
      <w:marRight w:val="0"/>
      <w:marTop w:val="0"/>
      <w:marBottom w:val="0"/>
      <w:divBdr>
        <w:top w:val="none" w:sz="0" w:space="0" w:color="auto"/>
        <w:left w:val="none" w:sz="0" w:space="0" w:color="auto"/>
        <w:bottom w:val="none" w:sz="0" w:space="0" w:color="auto"/>
        <w:right w:val="none" w:sz="0" w:space="0" w:color="auto"/>
      </w:divBdr>
    </w:div>
    <w:div w:id="502428432">
      <w:bodyDiv w:val="1"/>
      <w:marLeft w:val="0"/>
      <w:marRight w:val="0"/>
      <w:marTop w:val="0"/>
      <w:marBottom w:val="0"/>
      <w:divBdr>
        <w:top w:val="none" w:sz="0" w:space="0" w:color="auto"/>
        <w:left w:val="none" w:sz="0" w:space="0" w:color="auto"/>
        <w:bottom w:val="none" w:sz="0" w:space="0" w:color="auto"/>
        <w:right w:val="none" w:sz="0" w:space="0" w:color="auto"/>
      </w:divBdr>
    </w:div>
    <w:div w:id="549538870">
      <w:bodyDiv w:val="1"/>
      <w:marLeft w:val="0"/>
      <w:marRight w:val="0"/>
      <w:marTop w:val="0"/>
      <w:marBottom w:val="0"/>
      <w:divBdr>
        <w:top w:val="none" w:sz="0" w:space="0" w:color="auto"/>
        <w:left w:val="none" w:sz="0" w:space="0" w:color="auto"/>
        <w:bottom w:val="none" w:sz="0" w:space="0" w:color="auto"/>
        <w:right w:val="none" w:sz="0" w:space="0" w:color="auto"/>
      </w:divBdr>
    </w:div>
    <w:div w:id="585572934">
      <w:bodyDiv w:val="1"/>
      <w:marLeft w:val="0"/>
      <w:marRight w:val="0"/>
      <w:marTop w:val="0"/>
      <w:marBottom w:val="0"/>
      <w:divBdr>
        <w:top w:val="none" w:sz="0" w:space="0" w:color="auto"/>
        <w:left w:val="none" w:sz="0" w:space="0" w:color="auto"/>
        <w:bottom w:val="none" w:sz="0" w:space="0" w:color="auto"/>
        <w:right w:val="none" w:sz="0" w:space="0" w:color="auto"/>
      </w:divBdr>
    </w:div>
    <w:div w:id="620459859">
      <w:bodyDiv w:val="1"/>
      <w:marLeft w:val="0"/>
      <w:marRight w:val="0"/>
      <w:marTop w:val="0"/>
      <w:marBottom w:val="0"/>
      <w:divBdr>
        <w:top w:val="none" w:sz="0" w:space="0" w:color="auto"/>
        <w:left w:val="none" w:sz="0" w:space="0" w:color="auto"/>
        <w:bottom w:val="none" w:sz="0" w:space="0" w:color="auto"/>
        <w:right w:val="none" w:sz="0" w:space="0" w:color="auto"/>
      </w:divBdr>
    </w:div>
    <w:div w:id="648484537">
      <w:bodyDiv w:val="1"/>
      <w:marLeft w:val="0"/>
      <w:marRight w:val="0"/>
      <w:marTop w:val="0"/>
      <w:marBottom w:val="0"/>
      <w:divBdr>
        <w:top w:val="none" w:sz="0" w:space="0" w:color="auto"/>
        <w:left w:val="none" w:sz="0" w:space="0" w:color="auto"/>
        <w:bottom w:val="none" w:sz="0" w:space="0" w:color="auto"/>
        <w:right w:val="none" w:sz="0" w:space="0" w:color="auto"/>
      </w:divBdr>
    </w:div>
    <w:div w:id="664432417">
      <w:bodyDiv w:val="1"/>
      <w:marLeft w:val="0"/>
      <w:marRight w:val="0"/>
      <w:marTop w:val="0"/>
      <w:marBottom w:val="0"/>
      <w:divBdr>
        <w:top w:val="none" w:sz="0" w:space="0" w:color="auto"/>
        <w:left w:val="none" w:sz="0" w:space="0" w:color="auto"/>
        <w:bottom w:val="none" w:sz="0" w:space="0" w:color="auto"/>
        <w:right w:val="none" w:sz="0" w:space="0" w:color="auto"/>
      </w:divBdr>
    </w:div>
    <w:div w:id="711419373">
      <w:bodyDiv w:val="1"/>
      <w:marLeft w:val="0"/>
      <w:marRight w:val="0"/>
      <w:marTop w:val="0"/>
      <w:marBottom w:val="0"/>
      <w:divBdr>
        <w:top w:val="none" w:sz="0" w:space="0" w:color="auto"/>
        <w:left w:val="none" w:sz="0" w:space="0" w:color="auto"/>
        <w:bottom w:val="none" w:sz="0" w:space="0" w:color="auto"/>
        <w:right w:val="none" w:sz="0" w:space="0" w:color="auto"/>
      </w:divBdr>
    </w:div>
    <w:div w:id="725566555">
      <w:bodyDiv w:val="1"/>
      <w:marLeft w:val="0"/>
      <w:marRight w:val="0"/>
      <w:marTop w:val="0"/>
      <w:marBottom w:val="0"/>
      <w:divBdr>
        <w:top w:val="none" w:sz="0" w:space="0" w:color="auto"/>
        <w:left w:val="none" w:sz="0" w:space="0" w:color="auto"/>
        <w:bottom w:val="none" w:sz="0" w:space="0" w:color="auto"/>
        <w:right w:val="none" w:sz="0" w:space="0" w:color="auto"/>
      </w:divBdr>
    </w:div>
    <w:div w:id="729573384">
      <w:bodyDiv w:val="1"/>
      <w:marLeft w:val="0"/>
      <w:marRight w:val="0"/>
      <w:marTop w:val="0"/>
      <w:marBottom w:val="0"/>
      <w:divBdr>
        <w:top w:val="none" w:sz="0" w:space="0" w:color="auto"/>
        <w:left w:val="none" w:sz="0" w:space="0" w:color="auto"/>
        <w:bottom w:val="none" w:sz="0" w:space="0" w:color="auto"/>
        <w:right w:val="none" w:sz="0" w:space="0" w:color="auto"/>
      </w:divBdr>
    </w:div>
    <w:div w:id="732000218">
      <w:bodyDiv w:val="1"/>
      <w:marLeft w:val="0"/>
      <w:marRight w:val="0"/>
      <w:marTop w:val="0"/>
      <w:marBottom w:val="0"/>
      <w:divBdr>
        <w:top w:val="none" w:sz="0" w:space="0" w:color="auto"/>
        <w:left w:val="none" w:sz="0" w:space="0" w:color="auto"/>
        <w:bottom w:val="none" w:sz="0" w:space="0" w:color="auto"/>
        <w:right w:val="none" w:sz="0" w:space="0" w:color="auto"/>
      </w:divBdr>
    </w:div>
    <w:div w:id="733939035">
      <w:bodyDiv w:val="1"/>
      <w:marLeft w:val="0"/>
      <w:marRight w:val="0"/>
      <w:marTop w:val="0"/>
      <w:marBottom w:val="0"/>
      <w:divBdr>
        <w:top w:val="none" w:sz="0" w:space="0" w:color="auto"/>
        <w:left w:val="none" w:sz="0" w:space="0" w:color="auto"/>
        <w:bottom w:val="none" w:sz="0" w:space="0" w:color="auto"/>
        <w:right w:val="none" w:sz="0" w:space="0" w:color="auto"/>
      </w:divBdr>
    </w:div>
    <w:div w:id="746611428">
      <w:bodyDiv w:val="1"/>
      <w:marLeft w:val="0"/>
      <w:marRight w:val="0"/>
      <w:marTop w:val="0"/>
      <w:marBottom w:val="0"/>
      <w:divBdr>
        <w:top w:val="none" w:sz="0" w:space="0" w:color="auto"/>
        <w:left w:val="none" w:sz="0" w:space="0" w:color="auto"/>
        <w:bottom w:val="none" w:sz="0" w:space="0" w:color="auto"/>
        <w:right w:val="none" w:sz="0" w:space="0" w:color="auto"/>
      </w:divBdr>
    </w:div>
    <w:div w:id="757169762">
      <w:bodyDiv w:val="1"/>
      <w:marLeft w:val="0"/>
      <w:marRight w:val="0"/>
      <w:marTop w:val="0"/>
      <w:marBottom w:val="0"/>
      <w:divBdr>
        <w:top w:val="none" w:sz="0" w:space="0" w:color="auto"/>
        <w:left w:val="none" w:sz="0" w:space="0" w:color="auto"/>
        <w:bottom w:val="none" w:sz="0" w:space="0" w:color="auto"/>
        <w:right w:val="none" w:sz="0" w:space="0" w:color="auto"/>
      </w:divBdr>
    </w:div>
    <w:div w:id="759765116">
      <w:bodyDiv w:val="1"/>
      <w:marLeft w:val="0"/>
      <w:marRight w:val="0"/>
      <w:marTop w:val="0"/>
      <w:marBottom w:val="0"/>
      <w:divBdr>
        <w:top w:val="none" w:sz="0" w:space="0" w:color="auto"/>
        <w:left w:val="none" w:sz="0" w:space="0" w:color="auto"/>
        <w:bottom w:val="none" w:sz="0" w:space="0" w:color="auto"/>
        <w:right w:val="none" w:sz="0" w:space="0" w:color="auto"/>
      </w:divBdr>
    </w:div>
    <w:div w:id="769934729">
      <w:bodyDiv w:val="1"/>
      <w:marLeft w:val="0"/>
      <w:marRight w:val="0"/>
      <w:marTop w:val="0"/>
      <w:marBottom w:val="0"/>
      <w:divBdr>
        <w:top w:val="none" w:sz="0" w:space="0" w:color="auto"/>
        <w:left w:val="none" w:sz="0" w:space="0" w:color="auto"/>
        <w:bottom w:val="none" w:sz="0" w:space="0" w:color="auto"/>
        <w:right w:val="none" w:sz="0" w:space="0" w:color="auto"/>
      </w:divBdr>
    </w:div>
    <w:div w:id="788746495">
      <w:bodyDiv w:val="1"/>
      <w:marLeft w:val="0"/>
      <w:marRight w:val="0"/>
      <w:marTop w:val="0"/>
      <w:marBottom w:val="0"/>
      <w:divBdr>
        <w:top w:val="none" w:sz="0" w:space="0" w:color="auto"/>
        <w:left w:val="none" w:sz="0" w:space="0" w:color="auto"/>
        <w:bottom w:val="none" w:sz="0" w:space="0" w:color="auto"/>
        <w:right w:val="none" w:sz="0" w:space="0" w:color="auto"/>
      </w:divBdr>
    </w:div>
    <w:div w:id="821390290">
      <w:bodyDiv w:val="1"/>
      <w:marLeft w:val="0"/>
      <w:marRight w:val="0"/>
      <w:marTop w:val="0"/>
      <w:marBottom w:val="0"/>
      <w:divBdr>
        <w:top w:val="none" w:sz="0" w:space="0" w:color="auto"/>
        <w:left w:val="none" w:sz="0" w:space="0" w:color="auto"/>
        <w:bottom w:val="none" w:sz="0" w:space="0" w:color="auto"/>
        <w:right w:val="none" w:sz="0" w:space="0" w:color="auto"/>
      </w:divBdr>
    </w:div>
    <w:div w:id="822239430">
      <w:bodyDiv w:val="1"/>
      <w:marLeft w:val="0"/>
      <w:marRight w:val="0"/>
      <w:marTop w:val="0"/>
      <w:marBottom w:val="0"/>
      <w:divBdr>
        <w:top w:val="none" w:sz="0" w:space="0" w:color="auto"/>
        <w:left w:val="none" w:sz="0" w:space="0" w:color="auto"/>
        <w:bottom w:val="none" w:sz="0" w:space="0" w:color="auto"/>
        <w:right w:val="none" w:sz="0" w:space="0" w:color="auto"/>
      </w:divBdr>
    </w:div>
    <w:div w:id="850682793">
      <w:bodyDiv w:val="1"/>
      <w:marLeft w:val="0"/>
      <w:marRight w:val="0"/>
      <w:marTop w:val="0"/>
      <w:marBottom w:val="0"/>
      <w:divBdr>
        <w:top w:val="none" w:sz="0" w:space="0" w:color="auto"/>
        <w:left w:val="none" w:sz="0" w:space="0" w:color="auto"/>
        <w:bottom w:val="none" w:sz="0" w:space="0" w:color="auto"/>
        <w:right w:val="none" w:sz="0" w:space="0" w:color="auto"/>
      </w:divBdr>
    </w:div>
    <w:div w:id="896625620">
      <w:bodyDiv w:val="1"/>
      <w:marLeft w:val="0"/>
      <w:marRight w:val="0"/>
      <w:marTop w:val="0"/>
      <w:marBottom w:val="0"/>
      <w:divBdr>
        <w:top w:val="none" w:sz="0" w:space="0" w:color="auto"/>
        <w:left w:val="none" w:sz="0" w:space="0" w:color="auto"/>
        <w:bottom w:val="none" w:sz="0" w:space="0" w:color="auto"/>
        <w:right w:val="none" w:sz="0" w:space="0" w:color="auto"/>
      </w:divBdr>
    </w:div>
    <w:div w:id="928005741">
      <w:bodyDiv w:val="1"/>
      <w:marLeft w:val="0"/>
      <w:marRight w:val="0"/>
      <w:marTop w:val="0"/>
      <w:marBottom w:val="0"/>
      <w:divBdr>
        <w:top w:val="none" w:sz="0" w:space="0" w:color="auto"/>
        <w:left w:val="none" w:sz="0" w:space="0" w:color="auto"/>
        <w:bottom w:val="none" w:sz="0" w:space="0" w:color="auto"/>
        <w:right w:val="none" w:sz="0" w:space="0" w:color="auto"/>
      </w:divBdr>
    </w:div>
    <w:div w:id="939219453">
      <w:bodyDiv w:val="1"/>
      <w:marLeft w:val="0"/>
      <w:marRight w:val="0"/>
      <w:marTop w:val="0"/>
      <w:marBottom w:val="0"/>
      <w:divBdr>
        <w:top w:val="none" w:sz="0" w:space="0" w:color="auto"/>
        <w:left w:val="none" w:sz="0" w:space="0" w:color="auto"/>
        <w:bottom w:val="none" w:sz="0" w:space="0" w:color="auto"/>
        <w:right w:val="none" w:sz="0" w:space="0" w:color="auto"/>
      </w:divBdr>
    </w:div>
    <w:div w:id="939338605">
      <w:bodyDiv w:val="1"/>
      <w:marLeft w:val="0"/>
      <w:marRight w:val="0"/>
      <w:marTop w:val="0"/>
      <w:marBottom w:val="0"/>
      <w:divBdr>
        <w:top w:val="none" w:sz="0" w:space="0" w:color="auto"/>
        <w:left w:val="none" w:sz="0" w:space="0" w:color="auto"/>
        <w:bottom w:val="none" w:sz="0" w:space="0" w:color="auto"/>
        <w:right w:val="none" w:sz="0" w:space="0" w:color="auto"/>
      </w:divBdr>
    </w:div>
    <w:div w:id="940916167">
      <w:bodyDiv w:val="1"/>
      <w:marLeft w:val="0"/>
      <w:marRight w:val="0"/>
      <w:marTop w:val="0"/>
      <w:marBottom w:val="0"/>
      <w:divBdr>
        <w:top w:val="none" w:sz="0" w:space="0" w:color="auto"/>
        <w:left w:val="none" w:sz="0" w:space="0" w:color="auto"/>
        <w:bottom w:val="none" w:sz="0" w:space="0" w:color="auto"/>
        <w:right w:val="none" w:sz="0" w:space="0" w:color="auto"/>
      </w:divBdr>
    </w:div>
    <w:div w:id="953828446">
      <w:bodyDiv w:val="1"/>
      <w:marLeft w:val="0"/>
      <w:marRight w:val="0"/>
      <w:marTop w:val="0"/>
      <w:marBottom w:val="0"/>
      <w:divBdr>
        <w:top w:val="none" w:sz="0" w:space="0" w:color="auto"/>
        <w:left w:val="none" w:sz="0" w:space="0" w:color="auto"/>
        <w:bottom w:val="none" w:sz="0" w:space="0" w:color="auto"/>
        <w:right w:val="none" w:sz="0" w:space="0" w:color="auto"/>
      </w:divBdr>
    </w:div>
    <w:div w:id="957639695">
      <w:bodyDiv w:val="1"/>
      <w:marLeft w:val="0"/>
      <w:marRight w:val="0"/>
      <w:marTop w:val="0"/>
      <w:marBottom w:val="0"/>
      <w:divBdr>
        <w:top w:val="none" w:sz="0" w:space="0" w:color="auto"/>
        <w:left w:val="none" w:sz="0" w:space="0" w:color="auto"/>
        <w:bottom w:val="none" w:sz="0" w:space="0" w:color="auto"/>
        <w:right w:val="none" w:sz="0" w:space="0" w:color="auto"/>
      </w:divBdr>
    </w:div>
    <w:div w:id="991568699">
      <w:bodyDiv w:val="1"/>
      <w:marLeft w:val="0"/>
      <w:marRight w:val="0"/>
      <w:marTop w:val="0"/>
      <w:marBottom w:val="0"/>
      <w:divBdr>
        <w:top w:val="none" w:sz="0" w:space="0" w:color="auto"/>
        <w:left w:val="none" w:sz="0" w:space="0" w:color="auto"/>
        <w:bottom w:val="none" w:sz="0" w:space="0" w:color="auto"/>
        <w:right w:val="none" w:sz="0" w:space="0" w:color="auto"/>
      </w:divBdr>
    </w:div>
    <w:div w:id="998968811">
      <w:bodyDiv w:val="1"/>
      <w:marLeft w:val="0"/>
      <w:marRight w:val="0"/>
      <w:marTop w:val="0"/>
      <w:marBottom w:val="0"/>
      <w:divBdr>
        <w:top w:val="none" w:sz="0" w:space="0" w:color="auto"/>
        <w:left w:val="none" w:sz="0" w:space="0" w:color="auto"/>
        <w:bottom w:val="none" w:sz="0" w:space="0" w:color="auto"/>
        <w:right w:val="none" w:sz="0" w:space="0" w:color="auto"/>
      </w:divBdr>
    </w:div>
    <w:div w:id="1048383628">
      <w:bodyDiv w:val="1"/>
      <w:marLeft w:val="0"/>
      <w:marRight w:val="0"/>
      <w:marTop w:val="0"/>
      <w:marBottom w:val="0"/>
      <w:divBdr>
        <w:top w:val="none" w:sz="0" w:space="0" w:color="auto"/>
        <w:left w:val="none" w:sz="0" w:space="0" w:color="auto"/>
        <w:bottom w:val="none" w:sz="0" w:space="0" w:color="auto"/>
        <w:right w:val="none" w:sz="0" w:space="0" w:color="auto"/>
      </w:divBdr>
    </w:div>
    <w:div w:id="1049494822">
      <w:bodyDiv w:val="1"/>
      <w:marLeft w:val="0"/>
      <w:marRight w:val="0"/>
      <w:marTop w:val="0"/>
      <w:marBottom w:val="0"/>
      <w:divBdr>
        <w:top w:val="none" w:sz="0" w:space="0" w:color="auto"/>
        <w:left w:val="none" w:sz="0" w:space="0" w:color="auto"/>
        <w:bottom w:val="none" w:sz="0" w:space="0" w:color="auto"/>
        <w:right w:val="none" w:sz="0" w:space="0" w:color="auto"/>
      </w:divBdr>
    </w:div>
    <w:div w:id="1056969718">
      <w:bodyDiv w:val="1"/>
      <w:marLeft w:val="0"/>
      <w:marRight w:val="0"/>
      <w:marTop w:val="0"/>
      <w:marBottom w:val="0"/>
      <w:divBdr>
        <w:top w:val="none" w:sz="0" w:space="0" w:color="auto"/>
        <w:left w:val="none" w:sz="0" w:space="0" w:color="auto"/>
        <w:bottom w:val="none" w:sz="0" w:space="0" w:color="auto"/>
        <w:right w:val="none" w:sz="0" w:space="0" w:color="auto"/>
      </w:divBdr>
    </w:div>
    <w:div w:id="1099377386">
      <w:bodyDiv w:val="1"/>
      <w:marLeft w:val="0"/>
      <w:marRight w:val="0"/>
      <w:marTop w:val="0"/>
      <w:marBottom w:val="0"/>
      <w:divBdr>
        <w:top w:val="none" w:sz="0" w:space="0" w:color="auto"/>
        <w:left w:val="none" w:sz="0" w:space="0" w:color="auto"/>
        <w:bottom w:val="none" w:sz="0" w:space="0" w:color="auto"/>
        <w:right w:val="none" w:sz="0" w:space="0" w:color="auto"/>
      </w:divBdr>
    </w:div>
    <w:div w:id="1109547443">
      <w:bodyDiv w:val="1"/>
      <w:marLeft w:val="0"/>
      <w:marRight w:val="0"/>
      <w:marTop w:val="0"/>
      <w:marBottom w:val="0"/>
      <w:divBdr>
        <w:top w:val="none" w:sz="0" w:space="0" w:color="auto"/>
        <w:left w:val="none" w:sz="0" w:space="0" w:color="auto"/>
        <w:bottom w:val="none" w:sz="0" w:space="0" w:color="auto"/>
        <w:right w:val="none" w:sz="0" w:space="0" w:color="auto"/>
      </w:divBdr>
    </w:div>
    <w:div w:id="1127507534">
      <w:bodyDiv w:val="1"/>
      <w:marLeft w:val="0"/>
      <w:marRight w:val="0"/>
      <w:marTop w:val="0"/>
      <w:marBottom w:val="0"/>
      <w:divBdr>
        <w:top w:val="none" w:sz="0" w:space="0" w:color="auto"/>
        <w:left w:val="none" w:sz="0" w:space="0" w:color="auto"/>
        <w:bottom w:val="none" w:sz="0" w:space="0" w:color="auto"/>
        <w:right w:val="none" w:sz="0" w:space="0" w:color="auto"/>
      </w:divBdr>
    </w:div>
    <w:div w:id="1137333974">
      <w:bodyDiv w:val="1"/>
      <w:marLeft w:val="0"/>
      <w:marRight w:val="0"/>
      <w:marTop w:val="0"/>
      <w:marBottom w:val="0"/>
      <w:divBdr>
        <w:top w:val="none" w:sz="0" w:space="0" w:color="auto"/>
        <w:left w:val="none" w:sz="0" w:space="0" w:color="auto"/>
        <w:bottom w:val="none" w:sz="0" w:space="0" w:color="auto"/>
        <w:right w:val="none" w:sz="0" w:space="0" w:color="auto"/>
      </w:divBdr>
    </w:div>
    <w:div w:id="1168640566">
      <w:bodyDiv w:val="1"/>
      <w:marLeft w:val="0"/>
      <w:marRight w:val="0"/>
      <w:marTop w:val="0"/>
      <w:marBottom w:val="0"/>
      <w:divBdr>
        <w:top w:val="none" w:sz="0" w:space="0" w:color="auto"/>
        <w:left w:val="none" w:sz="0" w:space="0" w:color="auto"/>
        <w:bottom w:val="none" w:sz="0" w:space="0" w:color="auto"/>
        <w:right w:val="none" w:sz="0" w:space="0" w:color="auto"/>
      </w:divBdr>
    </w:div>
    <w:div w:id="1181748221">
      <w:bodyDiv w:val="1"/>
      <w:marLeft w:val="0"/>
      <w:marRight w:val="0"/>
      <w:marTop w:val="0"/>
      <w:marBottom w:val="0"/>
      <w:divBdr>
        <w:top w:val="none" w:sz="0" w:space="0" w:color="auto"/>
        <w:left w:val="none" w:sz="0" w:space="0" w:color="auto"/>
        <w:bottom w:val="none" w:sz="0" w:space="0" w:color="auto"/>
        <w:right w:val="none" w:sz="0" w:space="0" w:color="auto"/>
      </w:divBdr>
    </w:div>
    <w:div w:id="1187253929">
      <w:bodyDiv w:val="1"/>
      <w:marLeft w:val="0"/>
      <w:marRight w:val="0"/>
      <w:marTop w:val="0"/>
      <w:marBottom w:val="0"/>
      <w:divBdr>
        <w:top w:val="none" w:sz="0" w:space="0" w:color="auto"/>
        <w:left w:val="none" w:sz="0" w:space="0" w:color="auto"/>
        <w:bottom w:val="none" w:sz="0" w:space="0" w:color="auto"/>
        <w:right w:val="none" w:sz="0" w:space="0" w:color="auto"/>
      </w:divBdr>
    </w:div>
    <w:div w:id="1199704261">
      <w:bodyDiv w:val="1"/>
      <w:marLeft w:val="0"/>
      <w:marRight w:val="0"/>
      <w:marTop w:val="0"/>
      <w:marBottom w:val="0"/>
      <w:divBdr>
        <w:top w:val="none" w:sz="0" w:space="0" w:color="auto"/>
        <w:left w:val="none" w:sz="0" w:space="0" w:color="auto"/>
        <w:bottom w:val="none" w:sz="0" w:space="0" w:color="auto"/>
        <w:right w:val="none" w:sz="0" w:space="0" w:color="auto"/>
      </w:divBdr>
    </w:div>
    <w:div w:id="1261526040">
      <w:bodyDiv w:val="1"/>
      <w:marLeft w:val="0"/>
      <w:marRight w:val="0"/>
      <w:marTop w:val="0"/>
      <w:marBottom w:val="0"/>
      <w:divBdr>
        <w:top w:val="none" w:sz="0" w:space="0" w:color="auto"/>
        <w:left w:val="none" w:sz="0" w:space="0" w:color="auto"/>
        <w:bottom w:val="none" w:sz="0" w:space="0" w:color="auto"/>
        <w:right w:val="none" w:sz="0" w:space="0" w:color="auto"/>
      </w:divBdr>
    </w:div>
    <w:div w:id="1265529332">
      <w:bodyDiv w:val="1"/>
      <w:marLeft w:val="0"/>
      <w:marRight w:val="0"/>
      <w:marTop w:val="0"/>
      <w:marBottom w:val="0"/>
      <w:divBdr>
        <w:top w:val="none" w:sz="0" w:space="0" w:color="auto"/>
        <w:left w:val="none" w:sz="0" w:space="0" w:color="auto"/>
        <w:bottom w:val="none" w:sz="0" w:space="0" w:color="auto"/>
        <w:right w:val="none" w:sz="0" w:space="0" w:color="auto"/>
      </w:divBdr>
    </w:div>
    <w:div w:id="1301689272">
      <w:bodyDiv w:val="1"/>
      <w:marLeft w:val="0"/>
      <w:marRight w:val="0"/>
      <w:marTop w:val="0"/>
      <w:marBottom w:val="0"/>
      <w:divBdr>
        <w:top w:val="none" w:sz="0" w:space="0" w:color="auto"/>
        <w:left w:val="none" w:sz="0" w:space="0" w:color="auto"/>
        <w:bottom w:val="none" w:sz="0" w:space="0" w:color="auto"/>
        <w:right w:val="none" w:sz="0" w:space="0" w:color="auto"/>
      </w:divBdr>
    </w:div>
    <w:div w:id="1305232901">
      <w:bodyDiv w:val="1"/>
      <w:marLeft w:val="0"/>
      <w:marRight w:val="0"/>
      <w:marTop w:val="0"/>
      <w:marBottom w:val="0"/>
      <w:divBdr>
        <w:top w:val="none" w:sz="0" w:space="0" w:color="auto"/>
        <w:left w:val="none" w:sz="0" w:space="0" w:color="auto"/>
        <w:bottom w:val="none" w:sz="0" w:space="0" w:color="auto"/>
        <w:right w:val="none" w:sz="0" w:space="0" w:color="auto"/>
      </w:divBdr>
    </w:div>
    <w:div w:id="1319185053">
      <w:bodyDiv w:val="1"/>
      <w:marLeft w:val="0"/>
      <w:marRight w:val="0"/>
      <w:marTop w:val="0"/>
      <w:marBottom w:val="0"/>
      <w:divBdr>
        <w:top w:val="none" w:sz="0" w:space="0" w:color="auto"/>
        <w:left w:val="none" w:sz="0" w:space="0" w:color="auto"/>
        <w:bottom w:val="none" w:sz="0" w:space="0" w:color="auto"/>
        <w:right w:val="none" w:sz="0" w:space="0" w:color="auto"/>
      </w:divBdr>
    </w:div>
    <w:div w:id="1333333931">
      <w:bodyDiv w:val="1"/>
      <w:marLeft w:val="0"/>
      <w:marRight w:val="0"/>
      <w:marTop w:val="0"/>
      <w:marBottom w:val="0"/>
      <w:divBdr>
        <w:top w:val="none" w:sz="0" w:space="0" w:color="auto"/>
        <w:left w:val="none" w:sz="0" w:space="0" w:color="auto"/>
        <w:bottom w:val="none" w:sz="0" w:space="0" w:color="auto"/>
        <w:right w:val="none" w:sz="0" w:space="0" w:color="auto"/>
      </w:divBdr>
    </w:div>
    <w:div w:id="1395851291">
      <w:bodyDiv w:val="1"/>
      <w:marLeft w:val="0"/>
      <w:marRight w:val="0"/>
      <w:marTop w:val="0"/>
      <w:marBottom w:val="0"/>
      <w:divBdr>
        <w:top w:val="none" w:sz="0" w:space="0" w:color="auto"/>
        <w:left w:val="none" w:sz="0" w:space="0" w:color="auto"/>
        <w:bottom w:val="none" w:sz="0" w:space="0" w:color="auto"/>
        <w:right w:val="none" w:sz="0" w:space="0" w:color="auto"/>
      </w:divBdr>
    </w:div>
    <w:div w:id="1438713336">
      <w:bodyDiv w:val="1"/>
      <w:marLeft w:val="0"/>
      <w:marRight w:val="0"/>
      <w:marTop w:val="0"/>
      <w:marBottom w:val="0"/>
      <w:divBdr>
        <w:top w:val="none" w:sz="0" w:space="0" w:color="auto"/>
        <w:left w:val="none" w:sz="0" w:space="0" w:color="auto"/>
        <w:bottom w:val="none" w:sz="0" w:space="0" w:color="auto"/>
        <w:right w:val="none" w:sz="0" w:space="0" w:color="auto"/>
      </w:divBdr>
    </w:div>
    <w:div w:id="1516574082">
      <w:bodyDiv w:val="1"/>
      <w:marLeft w:val="0"/>
      <w:marRight w:val="0"/>
      <w:marTop w:val="0"/>
      <w:marBottom w:val="0"/>
      <w:divBdr>
        <w:top w:val="none" w:sz="0" w:space="0" w:color="auto"/>
        <w:left w:val="none" w:sz="0" w:space="0" w:color="auto"/>
        <w:bottom w:val="none" w:sz="0" w:space="0" w:color="auto"/>
        <w:right w:val="none" w:sz="0" w:space="0" w:color="auto"/>
      </w:divBdr>
    </w:div>
    <w:div w:id="1523744762">
      <w:bodyDiv w:val="1"/>
      <w:marLeft w:val="0"/>
      <w:marRight w:val="0"/>
      <w:marTop w:val="0"/>
      <w:marBottom w:val="0"/>
      <w:divBdr>
        <w:top w:val="none" w:sz="0" w:space="0" w:color="auto"/>
        <w:left w:val="none" w:sz="0" w:space="0" w:color="auto"/>
        <w:bottom w:val="none" w:sz="0" w:space="0" w:color="auto"/>
        <w:right w:val="none" w:sz="0" w:space="0" w:color="auto"/>
      </w:divBdr>
    </w:div>
    <w:div w:id="1538350396">
      <w:bodyDiv w:val="1"/>
      <w:marLeft w:val="0"/>
      <w:marRight w:val="0"/>
      <w:marTop w:val="0"/>
      <w:marBottom w:val="0"/>
      <w:divBdr>
        <w:top w:val="none" w:sz="0" w:space="0" w:color="auto"/>
        <w:left w:val="none" w:sz="0" w:space="0" w:color="auto"/>
        <w:bottom w:val="none" w:sz="0" w:space="0" w:color="auto"/>
        <w:right w:val="none" w:sz="0" w:space="0" w:color="auto"/>
      </w:divBdr>
    </w:div>
    <w:div w:id="1616407330">
      <w:bodyDiv w:val="1"/>
      <w:marLeft w:val="0"/>
      <w:marRight w:val="0"/>
      <w:marTop w:val="0"/>
      <w:marBottom w:val="0"/>
      <w:divBdr>
        <w:top w:val="none" w:sz="0" w:space="0" w:color="auto"/>
        <w:left w:val="none" w:sz="0" w:space="0" w:color="auto"/>
        <w:bottom w:val="none" w:sz="0" w:space="0" w:color="auto"/>
        <w:right w:val="none" w:sz="0" w:space="0" w:color="auto"/>
      </w:divBdr>
    </w:div>
    <w:div w:id="1626037606">
      <w:bodyDiv w:val="1"/>
      <w:marLeft w:val="0"/>
      <w:marRight w:val="0"/>
      <w:marTop w:val="0"/>
      <w:marBottom w:val="0"/>
      <w:divBdr>
        <w:top w:val="none" w:sz="0" w:space="0" w:color="auto"/>
        <w:left w:val="none" w:sz="0" w:space="0" w:color="auto"/>
        <w:bottom w:val="none" w:sz="0" w:space="0" w:color="auto"/>
        <w:right w:val="none" w:sz="0" w:space="0" w:color="auto"/>
      </w:divBdr>
    </w:div>
    <w:div w:id="1630890396">
      <w:bodyDiv w:val="1"/>
      <w:marLeft w:val="0"/>
      <w:marRight w:val="0"/>
      <w:marTop w:val="0"/>
      <w:marBottom w:val="0"/>
      <w:divBdr>
        <w:top w:val="none" w:sz="0" w:space="0" w:color="auto"/>
        <w:left w:val="none" w:sz="0" w:space="0" w:color="auto"/>
        <w:bottom w:val="none" w:sz="0" w:space="0" w:color="auto"/>
        <w:right w:val="none" w:sz="0" w:space="0" w:color="auto"/>
      </w:divBdr>
    </w:div>
    <w:div w:id="1649629173">
      <w:bodyDiv w:val="1"/>
      <w:marLeft w:val="0"/>
      <w:marRight w:val="0"/>
      <w:marTop w:val="0"/>
      <w:marBottom w:val="0"/>
      <w:divBdr>
        <w:top w:val="none" w:sz="0" w:space="0" w:color="auto"/>
        <w:left w:val="none" w:sz="0" w:space="0" w:color="auto"/>
        <w:bottom w:val="none" w:sz="0" w:space="0" w:color="auto"/>
        <w:right w:val="none" w:sz="0" w:space="0" w:color="auto"/>
      </w:divBdr>
    </w:div>
    <w:div w:id="1679117081">
      <w:bodyDiv w:val="1"/>
      <w:marLeft w:val="0"/>
      <w:marRight w:val="0"/>
      <w:marTop w:val="0"/>
      <w:marBottom w:val="0"/>
      <w:divBdr>
        <w:top w:val="none" w:sz="0" w:space="0" w:color="auto"/>
        <w:left w:val="none" w:sz="0" w:space="0" w:color="auto"/>
        <w:bottom w:val="none" w:sz="0" w:space="0" w:color="auto"/>
        <w:right w:val="none" w:sz="0" w:space="0" w:color="auto"/>
      </w:divBdr>
    </w:div>
    <w:div w:id="1688142451">
      <w:bodyDiv w:val="1"/>
      <w:marLeft w:val="0"/>
      <w:marRight w:val="0"/>
      <w:marTop w:val="0"/>
      <w:marBottom w:val="0"/>
      <w:divBdr>
        <w:top w:val="none" w:sz="0" w:space="0" w:color="auto"/>
        <w:left w:val="none" w:sz="0" w:space="0" w:color="auto"/>
        <w:bottom w:val="none" w:sz="0" w:space="0" w:color="auto"/>
        <w:right w:val="none" w:sz="0" w:space="0" w:color="auto"/>
      </w:divBdr>
    </w:div>
    <w:div w:id="1696073366">
      <w:bodyDiv w:val="1"/>
      <w:marLeft w:val="0"/>
      <w:marRight w:val="0"/>
      <w:marTop w:val="0"/>
      <w:marBottom w:val="0"/>
      <w:divBdr>
        <w:top w:val="none" w:sz="0" w:space="0" w:color="auto"/>
        <w:left w:val="none" w:sz="0" w:space="0" w:color="auto"/>
        <w:bottom w:val="none" w:sz="0" w:space="0" w:color="auto"/>
        <w:right w:val="none" w:sz="0" w:space="0" w:color="auto"/>
      </w:divBdr>
    </w:div>
    <w:div w:id="1700857937">
      <w:bodyDiv w:val="1"/>
      <w:marLeft w:val="0"/>
      <w:marRight w:val="0"/>
      <w:marTop w:val="0"/>
      <w:marBottom w:val="0"/>
      <w:divBdr>
        <w:top w:val="none" w:sz="0" w:space="0" w:color="auto"/>
        <w:left w:val="none" w:sz="0" w:space="0" w:color="auto"/>
        <w:bottom w:val="none" w:sz="0" w:space="0" w:color="auto"/>
        <w:right w:val="none" w:sz="0" w:space="0" w:color="auto"/>
      </w:divBdr>
    </w:div>
    <w:div w:id="1730765864">
      <w:bodyDiv w:val="1"/>
      <w:marLeft w:val="0"/>
      <w:marRight w:val="0"/>
      <w:marTop w:val="0"/>
      <w:marBottom w:val="0"/>
      <w:divBdr>
        <w:top w:val="none" w:sz="0" w:space="0" w:color="auto"/>
        <w:left w:val="none" w:sz="0" w:space="0" w:color="auto"/>
        <w:bottom w:val="none" w:sz="0" w:space="0" w:color="auto"/>
        <w:right w:val="none" w:sz="0" w:space="0" w:color="auto"/>
      </w:divBdr>
    </w:div>
    <w:div w:id="1736313890">
      <w:bodyDiv w:val="1"/>
      <w:marLeft w:val="0"/>
      <w:marRight w:val="0"/>
      <w:marTop w:val="0"/>
      <w:marBottom w:val="0"/>
      <w:divBdr>
        <w:top w:val="none" w:sz="0" w:space="0" w:color="auto"/>
        <w:left w:val="none" w:sz="0" w:space="0" w:color="auto"/>
        <w:bottom w:val="none" w:sz="0" w:space="0" w:color="auto"/>
        <w:right w:val="none" w:sz="0" w:space="0" w:color="auto"/>
      </w:divBdr>
    </w:div>
    <w:div w:id="1768191093">
      <w:bodyDiv w:val="1"/>
      <w:marLeft w:val="0"/>
      <w:marRight w:val="0"/>
      <w:marTop w:val="0"/>
      <w:marBottom w:val="0"/>
      <w:divBdr>
        <w:top w:val="none" w:sz="0" w:space="0" w:color="auto"/>
        <w:left w:val="none" w:sz="0" w:space="0" w:color="auto"/>
        <w:bottom w:val="none" w:sz="0" w:space="0" w:color="auto"/>
        <w:right w:val="none" w:sz="0" w:space="0" w:color="auto"/>
      </w:divBdr>
    </w:div>
    <w:div w:id="1796023766">
      <w:bodyDiv w:val="1"/>
      <w:marLeft w:val="0"/>
      <w:marRight w:val="0"/>
      <w:marTop w:val="0"/>
      <w:marBottom w:val="0"/>
      <w:divBdr>
        <w:top w:val="none" w:sz="0" w:space="0" w:color="auto"/>
        <w:left w:val="none" w:sz="0" w:space="0" w:color="auto"/>
        <w:bottom w:val="none" w:sz="0" w:space="0" w:color="auto"/>
        <w:right w:val="none" w:sz="0" w:space="0" w:color="auto"/>
      </w:divBdr>
    </w:div>
    <w:div w:id="1877934724">
      <w:bodyDiv w:val="1"/>
      <w:marLeft w:val="0"/>
      <w:marRight w:val="0"/>
      <w:marTop w:val="0"/>
      <w:marBottom w:val="0"/>
      <w:divBdr>
        <w:top w:val="none" w:sz="0" w:space="0" w:color="auto"/>
        <w:left w:val="none" w:sz="0" w:space="0" w:color="auto"/>
        <w:bottom w:val="none" w:sz="0" w:space="0" w:color="auto"/>
        <w:right w:val="none" w:sz="0" w:space="0" w:color="auto"/>
      </w:divBdr>
    </w:div>
    <w:div w:id="1929539724">
      <w:bodyDiv w:val="1"/>
      <w:marLeft w:val="0"/>
      <w:marRight w:val="0"/>
      <w:marTop w:val="0"/>
      <w:marBottom w:val="0"/>
      <w:divBdr>
        <w:top w:val="none" w:sz="0" w:space="0" w:color="auto"/>
        <w:left w:val="none" w:sz="0" w:space="0" w:color="auto"/>
        <w:bottom w:val="none" w:sz="0" w:space="0" w:color="auto"/>
        <w:right w:val="none" w:sz="0" w:space="0" w:color="auto"/>
      </w:divBdr>
    </w:div>
    <w:div w:id="1949316059">
      <w:bodyDiv w:val="1"/>
      <w:marLeft w:val="0"/>
      <w:marRight w:val="0"/>
      <w:marTop w:val="0"/>
      <w:marBottom w:val="0"/>
      <w:divBdr>
        <w:top w:val="none" w:sz="0" w:space="0" w:color="auto"/>
        <w:left w:val="none" w:sz="0" w:space="0" w:color="auto"/>
        <w:bottom w:val="none" w:sz="0" w:space="0" w:color="auto"/>
        <w:right w:val="none" w:sz="0" w:space="0" w:color="auto"/>
      </w:divBdr>
    </w:div>
    <w:div w:id="1953777384">
      <w:bodyDiv w:val="1"/>
      <w:marLeft w:val="0"/>
      <w:marRight w:val="0"/>
      <w:marTop w:val="0"/>
      <w:marBottom w:val="0"/>
      <w:divBdr>
        <w:top w:val="none" w:sz="0" w:space="0" w:color="auto"/>
        <w:left w:val="none" w:sz="0" w:space="0" w:color="auto"/>
        <w:bottom w:val="none" w:sz="0" w:space="0" w:color="auto"/>
        <w:right w:val="none" w:sz="0" w:space="0" w:color="auto"/>
      </w:divBdr>
    </w:div>
    <w:div w:id="2014606686">
      <w:bodyDiv w:val="1"/>
      <w:marLeft w:val="0"/>
      <w:marRight w:val="0"/>
      <w:marTop w:val="0"/>
      <w:marBottom w:val="0"/>
      <w:divBdr>
        <w:top w:val="none" w:sz="0" w:space="0" w:color="auto"/>
        <w:left w:val="none" w:sz="0" w:space="0" w:color="auto"/>
        <w:bottom w:val="none" w:sz="0" w:space="0" w:color="auto"/>
        <w:right w:val="none" w:sz="0" w:space="0" w:color="auto"/>
      </w:divBdr>
    </w:div>
    <w:div w:id="2059473932">
      <w:bodyDiv w:val="1"/>
      <w:marLeft w:val="0"/>
      <w:marRight w:val="0"/>
      <w:marTop w:val="0"/>
      <w:marBottom w:val="0"/>
      <w:divBdr>
        <w:top w:val="none" w:sz="0" w:space="0" w:color="auto"/>
        <w:left w:val="none" w:sz="0" w:space="0" w:color="auto"/>
        <w:bottom w:val="none" w:sz="0" w:space="0" w:color="auto"/>
        <w:right w:val="none" w:sz="0" w:space="0" w:color="auto"/>
      </w:divBdr>
    </w:div>
    <w:div w:id="2108311214">
      <w:bodyDiv w:val="1"/>
      <w:marLeft w:val="0"/>
      <w:marRight w:val="0"/>
      <w:marTop w:val="0"/>
      <w:marBottom w:val="0"/>
      <w:divBdr>
        <w:top w:val="none" w:sz="0" w:space="0" w:color="auto"/>
        <w:left w:val="none" w:sz="0" w:space="0" w:color="auto"/>
        <w:bottom w:val="none" w:sz="0" w:space="0" w:color="auto"/>
        <w:right w:val="none" w:sz="0" w:space="0" w:color="auto"/>
      </w:divBdr>
    </w:div>
    <w:div w:id="2126074629">
      <w:bodyDiv w:val="1"/>
      <w:marLeft w:val="0"/>
      <w:marRight w:val="0"/>
      <w:marTop w:val="0"/>
      <w:marBottom w:val="0"/>
      <w:divBdr>
        <w:top w:val="none" w:sz="0" w:space="0" w:color="auto"/>
        <w:left w:val="none" w:sz="0" w:space="0" w:color="auto"/>
        <w:bottom w:val="none" w:sz="0" w:space="0" w:color="auto"/>
        <w:right w:val="none" w:sz="0" w:space="0" w:color="auto"/>
      </w:divBdr>
    </w:div>
    <w:div w:id="213197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maturitas.2018.04.008" TargetMode="External"/><Relationship Id="rId13" Type="http://schemas.openxmlformats.org/officeDocument/2006/relationships/hyperlink" Target="https://doi.org/10.3233/THC-161263" TargetMode="External"/><Relationship Id="rId18" Type="http://schemas.openxmlformats.org/officeDocument/2006/relationships/hyperlink" Target="https://healthit.gov/health-it-basics/benefits-health-it/" TargetMode="External"/><Relationship Id="rId3" Type="http://schemas.openxmlformats.org/officeDocument/2006/relationships/settings" Target="settings.xml"/><Relationship Id="rId21" Type="http://schemas.openxmlformats.org/officeDocument/2006/relationships/hyperlink" Target="https://www.hhs.gov/hipaa/for-professionals/security/index.html" TargetMode="External"/><Relationship Id="rId7" Type="http://schemas.openxmlformats.org/officeDocument/2006/relationships/hyperlink" Target="https://doi.org/10.1016/S1361-3723(20)30101-9" TargetMode="External"/><Relationship Id="rId12" Type="http://schemas.openxmlformats.org/officeDocument/2006/relationships/hyperlink" Target="https://doi.org/10.1200/JOP.2011.000348" TargetMode="External"/><Relationship Id="rId17" Type="http://schemas.openxmlformats.org/officeDocument/2006/relationships/hyperlink" Target="https://nvd.nist.gov/vuln/detail/CVE-2026-2448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6028/NIST.CSWP.29" TargetMode="External"/><Relationship Id="rId20" Type="http://schemas.openxmlformats.org/officeDocument/2006/relationships/hyperlink" Target="https://www.sentinelone.com/vulnerability-database/cve-2026-24487/" TargetMode="External"/><Relationship Id="rId1" Type="http://schemas.openxmlformats.org/officeDocument/2006/relationships/numbering" Target="numbering.xml"/><Relationship Id="rId6" Type="http://schemas.openxmlformats.org/officeDocument/2006/relationships/hyperlink" Target="https://www.cms.gov/regulations-and-guidance/legislation/ehrincentiveprograms" TargetMode="External"/><Relationship Id="rId11" Type="http://schemas.openxmlformats.org/officeDocument/2006/relationships/hyperlink" Target="https://doi.org/10.7326/M13-1531" TargetMode="External"/><Relationship Id="rId24" Type="http://schemas.openxmlformats.org/officeDocument/2006/relationships/fontTable" Target="fontTable.xml"/><Relationship Id="rId5" Type="http://schemas.openxmlformats.org/officeDocument/2006/relationships/hyperlink" Target="https://care.io/blog/building-a-scalable-teleradiology-ecosystem-to-combat-burnout" TargetMode="External"/><Relationship Id="rId15" Type="http://schemas.openxmlformats.org/officeDocument/2006/relationships/hyperlink" Target="https://doi.org/10.6028/NIST.AI.100-1" TargetMode="External"/><Relationship Id="rId23" Type="http://schemas.openxmlformats.org/officeDocument/2006/relationships/hyperlink" Target="https://www.youtube.com/watch?v=CgJIxTP8ydQ" TargetMode="External"/><Relationship Id="rId10" Type="http://schemas.openxmlformats.org/officeDocument/2006/relationships/hyperlink" Target="https://www.hl7.org/fhir/" TargetMode="External"/><Relationship Id="rId19" Type="http://schemas.openxmlformats.org/officeDocument/2006/relationships/hyperlink" Target="https://doi.org/10.1016/j.jbi.2019.103188" TargetMode="External"/><Relationship Id="rId4" Type="http://schemas.openxmlformats.org/officeDocument/2006/relationships/webSettings" Target="webSettings.xml"/><Relationship Id="rId9" Type="http://schemas.openxmlformats.org/officeDocument/2006/relationships/hyperlink" Target="https://doi.org/10.2214/AJR.19.21958" TargetMode="External"/><Relationship Id="rId14" Type="http://schemas.openxmlformats.org/officeDocument/2006/relationships/hyperlink" Target="https://www.dicomstandard.org/about/" TargetMode="External"/><Relationship Id="rId22" Type="http://schemas.openxmlformats.org/officeDocument/2006/relationships/hyperlink" Target="https://doi.org/10.1177/11786329231187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9283</TotalTime>
  <Pages>13</Pages>
  <Words>2725</Words>
  <Characters>15534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246</cp:revision>
  <dcterms:created xsi:type="dcterms:W3CDTF">2026-07-06T23:28:00Z</dcterms:created>
  <dcterms:modified xsi:type="dcterms:W3CDTF">2026-08-13T22:56:00Z</dcterms:modified>
</cp:coreProperties>
</file>