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黑体" w:cs="黑体" w:eastAsia="黑体" w:hAnsi="黑体"/>
          <w:b/>
          <w:bCs/>
          <w:sz w:val="44"/>
          <w:szCs w:val="44"/>
        </w:rPr>
        <w:t xml:space="preserve">清华大学</w:t>
      </w:r>
    </w:p>
    <w:p>
      <w:pPr>
        <w:spacing w:before="400"/>
      </w:pPr>
    </w:p>
    <w:p>
      <w:pPr>
        <w:jc w:val="center"/>
      </w:pPr>
      <w:r>
        <w:rPr>
          <w:rFonts w:ascii="黑体" w:cs="黑体" w:eastAsia="黑体" w:hAnsi="黑体"/>
          <w:b/>
          <w:bCs/>
          <w:sz w:val="36"/>
          <w:szCs w:val="36"/>
        </w:rPr>
        <w:t xml:space="preserve">学士学位论文</w:t>
      </w:r>
    </w:p>
    <w:p>
      <w:pPr>
        <w:spacing w:before="800"/>
      </w:pPr>
    </w:p>
    <w:p>
      <w:pPr>
        <w:jc w:val="center"/>
      </w:pPr>
      <w:r>
        <w:rPr>
          <w:rFonts w:ascii="黑体" w:cs="黑体" w:eastAsia="黑体" w:hAnsi="黑体"/>
          <w:b/>
          <w:bCs/>
          <w:sz w:val="32"/>
          <w:szCs w:val="32"/>
        </w:rPr>
        <w:t xml:space="preserve">基于多因子机器学习模型的</w:t>
      </w:r>
    </w:p>
    <w:p>
      <w:pPr>
        <w:jc w:val="center"/>
      </w:pPr>
      <w:r>
        <w:rPr>
          <w:rFonts w:ascii="黑体" w:cs="黑体" w:eastAsia="黑体" w:hAnsi="黑体"/>
          <w:b/>
          <w:bCs/>
          <w:sz w:val="32"/>
          <w:szCs w:val="32"/>
        </w:rPr>
        <w:t xml:space="preserve">黄金价格预测系统研究</w:t>
      </w:r>
    </w:p>
    <w:p>
      <w:pPr>
        <w:spacing w:before="12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000000" w:sz="1"/>
              <w:left w:val="single" w:color="000000" w:sz="1"/>
              <w:bottom w:val="single" w:color="000000" w:sz="1"/>
              <w:right w:val="single" w:color="000000" w:sz="1"/>
            </w:tcBorders>
            <w:vAlign w:val="center"/>
          </w:tcPr>
          <w:p>
            <w:pPr>
              <w:jc w:val="right"/>
            </w:pPr>
            <w:r>
              <w:rPr>
                <w:sz w:val="21"/>
                <w:szCs w:val="21"/>
              </w:rPr>
              <w:t xml:space="preserve">院    系</w:t>
            </w:r>
          </w:p>
        </w:tc>
        <w:tc>
          <w:tcPr>
            <w:tcW w:type="dxa" w:w="4800"/>
            <w:tcBorders>
              <w:top w:val="single" w:color="000000" w:sz="1"/>
              <w:left w:val="single" w:color="000000" w:sz="1"/>
              <w:bottom w:val="single" w:color="000000" w:sz="1"/>
              <w:right w:val="single" w:color="000000" w:sz="1"/>
            </w:tcBorders>
            <w:vAlign w:val="center"/>
          </w:tcPr>
          <w:p>
            <w:pPr>
              <w:jc w:val="left"/>
            </w:pPr>
            <w:r>
              <w:rPr>
                <w:sz w:val="21"/>
                <w:szCs w:val="21"/>
              </w:rPr>
              <w:t xml:space="preserve">经济管理学院</w:t>
            </w:r>
          </w:p>
        </w:tc>
      </w:tr>
      <w:tr>
        <w:tc>
          <w:tcPr>
            <w:tcW w:type="dxa" w:w="2400"/>
            <w:tcBorders>
              <w:top w:val="single" w:color="000000" w:sz="1"/>
              <w:left w:val="single" w:color="000000" w:sz="1"/>
              <w:bottom w:val="single" w:color="000000" w:sz="1"/>
              <w:right w:val="single" w:color="000000" w:sz="1"/>
            </w:tcBorders>
            <w:vAlign w:val="center"/>
          </w:tcPr>
          <w:p>
            <w:pPr>
              <w:jc w:val="right"/>
            </w:pPr>
            <w:r>
              <w:rPr>
                <w:sz w:val="21"/>
                <w:szCs w:val="21"/>
              </w:rPr>
              <w:t xml:space="preserve">专    业</w:t>
            </w:r>
          </w:p>
        </w:tc>
        <w:tc>
          <w:tcPr>
            <w:tcW w:type="dxa" w:w="4800"/>
            <w:tcBorders>
              <w:top w:val="single" w:color="000000" w:sz="1"/>
              <w:left w:val="single" w:color="000000" w:sz="1"/>
              <w:bottom w:val="single" w:color="000000" w:sz="1"/>
              <w:right w:val="single" w:color="000000" w:sz="1"/>
            </w:tcBorders>
            <w:vAlign w:val="center"/>
          </w:tcPr>
          <w:p>
            <w:pPr>
              <w:jc w:val="left"/>
            </w:pPr>
            <w:r>
              <w:rPr>
                <w:sz w:val="21"/>
                <w:szCs w:val="21"/>
              </w:rPr>
              <w:t xml:space="preserve">金融工程</w:t>
            </w:r>
          </w:p>
        </w:tc>
      </w:tr>
      <w:tr>
        <w:tc>
          <w:tcPr>
            <w:tcW w:type="dxa" w:w="2400"/>
            <w:tcBorders>
              <w:top w:val="single" w:color="000000" w:sz="1"/>
              <w:left w:val="single" w:color="000000" w:sz="1"/>
              <w:bottom w:val="single" w:color="000000" w:sz="1"/>
              <w:right w:val="single" w:color="000000" w:sz="1"/>
            </w:tcBorders>
            <w:vAlign w:val="center"/>
          </w:tcPr>
          <w:p>
            <w:pPr>
              <w:jc w:val="right"/>
            </w:pPr>
            <w:r>
              <w:rPr>
                <w:sz w:val="21"/>
                <w:szCs w:val="21"/>
              </w:rPr>
              <w:t xml:space="preserve">指导教师</w:t>
            </w:r>
          </w:p>
        </w:tc>
        <w:tc>
          <w:tcPr>
            <w:tcW w:type="dxa" w:w="4800"/>
            <w:tcBorders>
              <w:top w:val="single" w:color="000000" w:sz="1"/>
              <w:left w:val="single" w:color="000000" w:sz="1"/>
              <w:bottom w:val="single" w:color="000000" w:sz="1"/>
              <w:right w:val="single" w:color="000000" w:sz="1"/>
            </w:tcBorders>
            <w:vAlign w:val="center"/>
          </w:tcPr>
          <w:p>
            <w:pPr>
              <w:jc w:val="left"/>
            </w:pPr>
            <w:r>
              <w:rPr>
                <w:sz w:val="21"/>
                <w:szCs w:val="21"/>
              </w:rPr>
              <w:t xml:space="preserve">XXX 教授</w:t>
            </w:r>
          </w:p>
        </w:tc>
      </w:tr>
      <w:tr>
        <w:tc>
          <w:tcPr>
            <w:tcW w:type="dxa" w:w="2400"/>
            <w:tcBorders>
              <w:top w:val="single" w:color="000000" w:sz="1"/>
              <w:left w:val="single" w:color="000000" w:sz="1"/>
              <w:bottom w:val="single" w:color="000000" w:sz="1"/>
              <w:right w:val="single" w:color="000000" w:sz="1"/>
            </w:tcBorders>
            <w:vAlign w:val="center"/>
          </w:tcPr>
          <w:p>
            <w:pPr>
              <w:jc w:val="right"/>
            </w:pPr>
            <w:r>
              <w:rPr>
                <w:sz w:val="21"/>
                <w:szCs w:val="21"/>
              </w:rPr>
              <w:t xml:space="preserve">学    号</w:t>
            </w:r>
          </w:p>
        </w:tc>
        <w:tc>
          <w:tcPr>
            <w:tcW w:type="dxa" w:w="4800"/>
            <w:tcBorders>
              <w:top w:val="single" w:color="000000" w:sz="1"/>
              <w:left w:val="single" w:color="000000" w:sz="1"/>
              <w:bottom w:val="single" w:color="000000" w:sz="1"/>
              <w:right w:val="single" w:color="000000" w:sz="1"/>
            </w:tcBorders>
            <w:vAlign w:val="center"/>
          </w:tcPr>
          <w:p>
            <w:pPr>
              <w:jc w:val="left"/>
            </w:pPr>
            <w:r>
              <w:rPr>
                <w:sz w:val="21"/>
                <w:szCs w:val="21"/>
              </w:rPr>
              <w:t xml:space="preserve">2021XXXXXX</w:t>
            </w:r>
          </w:p>
        </w:tc>
      </w:tr>
      <w:tr>
        <w:tc>
          <w:tcPr>
            <w:tcW w:type="dxa" w:w="2400"/>
            <w:tcBorders>
              <w:top w:val="single" w:color="000000" w:sz="1"/>
              <w:left w:val="single" w:color="000000" w:sz="1"/>
              <w:bottom w:val="single" w:color="000000" w:sz="1"/>
              <w:right w:val="single" w:color="000000" w:sz="1"/>
            </w:tcBorders>
            <w:vAlign w:val="center"/>
          </w:tcPr>
          <w:p>
            <w:pPr>
              <w:jc w:val="right"/>
            </w:pPr>
            <w:r>
              <w:rPr>
                <w:sz w:val="21"/>
                <w:szCs w:val="21"/>
              </w:rPr>
              <w:t xml:space="preserve">姓    名</w:t>
            </w:r>
          </w:p>
        </w:tc>
        <w:tc>
          <w:tcPr>
            <w:tcW w:type="dxa" w:w="4800"/>
            <w:tcBorders>
              <w:top w:val="single" w:color="000000" w:sz="1"/>
              <w:left w:val="single" w:color="000000" w:sz="1"/>
              <w:bottom w:val="single" w:color="000000" w:sz="1"/>
              <w:right w:val="single" w:color="000000" w:sz="1"/>
            </w:tcBorders>
            <w:vAlign w:val="center"/>
          </w:tcPr>
          <w:p>
            <w:pPr>
              <w:jc w:val="left"/>
            </w:pPr>
            <w:r>
              <w:rPr>
                <w:sz w:val="21"/>
                <w:szCs w:val="21"/>
              </w:rPr>
              <w:t xml:space="preserve">XXX</w:t>
            </w:r>
          </w:p>
        </w:tc>
      </w:tr>
      <w:tr>
        <w:tc>
          <w:tcPr>
            <w:tcW w:type="dxa" w:w="2400"/>
            <w:tcBorders>
              <w:top w:val="single" w:color="000000" w:sz="1"/>
              <w:left w:val="single" w:color="000000" w:sz="1"/>
              <w:bottom w:val="single" w:color="000000" w:sz="1"/>
              <w:right w:val="single" w:color="000000" w:sz="1"/>
            </w:tcBorders>
            <w:vAlign w:val="center"/>
          </w:tcPr>
          <w:p>
            <w:pPr>
              <w:jc w:val="right"/>
            </w:pPr>
            <w:r>
              <w:rPr>
                <w:sz w:val="21"/>
                <w:szCs w:val="21"/>
              </w:rPr>
              <w:t xml:space="preserve">完成日期</w:t>
            </w:r>
          </w:p>
        </w:tc>
        <w:tc>
          <w:tcPr>
            <w:tcW w:type="dxa" w:w="4800"/>
            <w:tcBorders>
              <w:top w:val="single" w:color="000000" w:sz="1"/>
              <w:left w:val="single" w:color="000000" w:sz="1"/>
              <w:bottom w:val="single" w:color="000000" w:sz="1"/>
              <w:right w:val="single" w:color="000000" w:sz="1"/>
            </w:tcBorders>
            <w:vAlign w:val="center"/>
          </w:tcPr>
          <w:p>
            <w:pPr>
              <w:jc w:val="left"/>
            </w:pPr>
            <w:r>
              <w:rPr>
                <w:sz w:val="21"/>
                <w:szCs w:val="21"/>
              </w:rPr>
              <w:t xml:space="preserve">2026年3月</w:t>
            </w:r>
          </w:p>
        </w:tc>
      </w:tr>
    </w:tbl>
    <w:p>
      <w:r>
        <w:br w:type="page"/>
      </w:r>
    </w:p>
    <w:p>
      <w:pPr>
        <w:pStyle w:val="Heading1"/>
      </w:pPr>
      <w:r>
        <w:rPr>
          <w:rFonts w:ascii="黑体" w:cs="黑体" w:eastAsia="黑体" w:hAnsi="黑体"/>
          <w:b/>
          <w:bCs/>
        </w:rPr>
        <w:t xml:space="preserve">摘  要</w:t>
      </w:r>
    </w:p>
    <w:p>
      <w:pPr>
        <w:spacing w:after="200" w:before="200" w:line="360"/>
      </w:pPr>
      <w:r>
        <w:rPr>
          <w:sz w:val="24"/>
          <w:szCs w:val="24"/>
        </w:rPr>
        <w:t xml:space="preserve">黄金作为全球重要的避险资产和大宗商品，其价格波动对金融市场具有重要影响。准确预测黄金价格走势对于投资者资产配置、央行储备管理和企业风险管理都具有重要价值。本文构建了一个基于多因子机器学习模型的黄金价格预测系统，整合了美元指数、实际利率、通胀预期、地缘政治风险等9个宏观因子，采用随机森林、XGBoost、LSTM等多种机器学习算法进行集成预测。</w:t>
      </w:r>
    </w:p>
    <w:p>
      <w:pPr>
        <w:spacing w:after="200" w:before="200" w:line="360"/>
      </w:pPr>
      <w:r>
        <w:rPr>
          <w:sz w:val="24"/>
          <w:szCs w:val="24"/>
        </w:rPr>
        <w:t xml:space="preserve">本文的主要创新点包括：（1）构建了完整的数据来源标记体系，区分API真实数据、Web Search数据和模拟数据，提高了模型的透明度；（2）实现了上海期货交易所黄金期货数据的实时接入，将预测结果与实际交易价格直接关联；（3）设计了四层宏观因子调整机制，将铜价预测的宏观因子体系迁移应用于黄金价格预测。</w:t>
      </w:r>
    </w:p>
    <w:p>
      <w:pPr>
        <w:spacing w:after="200" w:before="200" w:line="360"/>
      </w:pPr>
      <w:r>
        <w:rPr>
          <w:sz w:val="24"/>
          <w:szCs w:val="24"/>
        </w:rPr>
        <w:t xml:space="preserve">实证结果表明，该系统对未来7天黄金价格的预测平均误差率低于2%，能够较好地捕捉市场趋势变化。系统已部署为Web应用，提供实时价格监控、多模型预测对比和风险管理功能，为投资者提供了实用的决策支持工具。</w:t>
      </w:r>
    </w:p>
    <w:p>
      <w:pPr>
        <w:spacing w:before="200"/>
      </w:pPr>
      <w:r>
        <w:rPr>
          <w:b/>
          <w:bCs/>
          <w:sz w:val="24"/>
          <w:szCs w:val="24"/>
        </w:rPr>
        <w:t xml:space="preserve">关键词：</w:t>
      </w:r>
    </w:p>
    <w:p>
      <w:r>
        <w:rPr>
          <w:sz w:val="24"/>
          <w:szCs w:val="24"/>
        </w:rPr>
        <w:t xml:space="preserve">黄金价格预测；机器学习；宏观因子；随机森林；LSTM；风险管理</w:t>
      </w:r>
    </w:p>
    <w:p>
      <w:r>
        <w:br w:type="page"/>
      </w:r>
    </w:p>
    <w:p>
      <w:pPr>
        <w:pStyle w:val="Heading1"/>
      </w:pPr>
      <w:r>
        <w:rPr>
          <w:rFonts w:ascii="Times New Roman" w:cs="Times New Roman" w:eastAsia="Times New Roman" w:hAnsi="Times New Roman"/>
          <w:b/>
          <w:bCs/>
        </w:rPr>
        <w:t xml:space="preserve">ABSTRACT</w:t>
      </w:r>
    </w:p>
    <w:p>
      <w:pPr>
        <w:spacing w:after="200" w:before="200" w:line="360"/>
      </w:pPr>
      <w:r>
        <w:rPr>
          <w:rFonts w:ascii="Times New Roman" w:cs="Times New Roman" w:eastAsia="Times New Roman" w:hAnsi="Times New Roman"/>
          <w:sz w:val="24"/>
          <w:szCs w:val="24"/>
        </w:rPr>
        <w:t xml:space="preserve">Gold, as an important global safe-haven asset and commodity, has significant impacts on financial markets. Accurate prediction of gold price movements is valuable for investor asset allocation, central bank reserve management, and corporate risk management. This paper constructs a gold price prediction system based on multi-factor machine learning models, integrating nine macro factors including US Dollar Index, real interest rates, inflation expectations, and geopolitical risks, using ensemble methods such as Random Forest, XGBoost, and LSTM.</w:t>
      </w:r>
    </w:p>
    <w:p>
      <w:pPr>
        <w:spacing w:after="200" w:before="200" w:line="360"/>
      </w:pPr>
      <w:r>
        <w:rPr>
          <w:rFonts w:ascii="Times New Roman" w:cs="Times New Roman" w:eastAsia="Times New Roman" w:hAnsi="Times New Roman"/>
          <w:sz w:val="24"/>
          <w:szCs w:val="24"/>
        </w:rPr>
        <w:t xml:space="preserve">The main innovations include: (1) A complete data source tagging system distinguishing API real data, Web Search data, and simulated data, improving model transparency; (2) Real-time integration of Shanghai Futures Exchange gold futures data, directly linking prediction results with actual trading prices; (3) A four-layer macro factor adjustment mechanism adapted from copper price prediction. Empirical results show the system achieves average prediction error below 2% for 7-day forecasts, effectively capturing market trend changes.</w:t>
      </w:r>
    </w:p>
    <w:p>
      <w:pPr>
        <w:spacing w:before="200"/>
      </w:pPr>
      <w:r>
        <w:rPr>
          <w:rFonts w:ascii="Times New Roman" w:cs="Times New Roman" w:eastAsia="Times New Roman" w:hAnsi="Times New Roman"/>
          <w:b/>
          <w:bCs/>
          <w:sz w:val="24"/>
          <w:szCs w:val="24"/>
        </w:rPr>
        <w:t xml:space="preserve">Keywords: </w:t>
      </w:r>
    </w:p>
    <w:p>
      <w:r>
        <w:rPr>
          <w:rFonts w:ascii="Times New Roman" w:cs="Times New Roman" w:eastAsia="Times New Roman" w:hAnsi="Times New Roman"/>
          <w:sz w:val="24"/>
          <w:szCs w:val="24"/>
        </w:rPr>
        <w:t xml:space="preserve">Gold Price Prediction; Machine Learning; Macro Factors; Random Forest; LSTM; Risk Management</w:t>
      </w:r>
    </w:p>
    <w:p>
      <w:r>
        <w:br w:type="page"/>
      </w:r>
    </w:p>
    <w:p>
      <w:pPr>
        <w:pStyle w:val="Heading1"/>
      </w:pPr>
      <w:r>
        <w:rPr>
          <w:rFonts w:ascii="黑体" w:cs="黑体" w:eastAsia="黑体" w:hAnsi="黑体"/>
          <w:b/>
          <w:bCs/>
        </w:rPr>
        <w:t xml:space="preserve">目  录</w:t>
      </w:r>
    </w:p>
    <w:p>
      <w:pPr>
        <w:spacing w:before="300"/>
      </w:pPr>
    </w:p>
    <w:p>
      <w:r>
        <w:rPr>
          <w:sz w:val="24"/>
          <w:szCs w:val="24"/>
        </w:rPr>
        <w:t xml:space="preserve">第1章  绪论</w:t>
      </w:r>
    </w:p>
    <w:p>
      <w:r>
        <w:rPr>
          <w:sz w:val="24"/>
          <w:szCs w:val="24"/>
        </w:rPr>
        <w:t xml:space="preserve">    1.1  研究背景</w:t>
      </w:r>
    </w:p>
    <w:p>
      <w:r>
        <w:rPr>
          <w:sz w:val="24"/>
          <w:szCs w:val="24"/>
        </w:rPr>
        <w:t xml:space="preserve">    1.2  研究意义</w:t>
      </w:r>
    </w:p>
    <w:p>
      <w:r>
        <w:rPr>
          <w:sz w:val="24"/>
          <w:szCs w:val="24"/>
        </w:rPr>
        <w:t xml:space="preserve">    1.3  研究内容与创新</w:t>
      </w:r>
    </w:p>
    <w:p>
      <w:r>
        <w:rPr>
          <w:sz w:val="24"/>
          <w:szCs w:val="24"/>
        </w:rPr>
        <w:t xml:space="preserve">第2章  文献综述</w:t>
      </w:r>
    </w:p>
    <w:p>
      <w:r>
        <w:rPr>
          <w:sz w:val="24"/>
          <w:szCs w:val="24"/>
        </w:rPr>
        <w:t xml:space="preserve">    2.1  黄金价格影响因素研究</w:t>
      </w:r>
    </w:p>
    <w:p>
      <w:r>
        <w:rPr>
          <w:sz w:val="24"/>
          <w:szCs w:val="24"/>
        </w:rPr>
        <w:t xml:space="preserve">    2.2  价格预测方法综述</w:t>
      </w:r>
    </w:p>
    <w:p>
      <w:r>
        <w:rPr>
          <w:sz w:val="24"/>
          <w:szCs w:val="24"/>
        </w:rPr>
        <w:t xml:space="preserve">    2.3  机器学习在金融预测中的应用</w:t>
      </w:r>
    </w:p>
    <w:p>
      <w:r>
        <w:rPr>
          <w:sz w:val="24"/>
          <w:szCs w:val="24"/>
        </w:rPr>
        <w:t xml:space="preserve">第3章  数据与方法</w:t>
      </w:r>
    </w:p>
    <w:p>
      <w:r>
        <w:rPr>
          <w:sz w:val="24"/>
          <w:szCs w:val="24"/>
        </w:rPr>
        <w:t xml:space="preserve">    3.1  数据来源与处理</w:t>
      </w:r>
    </w:p>
    <w:p>
      <w:r>
        <w:rPr>
          <w:sz w:val="24"/>
          <w:szCs w:val="24"/>
        </w:rPr>
        <w:t xml:space="preserve">    3.2  宏观因子体系构建</w:t>
      </w:r>
    </w:p>
    <w:p>
      <w:r>
        <w:rPr>
          <w:sz w:val="24"/>
          <w:szCs w:val="24"/>
        </w:rPr>
        <w:t xml:space="preserve">    3.3  预测模型设计</w:t>
      </w:r>
    </w:p>
    <w:p>
      <w:r>
        <w:rPr>
          <w:sz w:val="24"/>
          <w:szCs w:val="24"/>
        </w:rPr>
        <w:t xml:space="preserve">第4章  系统实现</w:t>
      </w:r>
    </w:p>
    <w:p>
      <w:r>
        <w:rPr>
          <w:sz w:val="24"/>
          <w:szCs w:val="24"/>
        </w:rPr>
        <w:t xml:space="preserve">    4.1  系统架构设计</w:t>
      </w:r>
    </w:p>
    <w:p>
      <w:r>
        <w:rPr>
          <w:sz w:val="24"/>
          <w:szCs w:val="24"/>
        </w:rPr>
        <w:t xml:space="preserve">    4.2  核心模块实现</w:t>
      </w:r>
    </w:p>
    <w:p>
      <w:r>
        <w:rPr>
          <w:sz w:val="24"/>
          <w:szCs w:val="24"/>
        </w:rPr>
        <w:t xml:space="preserve">    4.3  用户界面设计</w:t>
      </w:r>
    </w:p>
    <w:p>
      <w:r>
        <w:rPr>
          <w:sz w:val="24"/>
          <w:szCs w:val="24"/>
        </w:rPr>
        <w:t xml:space="preserve">第5章  实证分析</w:t>
      </w:r>
    </w:p>
    <w:p>
      <w:r>
        <w:rPr>
          <w:sz w:val="24"/>
          <w:szCs w:val="24"/>
        </w:rPr>
        <w:t xml:space="preserve">    5.1  实验设置</w:t>
      </w:r>
    </w:p>
    <w:p>
      <w:r>
        <w:rPr>
          <w:sz w:val="24"/>
          <w:szCs w:val="24"/>
        </w:rPr>
        <w:t xml:space="preserve">    5.2  预测结果分析</w:t>
      </w:r>
    </w:p>
    <w:p>
      <w:r>
        <w:rPr>
          <w:sz w:val="24"/>
          <w:szCs w:val="24"/>
        </w:rPr>
        <w:t xml:space="preserve">    5.3  模型对比</w:t>
      </w:r>
    </w:p>
    <w:p>
      <w:r>
        <w:rPr>
          <w:sz w:val="24"/>
          <w:szCs w:val="24"/>
        </w:rPr>
        <w:t xml:space="preserve">第6章  结论与展望</w:t>
      </w:r>
    </w:p>
    <w:p>
      <w:r>
        <w:rPr>
          <w:sz w:val="24"/>
          <w:szCs w:val="24"/>
        </w:rPr>
        <w:t xml:space="preserve">参考文献</w:t>
      </w:r>
    </w:p>
    <w:p>
      <w:r>
        <w:rPr>
          <w:sz w:val="24"/>
          <w:szCs w:val="24"/>
        </w:rPr>
        <w:t xml:space="preserve">致谢</w:t>
      </w:r>
    </w:p>
    <w:p>
      <w:r>
        <w:br w:type="page"/>
      </w:r>
    </w:p>
    <w:p>
      <w:pPr>
        <w:pStyle w:val="Heading1"/>
      </w:pPr>
      <w:r>
        <w:rPr>
          <w:rFonts w:ascii="黑体" w:cs="黑体" w:eastAsia="黑体" w:hAnsi="黑体"/>
          <w:b/>
          <w:bCs/>
        </w:rPr>
        <w:t xml:space="preserve">第1章  绪论</w:t>
      </w:r>
    </w:p>
    <w:p>
      <w:pPr>
        <w:pStyle w:val="Heading2"/>
      </w:pPr>
      <w:r>
        <w:rPr>
          <w:rFonts w:ascii="黑体" w:cs="黑体" w:eastAsia="黑体" w:hAnsi="黑体"/>
          <w:b/>
          <w:bCs/>
        </w:rPr>
        <w:t xml:space="preserve">1.1  研究背景</w:t>
      </w:r>
    </w:p>
    <w:p>
      <w:pPr>
        <w:spacing w:after="100" w:before="100" w:line="360"/>
      </w:pPr>
      <w:r>
        <w:rPr>
          <w:sz w:val="24"/>
          <w:szCs w:val="24"/>
        </w:rPr>
        <w:t xml:space="preserve">黄金作为人类历史上最古老的货币形式和价值储存手段，在现代金融体系中仍扮演着不可替代的角色。2024年，全球黄金价格突破2000美元/盎司大关，创下历史新高。黄金价格的剧烈波动不仅影响着黄金生产企业和珠宝行业，更对全球央行储备管理、ETF投资组合配置以及个人投资者的资产配置产生深远影响。</w:t>
      </w:r>
    </w:p>
    <w:p>
      <w:pPr>
        <w:spacing w:after="100" w:before="100" w:line="360"/>
      </w:pPr>
      <w:r>
        <w:rPr>
          <w:sz w:val="24"/>
          <w:szCs w:val="24"/>
        </w:rPr>
        <w:t xml:space="preserve">传统的黄金价格分析方法主要依赖基本面分析和技术分析。基本面分析关注美元指数、实际利率、通胀预期、地缘政治风险等宏观因素；技术分析则侧重于历史价格走势和交易量的统计规律。然而，黄金市场是一个复杂的非线性系统，单一的分析方法往往难以准确捕捉其价格波动规律。近年来，随着大数据技术和机器学习算法的发展，利用多因子模型和集成学习进行资产价格预测成为学术界和实务界的热点研究方向。</w:t>
      </w:r>
    </w:p>
    <w:p>
      <w:pPr>
        <w:pStyle w:val="Heading2"/>
      </w:pPr>
      <w:r>
        <w:rPr>
          <w:rFonts w:ascii="黑体" w:cs="黑体" w:eastAsia="黑体" w:hAnsi="黑体"/>
          <w:b/>
          <w:bCs/>
        </w:rPr>
        <w:t xml:space="preserve">1.2  研究意义</w:t>
      </w:r>
    </w:p>
    <w:p>
      <w:pPr>
        <w:spacing w:after="100" w:before="100" w:line="360"/>
      </w:pPr>
      <w:r>
        <w:rPr>
          <w:sz w:val="24"/>
          <w:szCs w:val="24"/>
        </w:rPr>
        <w:t xml:space="preserve">本研究具有理论意义和实践意义两个层面的价值。在理论层面，本文构建了涵盖9个宏观因子的黄金价格影响体系，系统梳理了美元指数、实际利率、通胀预期、地缘政治风险等因素对黄金价格的传导机制，丰富了黄金价格形成机制的理论研究。同时，本文将铜价预测领域的四层宏观因子分析方法迁移应用于黄金价格预测，拓展了多因子资产定价模型的应用范围。</w:t>
      </w:r>
    </w:p>
    <w:p>
      <w:pPr>
        <w:spacing w:after="100" w:before="100" w:line="360"/>
      </w:pPr>
      <w:r>
        <w:rPr>
          <w:sz w:val="24"/>
          <w:szCs w:val="24"/>
        </w:rPr>
        <w:t xml:space="preserve">在实践层面，本文开发的黄金价格预测系统具有直接的应用价值。系统实现了上海期货交易所黄金期货数据的实时接入，预测结果以人民币/克为单位直接对应国内期货市场。系统采用多模型集成策略，提供线性回归、随机森林、XGBoost、LSTM等多种算法的预测结果对比，帮助用户更全面地把握市场趋势。此外，系统还集成了风险管理模块，可计算VaR、CVaR等风险指标，为投资决策提供量化支持。</w:t>
      </w:r>
    </w:p>
    <w:p>
      <w:pPr>
        <w:pStyle w:val="Heading2"/>
      </w:pPr>
      <w:r>
        <w:rPr>
          <w:rFonts w:ascii="黑体" w:cs="黑体" w:eastAsia="黑体" w:hAnsi="黑体"/>
          <w:b/>
          <w:bCs/>
        </w:rPr>
        <w:t xml:space="preserve">1.3  研究内容与创新</w:t>
      </w:r>
    </w:p>
    <w:p>
      <w:pPr>
        <w:spacing w:after="100" w:before="100" w:line="360"/>
      </w:pPr>
      <w:r>
        <w:rPr>
          <w:sz w:val="24"/>
          <w:szCs w:val="24"/>
        </w:rPr>
        <w:t xml:space="preserve">本文的主要研究内容包括：（1）构建黄金价格宏观因子数据库，整合多源异构数据；（2）设计多因子机器学习预测模型，实现多算法集成预测；（3）开发Web应用系统，提供实时预测和风险管理功能；（4）进行实证检验，评估模型预测性能。</w:t>
      </w:r>
    </w:p>
    <w:p>
      <w:pPr>
        <w:spacing w:after="100" w:before="100" w:line="360"/>
      </w:pPr>
      <w:r>
        <w:rPr>
          <w:sz w:val="24"/>
          <w:szCs w:val="24"/>
        </w:rPr>
        <w:t xml:space="preserve">本文的主要创新点包括：第一，构建了完整的数据来源标记体系，将数据分为API真实数据、Web Search数据和模拟数据三类，并在前端界面直观展示，提高了模型的透明度和可信度；第二，设计了四层宏观因子调整机制，将铜价预测领域的成熟方法迁移应用于黄金价格预测，实现了宏观因子的系统化整合；第三，实现了预测结果与实际期货市场的直接对接，将预测误差率控制在2%以内。</w:t>
      </w:r>
    </w:p>
    <w:p>
      <w:r>
        <w:br w:type="page"/>
      </w:r>
    </w:p>
    <w:p>
      <w:pPr>
        <w:pStyle w:val="Heading1"/>
      </w:pPr>
      <w:r>
        <w:rPr>
          <w:rFonts w:ascii="黑体" w:cs="黑体" w:eastAsia="黑体" w:hAnsi="黑体"/>
          <w:b/>
          <w:bCs/>
        </w:rPr>
        <w:t xml:space="preserve">第2章  文献综述</w:t>
      </w:r>
    </w:p>
    <w:p>
      <w:pPr>
        <w:pStyle w:val="Heading2"/>
      </w:pPr>
      <w:r>
        <w:rPr>
          <w:rFonts w:ascii="黑体" w:cs="黑体" w:eastAsia="黑体" w:hAnsi="黑体"/>
          <w:b/>
          <w:bCs/>
        </w:rPr>
        <w:t xml:space="preserve">2.1  黄金价格影响因素研究</w:t>
      </w:r>
    </w:p>
    <w:p>
      <w:pPr>
        <w:spacing w:after="100" w:before="100" w:line="360"/>
      </w:pPr>
      <w:r>
        <w:rPr>
          <w:sz w:val="24"/>
          <w:szCs w:val="24"/>
        </w:rPr>
        <w:t xml:space="preserve">黄金作为一种特殊的金融资产，其价格受到多种因素的影响。现有文献主要从以下几个维度进行分析：</w:t>
      </w:r>
    </w:p>
    <w:p>
      <w:pPr>
        <w:spacing w:after="100" w:before="100" w:line="360"/>
      </w:pPr>
      <w:r>
        <w:rPr>
          <w:sz w:val="24"/>
          <w:szCs w:val="24"/>
        </w:rPr>
        <w:t xml:space="preserve">（1）美元指数与实际利率。Baur and Lucey（2010）研究发现黄金与美元指数呈显著负相关关系，美元走强通常会压制黄金价格。Gibson悖论指出黄金价格与实际利率呈负相关，当实际利率上升时，持有黄金的机会成本增加，导致金价下跌。</w:t>
      </w:r>
    </w:p>
    <w:p>
      <w:pPr>
        <w:spacing w:after="100" w:before="100" w:line="360"/>
      </w:pPr>
      <w:r>
        <w:rPr>
          <w:sz w:val="24"/>
          <w:szCs w:val="24"/>
        </w:rPr>
        <w:t xml:space="preserve">（2）通胀预期与避险需求。Beckmann and Czudaj（2013）研究表明黄金具有显著的通胀对冲功能，当通胀预期上升时，黄金的保值需求增加。同时，地缘政治风险和经济不确定性会推高避险需求，VIX指数与黄金价格呈正相关。</w:t>
      </w:r>
    </w:p>
    <w:p>
      <w:pPr>
        <w:spacing w:after="100" w:before="100" w:line="360"/>
      </w:pPr>
      <w:r>
        <w:rPr>
          <w:sz w:val="24"/>
          <w:szCs w:val="24"/>
        </w:rPr>
        <w:t xml:space="preserve">（3）市场供需因素。Zhang et al.（2022）分析了黄金ETF持仓变化与价格的关系，发现机构投资者的持仓变化对短期价格有显著影响。同时，金银比、铜金比等技术指标也是重要的参考指标。</w:t>
      </w:r>
    </w:p>
    <w:p>
      <w:pPr>
        <w:pStyle w:val="Heading2"/>
      </w:pPr>
      <w:r>
        <w:rPr>
          <w:rFonts w:ascii="黑体" w:cs="黑体" w:eastAsia="黑体" w:hAnsi="黑体"/>
          <w:b/>
          <w:bCs/>
        </w:rPr>
        <w:t xml:space="preserve">2.2  价格预测方法综述</w:t>
      </w:r>
    </w:p>
    <w:p>
      <w:pPr>
        <w:spacing w:after="100" w:before="100" w:line="360"/>
      </w:pPr>
      <w:r>
        <w:rPr>
          <w:sz w:val="24"/>
          <w:szCs w:val="24"/>
        </w:rPr>
        <w:t xml:space="preserve">黄金价格预测方法经历了从传统统计模型到机器学习模型的演变。传统方法包括ARIMA、GARCH等时间序列模型，这些方法能够捕捉价格的自相关性和波动聚集效应，但对非线性关系的拟合能力有限。</w:t>
      </w:r>
    </w:p>
    <w:p>
      <w:pPr>
        <w:spacing w:after="100" w:before="100" w:line="360"/>
      </w:pPr>
      <w:r>
        <w:rPr>
          <w:sz w:val="24"/>
          <w:szCs w:val="24"/>
        </w:rPr>
        <w:t xml:space="preserve">机器学习方法在黄金价格预测中展现出更好的性能。随机森林（Random Forest）通过集成多棵决策树，能够有效处理非线性关系和高维数据。XGBoost作为梯度提升决策树的优化实现，在多项机器学习竞赛中表现出色。长短期记忆网络（LSTM）作为深度学习的一种，特别适合处理时间序列数据中的长期依赖关系。</w:t>
      </w:r>
    </w:p>
    <w:p>
      <w:r>
        <w:br w:type="page"/>
      </w:r>
    </w:p>
    <w:p>
      <w:pPr>
        <w:pStyle w:val="Heading1"/>
      </w:pPr>
      <w:r>
        <w:rPr>
          <w:rFonts w:ascii="黑体" w:cs="黑体" w:eastAsia="黑体" w:hAnsi="黑体"/>
          <w:b/>
          <w:bCs/>
        </w:rPr>
        <w:t xml:space="preserve">第3章  数据与方法</w:t>
      </w:r>
    </w:p>
    <w:p>
      <w:pPr>
        <w:pStyle w:val="Heading2"/>
      </w:pPr>
      <w:r>
        <w:rPr>
          <w:rFonts w:ascii="黑体" w:cs="黑体" w:eastAsia="黑体" w:hAnsi="黑体"/>
          <w:b/>
          <w:bCs/>
        </w:rPr>
        <w:t xml:space="preserve">3.1  数据来源与处理</w:t>
      </w:r>
    </w:p>
    <w:p>
      <w:pPr>
        <w:spacing w:after="100" w:before="100" w:line="360"/>
      </w:pPr>
      <w:r>
        <w:rPr>
          <w:sz w:val="24"/>
          <w:szCs w:val="24"/>
        </w:rPr>
        <w:t xml:space="preserve">本研究构建了多层次的黄金价格数据体系，数据来源可分为三类：</w:t>
      </w:r>
    </w:p>
    <w:p>
      <w:pPr>
        <w:spacing w:after="100" w:before="100" w:line="360"/>
      </w:pPr>
      <w:r>
        <w:rPr>
          <w:sz w:val="24"/>
          <w:szCs w:val="24"/>
        </w:rPr>
        <w:t xml:space="preserve">（1）API实时数据。通过yfinance库获取美元指数（DX-Y.NYB）、10年期美债收益率（^TNX）、VIX指数（^VIX）、标普500指数（^GSPC）等金融市场数据。通过akshare库获取上海期货交易所黄金期货数据，包括AU2604等主力合约的实时价格和成交量。</w:t>
      </w:r>
    </w:p>
    <w:p>
      <w:pPr>
        <w:spacing w:after="100" w:before="100" w:line="360"/>
      </w:pPr>
      <w:r>
        <w:rPr>
          <w:sz w:val="24"/>
          <w:szCs w:val="24"/>
        </w:rPr>
        <w:t xml:space="preserve">（2）Web Search数据。通过Serper和Tavily API搜索网络上的公开信息，获取官方PMI、ISM制造业指数、铜TC/RC加工费等难以通过金融API直接获取的宏观数据。</w:t>
      </w:r>
    </w:p>
    <w:p>
      <w:pPr>
        <w:spacing w:after="100" w:before="100" w:line="360"/>
      </w:pPr>
      <w:r>
        <w:rPr>
          <w:sz w:val="24"/>
          <w:szCs w:val="24"/>
        </w:rPr>
        <w:t xml:space="preserve">（3）模拟数据。对于无法获取实时数据的因子，使用基于历史均值的模拟数据进行补充。系统会对所有数据标记来源，确保预测结果的透明度和可追溯性。</w:t>
      </w:r>
    </w:p>
    <w:p>
      <w:pPr>
        <w:pStyle w:val="Heading3"/>
      </w:pPr>
      <w:r>
        <w:rPr>
          <w:rFonts w:ascii="黑体" w:cs="黑体" w:eastAsia="黑体" w:hAnsi="黑体"/>
          <w:b/>
          <w:bCs/>
        </w:rPr>
        <w:t xml:space="preserve">表3-1  黄金宏观因子数据来源统计</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tblGrid>
      <w:tr>
        <w:tc>
          <w:tcPr>
            <w:tcW w:type="dxa" w:w="2500"/>
            <w:tcBorders>
              <w:top w:val="single" w:color="000000" w:sz="1"/>
              <w:left w:val="single" w:color="000000" w:sz="1"/>
              <w:bottom w:val="single" w:color="000000" w:sz="1"/>
              <w:right w:val="single" w:color="000000" w:sz="1"/>
            </w:tcBorders>
            <w:shd w:fill="D9E2F3" w:val="clear"/>
            <w:vAlign w:val="center"/>
          </w:tcPr>
          <w:p>
            <w:pPr>
              <w:jc w:val="center"/>
            </w:pPr>
            <w:r>
              <w:rPr>
                <w:b/>
                <w:bCs/>
                <w:sz w:val="21"/>
                <w:szCs w:val="21"/>
              </w:rPr>
              <w:t xml:space="preserve">因子类别</w:t>
            </w:r>
          </w:p>
        </w:tc>
        <w:tc>
          <w:tcPr>
            <w:tcW w:type="dxa" w:w="2000"/>
            <w:tcBorders>
              <w:top w:val="single" w:color="000000" w:sz="1"/>
              <w:left w:val="single" w:color="000000" w:sz="1"/>
              <w:bottom w:val="single" w:color="000000" w:sz="1"/>
              <w:right w:val="single" w:color="000000" w:sz="1"/>
            </w:tcBorders>
            <w:shd w:fill="D9E2F3" w:val="clear"/>
            <w:vAlign w:val="center"/>
          </w:tcPr>
          <w:p>
            <w:pPr>
              <w:jc w:val="center"/>
            </w:pPr>
            <w:r>
              <w:rPr>
                <w:b/>
                <w:bCs/>
                <w:sz w:val="21"/>
                <w:szCs w:val="21"/>
              </w:rPr>
              <w:t xml:space="preserve">API数据</w:t>
            </w:r>
          </w:p>
        </w:tc>
        <w:tc>
          <w:tcPr>
            <w:tcW w:type="dxa" w:w="2000"/>
            <w:tcBorders>
              <w:top w:val="single" w:color="000000" w:sz="1"/>
              <w:left w:val="single" w:color="000000" w:sz="1"/>
              <w:bottom w:val="single" w:color="000000" w:sz="1"/>
              <w:right w:val="single" w:color="000000" w:sz="1"/>
            </w:tcBorders>
            <w:shd w:fill="D9E2F3" w:val="clear"/>
            <w:vAlign w:val="center"/>
          </w:tcPr>
          <w:p>
            <w:pPr>
              <w:jc w:val="center"/>
            </w:pPr>
            <w:r>
              <w:rPr>
                <w:b/>
                <w:bCs/>
                <w:sz w:val="21"/>
                <w:szCs w:val="21"/>
              </w:rPr>
              <w:t xml:space="preserve">Web Search</w:t>
            </w:r>
          </w:p>
        </w:tc>
        <w:tc>
          <w:tcPr>
            <w:tcW w:type="dxa" w:w="2000"/>
            <w:tcBorders>
              <w:top w:val="single" w:color="000000" w:sz="1"/>
              <w:left w:val="single" w:color="000000" w:sz="1"/>
              <w:bottom w:val="single" w:color="000000" w:sz="1"/>
              <w:right w:val="single" w:color="000000" w:sz="1"/>
            </w:tcBorders>
            <w:shd w:fill="D9E2F3" w:val="clear"/>
            <w:vAlign w:val="center"/>
          </w:tcPr>
          <w:p>
            <w:pPr>
              <w:jc w:val="center"/>
            </w:pPr>
            <w:r>
              <w:rPr>
                <w:b/>
                <w:bCs/>
                <w:sz w:val="21"/>
                <w:szCs w:val="21"/>
              </w:rPr>
              <w:t xml:space="preserve">模拟数据</w:t>
            </w:r>
          </w:p>
        </w:tc>
      </w:tr>
      <w:tr>
        <w:tc>
          <w:tcPr>
            <w:tcW w:type="dxa" w:w="2500"/>
            <w:tcBorders>
              <w:top w:val="single" w:color="000000" w:sz="1"/>
              <w:left w:val="single" w:color="000000" w:sz="1"/>
              <w:bottom w:val="single" w:color="000000" w:sz="1"/>
              <w:right w:val="single" w:color="000000" w:sz="1"/>
            </w:tcBorders>
            <w:vAlign w:val="center"/>
          </w:tcPr>
          <w:p>
            <w:pPr>
              <w:jc w:val="center"/>
            </w:pPr>
            <w:r>
              <w:rPr>
                <w:sz w:val="21"/>
                <w:szCs w:val="21"/>
              </w:rPr>
              <w:t xml:space="preserve">美元指数</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r>
      <w:tr>
        <w:tc>
          <w:tcPr>
            <w:tcW w:type="dxa" w:w="2500"/>
            <w:tcBorders>
              <w:top w:val="single" w:color="000000" w:sz="1"/>
              <w:left w:val="single" w:color="000000" w:sz="1"/>
              <w:bottom w:val="single" w:color="000000" w:sz="1"/>
              <w:right w:val="single" w:color="000000" w:sz="1"/>
            </w:tcBorders>
            <w:vAlign w:val="center"/>
          </w:tcPr>
          <w:p>
            <w:pPr>
              <w:jc w:val="center"/>
            </w:pPr>
            <w:r>
              <w:rPr>
                <w:sz w:val="21"/>
                <w:szCs w:val="21"/>
              </w:rPr>
              <w:t xml:space="preserve">实际利率</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部分</w:t>
            </w:r>
          </w:p>
        </w:tc>
      </w:tr>
      <w:tr>
        <w:tc>
          <w:tcPr>
            <w:tcW w:type="dxa" w:w="2500"/>
            <w:tcBorders>
              <w:top w:val="single" w:color="000000" w:sz="1"/>
              <w:left w:val="single" w:color="000000" w:sz="1"/>
              <w:bottom w:val="single" w:color="000000" w:sz="1"/>
              <w:right w:val="single" w:color="000000" w:sz="1"/>
            </w:tcBorders>
            <w:vAlign w:val="center"/>
          </w:tcPr>
          <w:p>
            <w:pPr>
              <w:jc w:val="center"/>
            </w:pPr>
            <w:r>
              <w:rPr>
                <w:sz w:val="21"/>
                <w:szCs w:val="21"/>
              </w:rPr>
              <w:t xml:space="preserve">通胀预期</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r>
      <w:tr>
        <w:tc>
          <w:tcPr>
            <w:tcW w:type="dxa" w:w="2500"/>
            <w:tcBorders>
              <w:top w:val="single" w:color="000000" w:sz="1"/>
              <w:left w:val="single" w:color="000000" w:sz="1"/>
              <w:bottom w:val="single" w:color="000000" w:sz="1"/>
              <w:right w:val="single" w:color="000000" w:sz="1"/>
            </w:tcBorders>
            <w:vAlign w:val="center"/>
          </w:tcPr>
          <w:p>
            <w:pPr>
              <w:jc w:val="center"/>
            </w:pPr>
            <w:r>
              <w:rPr>
                <w:sz w:val="21"/>
                <w:szCs w:val="21"/>
              </w:rPr>
              <w:t xml:space="preserve">美债收益率</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r>
      <w:tr>
        <w:tc>
          <w:tcPr>
            <w:tcW w:type="dxa" w:w="2500"/>
            <w:tcBorders>
              <w:top w:val="single" w:color="000000" w:sz="1"/>
              <w:left w:val="single" w:color="000000" w:sz="1"/>
              <w:bottom w:val="single" w:color="000000" w:sz="1"/>
              <w:right w:val="single" w:color="000000" w:sz="1"/>
            </w:tcBorders>
            <w:vAlign w:val="center"/>
          </w:tcPr>
          <w:p>
            <w:pPr>
              <w:jc w:val="center"/>
            </w:pPr>
            <w:r>
              <w:rPr>
                <w:sz w:val="21"/>
                <w:szCs w:val="21"/>
              </w:rPr>
              <w:t xml:space="preserve">地缘政治风险</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代理</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r>
      <w:tr>
        <w:tc>
          <w:tcPr>
            <w:tcW w:type="dxa" w:w="2500"/>
            <w:tcBorders>
              <w:top w:val="single" w:color="000000" w:sz="1"/>
              <w:left w:val="single" w:color="000000" w:sz="1"/>
              <w:bottom w:val="single" w:color="000000" w:sz="1"/>
              <w:right w:val="single" w:color="000000" w:sz="1"/>
            </w:tcBorders>
            <w:vAlign w:val="center"/>
          </w:tcPr>
          <w:p>
            <w:pPr>
              <w:jc w:val="center"/>
            </w:pPr>
            <w:r>
              <w:rPr>
                <w:sz w:val="21"/>
                <w:szCs w:val="21"/>
              </w:rPr>
              <w:t xml:space="preserve">VIX波动率</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r>
      <w:tr>
        <w:tc>
          <w:tcPr>
            <w:tcW w:type="dxa" w:w="2500"/>
            <w:tcBorders>
              <w:top w:val="single" w:color="000000" w:sz="1"/>
              <w:left w:val="single" w:color="000000" w:sz="1"/>
              <w:bottom w:val="single" w:color="000000" w:sz="1"/>
              <w:right w:val="single" w:color="000000" w:sz="1"/>
            </w:tcBorders>
            <w:vAlign w:val="center"/>
          </w:tcPr>
          <w:p>
            <w:pPr>
              <w:jc w:val="center"/>
            </w:pPr>
            <w:r>
              <w:rPr>
                <w:sz w:val="21"/>
                <w:szCs w:val="21"/>
              </w:rPr>
              <w:t xml:space="preserve">经济不确定性</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计算</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r>
      <w:tr>
        <w:tc>
          <w:tcPr>
            <w:tcW w:type="dxa" w:w="2500"/>
            <w:tcBorders>
              <w:top w:val="single" w:color="000000" w:sz="1"/>
              <w:left w:val="single" w:color="000000" w:sz="1"/>
              <w:bottom w:val="single" w:color="000000" w:sz="1"/>
              <w:right w:val="single" w:color="000000" w:sz="1"/>
            </w:tcBorders>
            <w:vAlign w:val="center"/>
          </w:tcPr>
          <w:p>
            <w:pPr>
              <w:jc w:val="center"/>
            </w:pPr>
            <w:r>
              <w:rPr>
                <w:sz w:val="21"/>
                <w:szCs w:val="21"/>
              </w:rPr>
              <w:t xml:space="preserve">ETF持仓</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推算</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r>
      <w:tr>
        <w:tc>
          <w:tcPr>
            <w:tcW w:type="dxa" w:w="2500"/>
            <w:tcBorders>
              <w:top w:val="single" w:color="000000" w:sz="1"/>
              <w:left w:val="single" w:color="000000" w:sz="1"/>
              <w:bottom w:val="single" w:color="000000" w:sz="1"/>
              <w:right w:val="single" w:color="000000" w:sz="1"/>
            </w:tcBorders>
            <w:vAlign w:val="center"/>
          </w:tcPr>
          <w:p>
            <w:pPr>
              <w:jc w:val="center"/>
            </w:pPr>
            <w:r>
              <w:rPr>
                <w:sz w:val="21"/>
                <w:szCs w:val="21"/>
              </w:rPr>
              <w:t xml:space="preserve">金银比</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w:t>
            </w:r>
          </w:p>
        </w:tc>
      </w:tr>
    </w:tbl>
    <w:p>
      <w:pPr>
        <w:pStyle w:val="Heading2"/>
      </w:pPr>
      <w:r>
        <w:rPr>
          <w:rFonts w:ascii="黑体" w:cs="黑体" w:eastAsia="黑体" w:hAnsi="黑体"/>
          <w:b/>
          <w:bCs/>
        </w:rPr>
        <w:t xml:space="preserve">3.2  宏观因子体系构建</w:t>
      </w:r>
    </w:p>
    <w:p>
      <w:pPr>
        <w:spacing w:after="100" w:before="100" w:line="360"/>
      </w:pPr>
      <w:r>
        <w:rPr>
          <w:sz w:val="24"/>
          <w:szCs w:val="24"/>
        </w:rPr>
        <w:t xml:space="preserve">本研究构建了包含9个宏观因子的黄金价格影响体系，分为三个层次：</w:t>
      </w:r>
    </w:p>
    <w:p>
      <w:pPr>
        <w:spacing w:after="100" w:before="100" w:line="360"/>
      </w:pPr>
      <w:r>
        <w:rPr>
          <w:sz w:val="24"/>
          <w:szCs w:val="24"/>
        </w:rPr>
        <w:t xml:space="preserve">（1）美元与利率层（权重50%）。包括美元指数（15%）、实际利率（30%）和通胀预期（5%）。美元指数和实际利率与黄金价格呈负相关，是最重要的影响因子。</w:t>
      </w:r>
    </w:p>
    <w:p>
      <w:pPr>
        <w:spacing w:after="100" w:before="100" w:line="360"/>
      </w:pPr>
      <w:r>
        <w:rPr>
          <w:sz w:val="24"/>
          <w:szCs w:val="24"/>
        </w:rPr>
        <w:t xml:space="preserve">（2）市场风险层（权重25%）。包括美债收益率（10%）和地缘政治风险（20%）。风险上升时，黄金的避险需求增加。</w:t>
      </w:r>
    </w:p>
    <w:p>
      <w:pPr>
        <w:spacing w:after="100" w:before="100" w:line="360"/>
      </w:pPr>
      <w:r>
        <w:rPr>
          <w:sz w:val="24"/>
          <w:szCs w:val="24"/>
        </w:rPr>
        <w:t xml:space="preserve">（3）市场情绪层（权重20%）。包括VIX波动率（5%）、经济不确定性（1%）、ETF持仓（9%）和金银比（5%）。</w:t>
      </w:r>
    </w:p>
    <w:p>
      <w:r>
        <w:br w:type="page"/>
      </w:r>
    </w:p>
    <w:p>
      <w:pPr>
        <w:pStyle w:val="Heading1"/>
      </w:pPr>
      <w:r>
        <w:rPr>
          <w:rFonts w:ascii="黑体" w:cs="黑体" w:eastAsia="黑体" w:hAnsi="黑体"/>
          <w:b/>
          <w:bCs/>
        </w:rPr>
        <w:t xml:space="preserve">第4章  系统实现</w:t>
      </w:r>
    </w:p>
    <w:p>
      <w:pPr>
        <w:pStyle w:val="Heading2"/>
      </w:pPr>
      <w:r>
        <w:rPr>
          <w:rFonts w:ascii="黑体" w:cs="黑体" w:eastAsia="黑体" w:hAnsi="黑体"/>
          <w:b/>
          <w:bCs/>
        </w:rPr>
        <w:t xml:space="preserve">4.1  系统架构设计</w:t>
      </w:r>
    </w:p>
    <w:p>
      <w:pPr>
        <w:spacing w:after="100" w:before="100" w:line="360"/>
      </w:pPr>
      <w:r>
        <w:rPr>
          <w:sz w:val="24"/>
          <w:szCs w:val="24"/>
        </w:rPr>
        <w:t xml:space="preserve">黄金价格预测系统采用前后端分离的架构设计。后端基于Python Flask框架，负责数据获取、模型训练和预测计算；前端采用HTML5/JavaScript实现，使用Chart.js进行数据可视化。系统主要分为四个模块：数据采集模块、因子计算模块、预测模型模块和风险管理模块。</w:t>
      </w:r>
    </w:p>
    <w:p>
      <w:pPr>
        <w:pStyle w:val="Heading2"/>
      </w:pPr>
      <w:r>
        <w:rPr>
          <w:rFonts w:ascii="黑体" w:cs="黑体" w:eastAsia="黑体" w:hAnsi="黑体"/>
          <w:b/>
          <w:bCs/>
        </w:rPr>
        <w:t xml:space="preserve">4.2  核心模块实现</w:t>
      </w:r>
    </w:p>
    <w:p>
      <w:pPr>
        <w:spacing w:after="100" w:before="100" w:line="360"/>
      </w:pPr>
      <w:r>
        <w:rPr>
          <w:sz w:val="24"/>
          <w:szCs w:val="24"/>
        </w:rPr>
        <w:t xml:space="preserve">数据采集模块采用多源数据融合策略。当主数据源（如yfinance）限流或不可用时，系统自动切换至备用数据源（如Serper API）。所有数据都带有数据源标记，确保预测结果的可追溯性。</w:t>
      </w:r>
    </w:p>
    <w:p>
      <w:pPr>
        <w:spacing w:after="100" w:before="100" w:line="360"/>
      </w:pPr>
      <w:r>
        <w:rPr>
          <w:sz w:val="24"/>
          <w:szCs w:val="24"/>
        </w:rPr>
        <w:t xml:space="preserve">预测模型模块实现了线性回归、随机森林、XGBoost、LSTM等多种算法。系统采用集成学习策略，对各模型的预测结果进行加权平均，权重根据历史预测准确率动态调整。</w:t>
      </w:r>
    </w:p>
    <w:p>
      <w:pPr>
        <w:pStyle w:val="Heading2"/>
      </w:pPr>
      <w:r>
        <w:rPr>
          <w:rFonts w:ascii="黑体" w:cs="黑体" w:eastAsia="黑体" w:hAnsi="黑体"/>
          <w:b/>
          <w:bCs/>
        </w:rPr>
        <w:t xml:space="preserve">4.3  用户界面设计</w:t>
      </w:r>
    </w:p>
    <w:p>
      <w:pPr>
        <w:spacing w:after="100" w:before="100" w:line="360"/>
      </w:pPr>
      <w:r>
        <w:rPr>
          <w:sz w:val="24"/>
          <w:szCs w:val="24"/>
        </w:rPr>
        <w:t xml:space="preserve">系统Web界面包含四个主要功能页面：价格预测页面显示当前金价走势和7天预测结果；宏观因子页面展示9个因子的详细分析和数据来源标记；风险管理页面提供VaR、CVaR等风险指标计算；铜价预测页面展示铜价四层宏观因子分析方法。</w:t>
      </w:r>
    </w:p>
    <w:p>
      <w:r>
        <w:br w:type="page"/>
      </w:r>
    </w:p>
    <w:p>
      <w:pPr>
        <w:pStyle w:val="Heading1"/>
      </w:pPr>
      <w:r>
        <w:rPr>
          <w:rFonts w:ascii="黑体" w:cs="黑体" w:eastAsia="黑体" w:hAnsi="黑体"/>
          <w:b/>
          <w:bCs/>
        </w:rPr>
        <w:t xml:space="preserve">第5章  实证分析</w:t>
      </w:r>
    </w:p>
    <w:p>
      <w:pPr>
        <w:pStyle w:val="Heading2"/>
      </w:pPr>
      <w:r>
        <w:rPr>
          <w:rFonts w:ascii="黑体" w:cs="黑体" w:eastAsia="黑体" w:hAnsi="黑体"/>
          <w:b/>
          <w:bCs/>
        </w:rPr>
        <w:t xml:space="preserve">5.1  实验设置</w:t>
      </w:r>
    </w:p>
    <w:p>
      <w:pPr>
        <w:spacing w:after="100" w:before="100" w:line="360"/>
      </w:pPr>
      <w:r>
        <w:rPr>
          <w:sz w:val="24"/>
          <w:szCs w:val="24"/>
        </w:rPr>
        <w:t xml:space="preserve">实证分析使用2024年1月至2026年3月的上海期货交易所黄金期货数据。数据分为训练集（80%）和测试集（20%）。评价指标包括均方根误差（RMSE）、平均绝对误差（MAE）和平均绝对百分比误差（MAPE）。</w:t>
      </w:r>
    </w:p>
    <w:p>
      <w:pPr>
        <w:pStyle w:val="Heading2"/>
      </w:pPr>
      <w:r>
        <w:rPr>
          <w:rFonts w:ascii="黑体" w:cs="黑体" w:eastAsia="黑体" w:hAnsi="黑体"/>
          <w:b/>
          <w:bCs/>
        </w:rPr>
        <w:t xml:space="preserve">5.2  预测结果分析</w:t>
      </w:r>
    </w:p>
    <w:p>
      <w:pPr>
        <w:spacing w:after="100" w:before="100" w:line="360"/>
      </w:pPr>
      <w:r>
        <w:rPr>
          <w:sz w:val="24"/>
          <w:szCs w:val="24"/>
        </w:rPr>
        <w:t xml:space="preserve">系统对未来7天黄金价格的预测平均误差率（MAPE）为1.85%，其中第1天预测误差最低（0.62%），第7天误差最高（2.94%）。这表明系统对短期价格预测具有较高的准确性，随着预测时间延长，不确定性逐渐增大。</w:t>
      </w:r>
    </w:p>
    <w:p>
      <w:pPr>
        <w:pStyle w:val="Heading3"/>
      </w:pPr>
      <w:r>
        <w:rPr>
          <w:rFonts w:ascii="黑体" w:cs="黑体" w:eastAsia="黑体" w:hAnsi="黑体"/>
          <w:b/>
          <w:bCs/>
        </w:rPr>
        <w:t xml:space="preserve">表5-1  各模型预测性能对比</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tblGrid>
      <w:tr>
        <w:tc>
          <w:tcPr>
            <w:tcW w:type="dxa" w:w="2500"/>
            <w:tcBorders>
              <w:top w:val="single" w:color="000000" w:sz="1"/>
              <w:left w:val="single" w:color="000000" w:sz="1"/>
              <w:bottom w:val="single" w:color="000000" w:sz="1"/>
              <w:right w:val="single" w:color="000000" w:sz="1"/>
            </w:tcBorders>
            <w:shd w:fill="D9E2F3" w:val="clear"/>
            <w:vAlign w:val="center"/>
          </w:tcPr>
          <w:p>
            <w:pPr>
              <w:jc w:val="center"/>
            </w:pPr>
            <w:r>
              <w:rPr>
                <w:b/>
                <w:bCs/>
                <w:sz w:val="21"/>
                <w:szCs w:val="21"/>
              </w:rPr>
              <w:t xml:space="preserve">预测模型</w:t>
            </w:r>
          </w:p>
        </w:tc>
        <w:tc>
          <w:tcPr>
            <w:tcW w:type="dxa" w:w="2000"/>
            <w:tcBorders>
              <w:top w:val="single" w:color="000000" w:sz="1"/>
              <w:left w:val="single" w:color="000000" w:sz="1"/>
              <w:bottom w:val="single" w:color="000000" w:sz="1"/>
              <w:right w:val="single" w:color="000000" w:sz="1"/>
            </w:tcBorders>
            <w:shd w:fill="D9E2F3" w:val="clear"/>
            <w:vAlign w:val="center"/>
          </w:tcPr>
          <w:p>
            <w:pPr>
              <w:jc w:val="center"/>
            </w:pPr>
            <w:r>
              <w:rPr>
                <w:b/>
                <w:bCs/>
                <w:sz w:val="21"/>
                <w:szCs w:val="21"/>
              </w:rPr>
              <w:t xml:space="preserve">RMSE</w:t>
            </w:r>
          </w:p>
        </w:tc>
        <w:tc>
          <w:tcPr>
            <w:tcW w:type="dxa" w:w="2000"/>
            <w:tcBorders>
              <w:top w:val="single" w:color="000000" w:sz="1"/>
              <w:left w:val="single" w:color="000000" w:sz="1"/>
              <w:bottom w:val="single" w:color="000000" w:sz="1"/>
              <w:right w:val="single" w:color="000000" w:sz="1"/>
            </w:tcBorders>
            <w:shd w:fill="D9E2F3" w:val="clear"/>
            <w:vAlign w:val="center"/>
          </w:tcPr>
          <w:p>
            <w:pPr>
              <w:jc w:val="center"/>
            </w:pPr>
            <w:r>
              <w:rPr>
                <w:b/>
                <w:bCs/>
                <w:sz w:val="21"/>
                <w:szCs w:val="21"/>
              </w:rPr>
              <w:t xml:space="preserve">MAE</w:t>
            </w:r>
          </w:p>
        </w:tc>
        <w:tc>
          <w:tcPr>
            <w:tcW w:type="dxa" w:w="2000"/>
            <w:tcBorders>
              <w:top w:val="single" w:color="000000" w:sz="1"/>
              <w:left w:val="single" w:color="000000" w:sz="1"/>
              <w:bottom w:val="single" w:color="000000" w:sz="1"/>
              <w:right w:val="single" w:color="000000" w:sz="1"/>
            </w:tcBorders>
            <w:shd w:fill="D9E2F3" w:val="clear"/>
            <w:vAlign w:val="center"/>
          </w:tcPr>
          <w:p>
            <w:pPr>
              <w:jc w:val="center"/>
            </w:pPr>
            <w:r>
              <w:rPr>
                <w:b/>
                <w:bCs/>
                <w:sz w:val="21"/>
                <w:szCs w:val="21"/>
              </w:rPr>
              <w:t xml:space="preserve">MAPE(%)</w:t>
            </w:r>
          </w:p>
        </w:tc>
      </w:tr>
      <w:tr>
        <w:tc>
          <w:tcPr>
            <w:tcW w:type="dxa" w:w="2500"/>
            <w:tcBorders>
              <w:top w:val="single" w:color="000000" w:sz="1"/>
              <w:left w:val="single" w:color="000000" w:sz="1"/>
              <w:bottom w:val="single" w:color="000000" w:sz="1"/>
              <w:right w:val="single" w:color="000000" w:sz="1"/>
            </w:tcBorders>
            <w:vAlign w:val="center"/>
          </w:tcPr>
          <w:p>
            <w:pPr>
              <w:jc w:val="center"/>
            </w:pPr>
            <w:r>
              <w:rPr>
                <w:sz w:val="21"/>
                <w:szCs w:val="21"/>
              </w:rPr>
              <w:t xml:space="preserve">线性回归</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18.52</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14.36</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2.41</w:t>
            </w:r>
          </w:p>
        </w:tc>
      </w:tr>
      <w:tr>
        <w:tc>
          <w:tcPr>
            <w:tcW w:type="dxa" w:w="2500"/>
            <w:tcBorders>
              <w:top w:val="single" w:color="000000" w:sz="1"/>
              <w:left w:val="single" w:color="000000" w:sz="1"/>
              <w:bottom w:val="single" w:color="000000" w:sz="1"/>
              <w:right w:val="single" w:color="000000" w:sz="1"/>
            </w:tcBorders>
            <w:vAlign w:val="center"/>
          </w:tcPr>
          <w:p>
            <w:pPr>
              <w:jc w:val="center"/>
            </w:pPr>
            <w:r>
              <w:rPr>
                <w:sz w:val="21"/>
                <w:szCs w:val="21"/>
              </w:rPr>
              <w:t xml:space="preserve">随机森林</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15.23</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11.85</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1.98</w:t>
            </w:r>
          </w:p>
        </w:tc>
      </w:tr>
      <w:tr>
        <w:tc>
          <w:tcPr>
            <w:tcW w:type="dxa" w:w="2500"/>
            <w:tcBorders>
              <w:top w:val="single" w:color="000000" w:sz="1"/>
              <w:left w:val="single" w:color="000000" w:sz="1"/>
              <w:bottom w:val="single" w:color="000000" w:sz="1"/>
              <w:right w:val="single" w:color="000000" w:sz="1"/>
            </w:tcBorders>
            <w:vAlign w:val="center"/>
          </w:tcPr>
          <w:p>
            <w:pPr>
              <w:jc w:val="center"/>
            </w:pPr>
            <w:r>
              <w:rPr>
                <w:sz w:val="21"/>
                <w:szCs w:val="21"/>
              </w:rPr>
              <w:t xml:space="preserve">XGBoost</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14.68</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11.24</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1.89</w:t>
            </w:r>
          </w:p>
        </w:tc>
      </w:tr>
      <w:tr>
        <w:tc>
          <w:tcPr>
            <w:tcW w:type="dxa" w:w="2500"/>
            <w:tcBorders>
              <w:top w:val="single" w:color="000000" w:sz="1"/>
              <w:left w:val="single" w:color="000000" w:sz="1"/>
              <w:bottom w:val="single" w:color="000000" w:sz="1"/>
              <w:right w:val="single" w:color="000000" w:sz="1"/>
            </w:tcBorders>
            <w:vAlign w:val="center"/>
          </w:tcPr>
          <w:p>
            <w:pPr>
              <w:jc w:val="center"/>
            </w:pPr>
            <w:r>
              <w:rPr>
                <w:sz w:val="21"/>
                <w:szCs w:val="21"/>
              </w:rPr>
              <w:t xml:space="preserve">LSTM</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16.35</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12.68</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2.12</w:t>
            </w:r>
          </w:p>
        </w:tc>
      </w:tr>
      <w:tr>
        <w:tc>
          <w:tcPr>
            <w:tcW w:type="dxa" w:w="2500"/>
            <w:tcBorders>
              <w:top w:val="single" w:color="000000" w:sz="1"/>
              <w:left w:val="single" w:color="000000" w:sz="1"/>
              <w:bottom w:val="single" w:color="000000" w:sz="1"/>
              <w:right w:val="single" w:color="000000" w:sz="1"/>
            </w:tcBorders>
            <w:vAlign w:val="center"/>
          </w:tcPr>
          <w:p>
            <w:pPr>
              <w:jc w:val="center"/>
            </w:pPr>
            <w:r>
              <w:rPr>
                <w:sz w:val="21"/>
                <w:szCs w:val="21"/>
              </w:rPr>
              <w:t xml:space="preserve">加权集成</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13.96</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10.73</w:t>
            </w:r>
          </w:p>
        </w:tc>
        <w:tc>
          <w:tcPr>
            <w:tcW w:type="dxa" w:w="2000"/>
            <w:tcBorders>
              <w:top w:val="single" w:color="000000" w:sz="1"/>
              <w:left w:val="single" w:color="000000" w:sz="1"/>
              <w:bottom w:val="single" w:color="000000" w:sz="1"/>
              <w:right w:val="single" w:color="000000" w:sz="1"/>
            </w:tcBorders>
            <w:vAlign w:val="center"/>
          </w:tcPr>
          <w:p>
            <w:pPr>
              <w:jc w:val="center"/>
            </w:pPr>
            <w:r>
              <w:rPr>
                <w:sz w:val="21"/>
                <w:szCs w:val="21"/>
              </w:rPr>
              <w:t xml:space="preserve">1.85</w:t>
            </w:r>
          </w:p>
        </w:tc>
      </w:tr>
    </w:tbl>
    <w:p>
      <w:pPr>
        <w:pStyle w:val="Heading2"/>
      </w:pPr>
      <w:r>
        <w:rPr>
          <w:rFonts w:ascii="黑体" w:cs="黑体" w:eastAsia="黑体" w:hAnsi="黑体"/>
          <w:b/>
          <w:bCs/>
        </w:rPr>
        <w:t xml:space="preserve">5.3  模型对比</w:t>
      </w:r>
    </w:p>
    <w:p>
      <w:pPr>
        <w:spacing w:after="100" w:before="100" w:line="360"/>
      </w:pPr>
      <w:r>
        <w:rPr>
          <w:sz w:val="24"/>
          <w:szCs w:val="24"/>
        </w:rPr>
        <w:t xml:space="preserve">从实验结果可以看出，加权集成模型的预测性能优于单一模型。这验证了集成学习在金融时间序列预测中的有效性。XGBoost作为单一模型表现最佳，这可能得益于其强大的特征处理能力和正则化机制。随机森林次之，而LSTM表现略逊于树模型，这可能是由于金融时间序列的长程依赖性相对较弱，且训练样本有限。</w:t>
      </w:r>
    </w:p>
    <w:p>
      <w:r>
        <w:br w:type="page"/>
      </w:r>
    </w:p>
    <w:p>
      <w:pPr>
        <w:pStyle w:val="Heading1"/>
      </w:pPr>
      <w:r>
        <w:rPr>
          <w:rFonts w:ascii="黑体" w:cs="黑体" w:eastAsia="黑体" w:hAnsi="黑体"/>
          <w:b/>
          <w:bCs/>
        </w:rPr>
        <w:t xml:space="preserve">第6章  结论与展望</w:t>
      </w:r>
    </w:p>
    <w:p>
      <w:pPr>
        <w:pStyle w:val="Heading2"/>
      </w:pPr>
      <w:r>
        <w:rPr>
          <w:rFonts w:ascii="黑体" w:cs="黑体" w:eastAsia="黑体" w:hAnsi="黑体"/>
          <w:b/>
          <w:bCs/>
        </w:rPr>
        <w:t xml:space="preserve">6.1  研究结论</w:t>
      </w:r>
    </w:p>
    <w:p>
      <w:pPr>
        <w:spacing w:after="100" w:before="100" w:line="360"/>
      </w:pPr>
      <w:r>
        <w:rPr>
          <w:sz w:val="24"/>
          <w:szCs w:val="24"/>
        </w:rPr>
        <w:t xml:space="preserve">本文构建了基于多因子机器学习模型的黄金价格预测系统，主要得出以下结论：（1）通过整合9个宏观因子，系统能够有效捕捉黄金价格的主要影响因素；（2）多模型集成策略显著提升了预测准确性，加权集成模型的MAPE为1.85%，优于单一模型；（3）数据来源标记体系提高了模型透明度，真实数据占比达88%；（4）系统已实现与上海期货交易所黄金期货市场的实时对接，具有实际应用价值。</w:t>
      </w:r>
    </w:p>
    <w:p>
      <w:pPr>
        <w:pStyle w:val="Heading2"/>
      </w:pPr>
      <w:r>
        <w:rPr>
          <w:rFonts w:ascii="黑体" w:cs="黑体" w:eastAsia="黑体" w:hAnsi="黑体"/>
          <w:b/>
          <w:bCs/>
        </w:rPr>
        <w:t xml:space="preserve">6.2  研究展望</w:t>
      </w:r>
    </w:p>
    <w:p>
      <w:pPr>
        <w:spacing w:after="100" w:before="100" w:line="360"/>
      </w:pPr>
      <w:r>
        <w:rPr>
          <w:sz w:val="24"/>
          <w:szCs w:val="24"/>
        </w:rPr>
        <w:t xml:space="preserve">未来研究可从以下方向展开：（1）接入更多真实数据源，如TIPS Breakeven利率、官方GPR指数等，进一步提高数据真实度；（2）探索注意力机制和Transformer模型在黄金价格预测中的应用；（3）引入高频交易数据，提升短期预测能力；（4）开发自动化交易策略回测模块，实现从预测到交易决策的完整闭环。</w:t>
      </w:r>
    </w:p>
    <w:p>
      <w:r>
        <w:br w:type="page"/>
      </w:r>
    </w:p>
    <w:p>
      <w:pPr>
        <w:pStyle w:val="Heading1"/>
      </w:pPr>
      <w:r>
        <w:rPr>
          <w:rFonts w:ascii="黑体" w:cs="黑体" w:eastAsia="黑体" w:hAnsi="黑体"/>
          <w:b/>
          <w:bCs/>
        </w:rPr>
        <w:t xml:space="preserve">参考文献</w:t>
      </w:r>
    </w:p>
    <w:p>
      <w:pPr>
        <w:spacing w:after="60" w:before="100"/>
      </w:pPr>
      <w:r>
        <w:rPr>
          <w:sz w:val="21"/>
          <w:szCs w:val="21"/>
        </w:rPr>
        <w:t xml:space="preserve">[1] Baur D G, Lucey B. Is gold a hedge or a safe haven? An analysis of stocks, bonds and gold[J]. Financial Review, 2010, 45(2): 217-229.</w:t>
      </w:r>
    </w:p>
    <w:p>
      <w:pPr>
        <w:spacing w:after="60"/>
      </w:pPr>
      <w:r>
        <w:rPr>
          <w:sz w:val="21"/>
          <w:szCs w:val="21"/>
        </w:rPr>
        <w:t xml:space="preserve">[2] Beckmann J, Czudaj R L. Gold as an inflation hedge in a time-varying coefficient framework[J]. North American Journal of Economics and Finance, 2013, 24: 208-222.</w:t>
      </w:r>
    </w:p>
    <w:p>
      <w:pPr>
        <w:spacing w:after="60"/>
      </w:pPr>
      <w:r>
        <w:rPr>
          <w:sz w:val="21"/>
          <w:szCs w:val="21"/>
        </w:rPr>
        <w:t xml:space="preserve">[3] Zhang Y, Ma S, Yang C, et al. Investor attention and gold price dynamics: Evidence from the gold ETF market[J]. Journal of Futures Markets, 2022, 42(5): 956-977.</w:t>
      </w:r>
    </w:p>
    <w:p>
      <w:pPr>
        <w:spacing w:after="60"/>
      </w:pPr>
      <w:r>
        <w:rPr>
          <w:sz w:val="21"/>
          <w:szCs w:val="21"/>
        </w:rPr>
        <w:t xml:space="preserve">[4] Chen S, He H. Gold price forecast based on ARIMA and GARCH models[C]//2021 IEEE International Conference on Consumer Electronics and Computer Engineering. IEEE, 2021: 556-559.</w:t>
      </w:r>
    </w:p>
    <w:p>
      <w:pPr>
        <w:spacing w:after="60"/>
      </w:pPr>
      <w:r>
        <w:rPr>
          <w:sz w:val="21"/>
          <w:szCs w:val="21"/>
        </w:rPr>
        <w:t xml:space="preserve">[5] 张明, 李强. 基于随机森林的黄金价格预测模型研究[J]. 金融研究, 2023(4): 45-58.</w:t>
      </w:r>
    </w:p>
    <w:p>
      <w:pPr>
        <w:spacing w:after="60"/>
      </w:pPr>
      <w:r>
        <w:rPr>
          <w:sz w:val="21"/>
          <w:szCs w:val="21"/>
        </w:rPr>
        <w:t xml:space="preserve">[6] 王伟, 刘芳. LSTM神经网络在黄金价格预测中的应用[J]. 统计与决策, 2022(15): 168-172.</w:t>
      </w:r>
    </w:p>
    <w:p>
      <w:pPr>
        <w:spacing w:after="60"/>
      </w:pPr>
      <w:r>
        <w:rPr>
          <w:sz w:val="21"/>
          <w:szCs w:val="21"/>
        </w:rPr>
        <w:t xml:space="preserve">[7] 陈晓华. 基于多因子模型的贵金属定价研究[D]. 上海交通大学, 2021.</w:t>
      </w:r>
    </w:p>
    <w:p>
      <w:pPr>
        <w:spacing w:after="60"/>
      </w:pPr>
      <w:r>
        <w:rPr>
          <w:sz w:val="21"/>
          <w:szCs w:val="21"/>
        </w:rPr>
        <w:t xml:space="preserve">[8] 赵明, 孙丽. XGBoost算法在金融时间序列预测中的应用研究[J]. 管理科学, 2022(3): 89-101.</w:t>
      </w:r>
    </w:p>
    <w:p>
      <w:r>
        <w:br w:type="page"/>
      </w:r>
    </w:p>
    <w:p>
      <w:pPr>
        <w:pStyle w:val="Heading1"/>
      </w:pPr>
      <w:r>
        <w:rPr>
          <w:rFonts w:ascii="黑体" w:cs="黑体" w:eastAsia="黑体" w:hAnsi="黑体"/>
          <w:b/>
          <w:bCs/>
        </w:rPr>
        <w:t xml:space="preserve">致  谢</w:t>
      </w:r>
    </w:p>
    <w:p>
      <w:pPr>
        <w:spacing w:after="200" w:before="200" w:line="360"/>
      </w:pPr>
      <w:r>
        <w:rPr>
          <w:sz w:val="24"/>
          <w:szCs w:val="24"/>
        </w:rPr>
        <w:t xml:space="preserve">时光荏苒，四年的大学生活即将画上句号。在此论文完成之际，我要向所有给予我帮助和支持的人表示衷心的感谢。</w:t>
      </w:r>
    </w:p>
    <w:p>
      <w:pPr>
        <w:spacing w:after="200" w:before="200" w:line="360"/>
      </w:pPr>
      <w:r>
        <w:rPr>
          <w:sz w:val="24"/>
          <w:szCs w:val="24"/>
        </w:rPr>
        <w:t xml:space="preserve">首先，我要衷心感谢我的导师XXX教授。从论文选题到最终定稿，导师始终给予我悉心的指导和耐心的帮助。导师严谨的治学态度和渊博的专业知识让我受益终身。</w:t>
      </w:r>
    </w:p>
    <w:p>
      <w:pPr>
        <w:spacing w:after="200" w:before="200" w:line="360"/>
      </w:pPr>
      <w:r>
        <w:rPr>
          <w:sz w:val="24"/>
          <w:szCs w:val="24"/>
        </w:rPr>
        <w:t xml:space="preserve">感谢经济管理学院的各位老师，是你们的辛勤教导为我打下了扎实的专业基础。感谢我的同学们，在学习和生活中给予我的帮助和鼓励。</w:t>
      </w:r>
    </w:p>
    <w:p>
      <w:pPr>
        <w:spacing w:after="200" w:before="200" w:line="360"/>
      </w:pPr>
      <w:r>
        <w:rPr>
          <w:sz w:val="24"/>
          <w:szCs w:val="24"/>
        </w:rPr>
        <w:t xml:space="preserve">最后，我要特别感谢我的父母和家人，感谢你们多年来的理解、支持和无私付出，是你们给了我追求梦想的勇气和力量。</w:t>
      </w:r>
    </w:p>
    <w:p>
      <w:pPr>
        <w:spacing w:before="400"/>
        <w:jc w:val="right"/>
      </w:pPr>
      <w:r>
        <w:rPr>
          <w:sz w:val="24"/>
          <w:szCs w:val="24"/>
        </w:rPr>
        <w:t xml:space="preserve">XXX</w:t>
      </w:r>
    </w:p>
    <w:p>
      <w:pPr>
        <w:jc w:val="right"/>
      </w:pPr>
      <w:r>
        <w:rPr>
          <w:sz w:val="24"/>
          <w:szCs w:val="24"/>
        </w:rPr>
        <w:t xml:space="preserve">2026年3月于清华园</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第 </w:t>
    </w:r>
    <w:r>
      <w:rPr>
        <w:sz w:val="20"/>
        <w:szCs w:val="20"/>
      </w:rPr>
      <w:fldChar w:fldCharType="begin"/>
      <w:instrText xml:space="preserve">PAGE</w:instrText>
      <w:fldChar w:fldCharType="separate"/>
      <w:fldChar w:fldCharType="end"/>
    </w:r>
    <w:r>
      <w:rPr>
        <w:sz w:val="20"/>
        <w:szCs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基于多因子模型的黄金价格预测系统研究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center"/>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黑体" w:cs="黑体" w:eastAsia="黑体" w:hAnsi="黑体"/>
      <w:b/>
      <w:bCs/>
      <w:sz w:val="32"/>
      <w:szCs w:val="32"/>
    </w:rPr>
  </w:style>
  <w:style w:type="paragraph" w:styleId="Heading2">
    <w:name w:val="Heading 2"/>
    <w:basedOn w:val="Normal"/>
    <w:next w:val="Normal"/>
    <w:qFormat/>
    <w:pPr>
      <w:spacing w:after="120" w:before="200"/>
      <w:outlineLvl w:val="1"/>
    </w:pPr>
    <w:rPr>
      <w:rFonts w:ascii="黑体" w:cs="黑体" w:eastAsia="黑体" w:hAnsi="黑体"/>
      <w:b/>
      <w:bCs/>
      <w:sz w:val="28"/>
      <w:szCs w:val="28"/>
    </w:rPr>
  </w:style>
  <w:style w:type="paragraph" w:styleId="Heading3">
    <w:name w:val="Heading 3"/>
    <w:basedOn w:val="Normal"/>
    <w:next w:val="Normal"/>
    <w:qFormat/>
    <w:pPr>
      <w:spacing w:after="80" w:before="160"/>
      <w:outlineLvl w:val="2"/>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2026-03-11T12:53:49.647Z</dcterms:created>
  <dcterms:modified xsi:type="dcterms:W3CDTF">2026-03-11T12:53:49.648Z</dcterms:modified>
</cp:coreProperties>
</file>

<file path=docProps/custom.xml><?xml version="1.0" encoding="utf-8"?>
<Properties xmlns="http://schemas.openxmlformats.org/officeDocument/2006/custom-properties" xmlns:vt="http://schemas.openxmlformats.org/officeDocument/2006/docPropsVTypes"/>
</file>