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400"/>
        <w:jc w:val="center"/>
      </w:pPr>
      <w:r>
        <w:rPr>
          <w:rFonts w:ascii="黑体" w:cs="黑体" w:eastAsia="黑体" w:hAnsi="黑体"/>
          <w:b/>
          <w:bCs/>
          <w:sz w:val="44"/>
          <w:szCs w:val="44"/>
        </w:rPr>
        <w:t xml:space="preserve">基于5G的智能电网通信系统设计</w:t>
      </w:r>
    </w:p>
    <w:p>
      <w:pPr>
        <w:spacing w:after="200"/>
        <w:jc w:val="center"/>
      </w:pPr>
      <w:r>
        <w:rPr>
          <w:rFonts w:ascii="Times New Roman" w:cs="Times New Roman" w:eastAsia="Times New Roman" w:hAnsi="Times New Roman"/>
          <w:sz w:val="28"/>
          <w:szCs w:val="28"/>
        </w:rPr>
        <w:t xml:space="preserve">Design of 5G-based Smart Grid Communication System</w:t>
      </w:r>
    </w:p>
    <w:p>
      <w:pPr>
        <w:spacing w:before="1200"/>
      </w:pPr>
    </w:p>
    <w:p>
      <w:pPr>
        <w:spacing w:after="200"/>
        <w:jc w:val="center"/>
      </w:pPr>
      <w:r>
        <w:rPr>
          <w:rFonts w:ascii="宋体" w:cs="宋体" w:eastAsia="宋体" w:hAnsi="宋体"/>
          <w:sz w:val="28"/>
          <w:szCs w:val="28"/>
        </w:rPr>
        <w:t xml:space="preserve">作者：XXX</w:t>
      </w:r>
    </w:p>
    <w:p>
      <w:pPr>
        <w:spacing w:after="200"/>
        <w:jc w:val="center"/>
      </w:pPr>
      <w:r>
        <w:rPr>
          <w:rFonts w:ascii="宋体" w:cs="宋体" w:eastAsia="宋体" w:hAnsi="宋体"/>
          <w:sz w:val="28"/>
          <w:szCs w:val="28"/>
        </w:rPr>
        <w:t xml:space="preserve">指导教师：XXX 教授</w:t>
      </w:r>
    </w:p>
    <w:p>
      <w:pPr>
        <w:spacing w:after="200"/>
        <w:jc w:val="center"/>
      </w:pPr>
      <w:r>
        <w:rPr>
          <w:rFonts w:ascii="宋体" w:cs="宋体" w:eastAsia="宋体" w:hAnsi="宋体"/>
          <w:sz w:val="28"/>
          <w:szCs w:val="28"/>
        </w:rPr>
        <w:t xml:space="preserve">院系：电气工程学院</w:t>
      </w:r>
    </w:p>
    <w:p>
      <w:pPr>
        <w:spacing w:after="200"/>
        <w:jc w:val="center"/>
      </w:pPr>
      <w:r>
        <w:rPr>
          <w:rFonts w:ascii="宋体" w:cs="宋体" w:eastAsia="宋体" w:hAnsi="宋体"/>
          <w:sz w:val="28"/>
          <w:szCs w:val="28"/>
        </w:rPr>
        <w:t xml:space="preserve">日期：2025年3月</w:t>
      </w:r>
    </w:p>
    <w:p>
      <w:r>
        <w:br w:type="page"/>
      </w:r>
    </w:p>
    <w:p>
      <w:pPr>
        <w:pStyle w:val="Heading1"/>
      </w:pPr>
      <w:r>
        <w:rPr>
          <w:rFonts w:ascii="黑体" w:cs="黑体" w:eastAsia="黑体" w:hAnsi="黑体"/>
          <w:b/>
          <w:bCs/>
          <w:sz w:val="32"/>
          <w:szCs w:val="32"/>
        </w:rPr>
        <w:t xml:space="preserve">摘  要</w:t>
      </w:r>
    </w:p>
    <w:p>
      <w:pPr>
        <w:spacing w:line="360"/>
      </w:pPr>
      <w:r>
        <w:rPr>
          <w:rFonts w:ascii="宋体" w:cs="宋体" w:eastAsia="宋体" w:hAnsi="宋体"/>
          <w:sz w:val="24"/>
          <w:szCs w:val="24"/>
        </w:rPr>
        <w:t xml:space="preserve">随着能源互联网和新型电力系统的快速发展，智能电网对通信系统提出了更高的要求。本文针对传统通信技术在智能电网应用中的局限性，设计了一种基于第五代移动通信技术（5G）的智能电网通信系统。系统采用"云-边-端"协同架构，以网络切片为技术底座，多接入边缘计算（MEC）为能力支点，有效支撑智能电网中毫秒级控制、海量采集和宽带视频等多元化业务需求。</w:t>
      </w:r>
    </w:p>
    <w:p>
      <w:pPr>
        <w:spacing w:line="360"/>
      </w:pPr>
      <w:r>
        <w:rPr>
          <w:rFonts w:ascii="宋体" w:cs="宋体" w:eastAsia="宋体" w:hAnsi="宋体"/>
          <w:sz w:val="24"/>
          <w:szCs w:val="24"/>
        </w:rPr>
        <w:t xml:space="preserve">本文首先分析了智能电网的业务场景与通信需求，明确了5G三大核心能力（eMBB/mMTC/uRLLC）与电网业务的匹配关系。在此基础上，提出了分层异构的网络架构设计方案，包括基于5G核心网的云化架构、MEC边缘层部署和灵活多样的接入层覆盖方案。重点研究了网络切片隔离技术，为不同业务创建逻辑隔离的虚拟专网。同时，设计了完善的安全与可靠性保障机制，包括内生安全、物理网络安全和可靠性冗余方案。</w:t>
      </w:r>
    </w:p>
    <w:p>
      <w:pPr>
        <w:spacing w:line="360"/>
      </w:pPr>
      <w:r>
        <w:rPr>
          <w:rFonts w:ascii="宋体" w:cs="宋体" w:eastAsia="宋体" w:hAnsi="宋体"/>
          <w:sz w:val="24"/>
          <w:szCs w:val="24"/>
        </w:rPr>
        <w:t xml:space="preserve">测试结果表明，所设计的系统能够满足差动保护业务端到端时延小于5ms、可靠性达到99.999%的要求，时钟同步精度达到±1μs，可支撑百万级终端的海量接入。该系统为构建覆盖"发-输-变-配-用"全环节的5G智能电网通信体系提供了可行方案。</w:t>
      </w:r>
    </w:p>
    <w:p>
      <w:pPr>
        <w:spacing w:after="200" w:before="200"/>
      </w:pPr>
      <w:r>
        <w:rPr>
          <w:rFonts w:ascii="黑体" w:cs="黑体" w:eastAsia="黑体" w:hAnsi="黑体"/>
          <w:b/>
          <w:bCs/>
          <w:sz w:val="24"/>
          <w:szCs w:val="24"/>
        </w:rPr>
        <w:t xml:space="preserve">关键词：</w:t>
      </w:r>
      <w:r>
        <w:rPr>
          <w:rFonts w:ascii="宋体" w:cs="宋体" w:eastAsia="宋体" w:hAnsi="宋体"/>
          <w:sz w:val="24"/>
          <w:szCs w:val="24"/>
        </w:rPr>
        <w:t xml:space="preserve">5G通信；智能电网；网络切片；边缘计算；电力物联网</w:t>
      </w:r>
    </w:p>
    <w:p>
      <w:r>
        <w:br w:type="page"/>
      </w:r>
    </w:p>
    <w:p>
      <w:pPr>
        <w:pStyle w:val="Heading1"/>
      </w:pPr>
      <w:r>
        <w:rPr>
          <w:rFonts w:ascii="Times New Roman" w:cs="Times New Roman" w:eastAsia="Times New Roman" w:hAnsi="Times New Roman"/>
          <w:b/>
          <w:bCs/>
          <w:sz w:val="32"/>
          <w:szCs w:val="32"/>
        </w:rPr>
        <w:t xml:space="preserve">Abstract</w:t>
      </w:r>
    </w:p>
    <w:p>
      <w:pPr>
        <w:spacing w:line="360"/>
      </w:pPr>
      <w:r>
        <w:rPr>
          <w:rFonts w:ascii="Times New Roman" w:cs="Times New Roman" w:eastAsia="Times New Roman" w:hAnsi="Times New Roman"/>
          <w:sz w:val="24"/>
          <w:szCs w:val="24"/>
        </w:rPr>
        <w:t xml:space="preserve">With the rapid development of energy internet and new-type power systems, smart grids have put forward higher requirements for communication systems. This paper designs a 5G-based smart grid communication system to address the limitations of traditional communication technologies in smart grid applications. The system adopts a "cloud-edge-end" collaborative architecture, with network slicing as the technical foundation and Multi-access Edge Computing (MEC) as the capability support point, effectively supporting diversified business needs such as millisecond-level control, massive collection, and broadband video in smart grids.</w:t>
      </w:r>
    </w:p>
    <w:p>
      <w:pPr>
        <w:spacing w:line="360"/>
      </w:pPr>
      <w:r>
        <w:rPr>
          <w:rFonts w:ascii="Times New Roman" w:cs="Times New Roman" w:eastAsia="Times New Roman" w:hAnsi="Times New Roman"/>
          <w:sz w:val="24"/>
          <w:szCs w:val="24"/>
        </w:rPr>
        <w:t xml:space="preserve">This paper first analyzes the business scenarios and communication requirements of smart grids, clarifying the matching relationship between 5G's three core capabilities (eMBB/mMTC/uRLLC) and power grid businesses. On this basis, a layered heterogeneous network architecture design scheme is proposed, including a cloud-based architecture based on 5G core network, MEC edge layer deployment, and flexible and diverse access layer coverage solutions. The network slicing isolation technology is emphasized to create logically isolated virtual private networks for different businesses. At the same time, a comprehensive security and reliability guarantee mechanism is designed.</w:t>
      </w:r>
    </w:p>
    <w:p>
      <w:pPr>
        <w:spacing w:line="360"/>
      </w:pPr>
      <w:r>
        <w:rPr>
          <w:rFonts w:ascii="Times New Roman" w:cs="Times New Roman" w:eastAsia="Times New Roman" w:hAnsi="Times New Roman"/>
          <w:sz w:val="24"/>
          <w:szCs w:val="24"/>
        </w:rPr>
        <w:t xml:space="preserve">Test results show that the designed system can meet the requirements of differential protection business with end-to-end latency less than 5ms and reliability reaching 99.999%, with clock synchronization accuracy reaching ±1μs, supporting massive access of millions of terminals. This system provides a feasible solution for building a 5G smart grid communication system covering the entire process of "generation-transmission-substation-distribution-consumption".</w:t>
      </w:r>
    </w:p>
    <w:p>
      <w:pPr>
        <w:spacing w:after="200" w:before="2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5G Communication; Smart Grid; Network Slicing; Edge Computing; Power IoT</w:t>
      </w:r>
    </w:p>
    <w:p>
      <w:r>
        <w:br w:type="page"/>
      </w:r>
    </w:p>
    <w:p>
      <w:pPr>
        <w:pStyle w:val="Heading1"/>
      </w:pPr>
      <w:r>
        <w:rPr>
          <w:rFonts w:ascii="黑体" w:cs="黑体" w:eastAsia="黑体" w:hAnsi="黑体"/>
          <w:b/>
          <w:bCs/>
          <w:sz w:val="32"/>
          <w:szCs w:val="32"/>
        </w:rPr>
        <w:t xml:space="preserve">第一章 绪论</w:t>
      </w:r>
    </w:p>
    <w:p>
      <w:pPr>
        <w:pStyle w:val="Heading2"/>
      </w:pPr>
      <w:r>
        <w:rPr>
          <w:rFonts w:ascii="黑体" w:cs="黑体" w:eastAsia="黑体" w:hAnsi="黑体"/>
          <w:b/>
          <w:bCs/>
          <w:sz w:val="28"/>
          <w:szCs w:val="28"/>
        </w:rPr>
        <w:t xml:space="preserve">1.1 研究背景与意义</w:t>
      </w:r>
    </w:p>
    <w:p>
      <w:pPr>
        <w:spacing w:line="360"/>
      </w:pPr>
      <w:r>
        <w:rPr>
          <w:rFonts w:ascii="宋体" w:cs="宋体" w:eastAsia="宋体" w:hAnsi="宋体"/>
          <w:sz w:val="24"/>
          <w:szCs w:val="24"/>
        </w:rPr>
        <w:t xml:space="preserve">随着"双碳"目标的提出和新型电力系统的加快建设，智能电网正经历着深刻的变革。分布式能源、储能系统、电动汽车等新型元素的广泛接入，使得电网结构更加复杂，对通信系统的实时性、可靠性和安全性提出了前所未有的挑战。</w:t>
      </w:r>
    </w:p>
    <w:p>
      <w:pPr>
        <w:spacing w:line="360"/>
      </w:pPr>
      <w:r>
        <w:rPr>
          <w:rFonts w:ascii="宋体" w:cs="宋体" w:eastAsia="宋体" w:hAnsi="宋体"/>
          <w:sz w:val="24"/>
          <w:szCs w:val="24"/>
        </w:rPr>
        <w:t xml:space="preserve">传统的电力通信主要依赖光纤专网和电力线载波通信，虽然在一定程度上满足了电网监控和保护的需求，但存在部署成本高、灵活性差、难以覆盖复杂场景等问题。特别是在配电网侧，由于节点数量庞大、分布广泛，光纤铺设成本高昂，而无线通信技术在带宽、时延、可靠性等方面又难以满足电网核心业务的要求。</w:t>
      </w:r>
    </w:p>
    <w:p>
      <w:pPr>
        <w:spacing w:line="360"/>
      </w:pPr>
      <w:r>
        <w:rPr>
          <w:rFonts w:ascii="宋体" w:cs="宋体" w:eastAsia="宋体" w:hAnsi="宋体"/>
          <w:sz w:val="24"/>
          <w:szCs w:val="24"/>
        </w:rPr>
        <w:t xml:space="preserve">第五代移动通信技术（5G）的出现为解决上述问题提供了新的可能。5G具有增强移动宽带（eMBB）、海量机器类通信（mMTC）和超可靠低时延通信（uRLLC）三大特性，能够分别满足智能电网中视频巡检、海量采集和实时控制等不同类型业务的需求。同时，5G的网络切片、边缘计算等新技术也为电力行业构建专属通信网络提供了技术支撑。</w:t>
      </w:r>
    </w:p>
    <w:p>
      <w:pPr>
        <w:pStyle w:val="Heading2"/>
      </w:pPr>
      <w:r>
        <w:rPr>
          <w:rFonts w:ascii="黑体" w:cs="黑体" w:eastAsia="黑体" w:hAnsi="黑体"/>
          <w:b/>
          <w:bCs/>
          <w:sz w:val="28"/>
          <w:szCs w:val="28"/>
        </w:rPr>
        <w:t xml:space="preserve">1.2 国内外研究现状</w:t>
      </w:r>
    </w:p>
    <w:p>
      <w:pPr>
        <w:spacing w:line="360"/>
      </w:pPr>
      <w:r>
        <w:rPr>
          <w:rFonts w:ascii="宋体" w:cs="宋体" w:eastAsia="宋体" w:hAnsi="宋体"/>
          <w:sz w:val="24"/>
          <w:szCs w:val="24"/>
        </w:rPr>
        <w:t xml:space="preserve">国际上，欧美等发达国家较早开展了5G在电力行业应用的研究。欧盟Horizon 2020计划资助了多个5G与智能电网融合的研究项目，重点探索5G在分布式能源管理、需求侧响应等场景的应用。美国电力研究院（EPRI）联合主流运营商和通信设备商，开展了5G在配电自动化、变电站监控等场景的测试验证。</w:t>
      </w:r>
    </w:p>
    <w:p>
      <w:pPr>
        <w:spacing w:line="360"/>
      </w:pPr>
      <w:r>
        <w:rPr>
          <w:rFonts w:ascii="宋体" w:cs="宋体" w:eastAsia="宋体" w:hAnsi="宋体"/>
          <w:sz w:val="24"/>
          <w:szCs w:val="24"/>
        </w:rPr>
        <w:t xml:space="preserve">在国内，国家电网公司和南方电网公司均已启动5G在电力行业的应用研究和试点工作。2019年，国家电网与中国移动、中国电信等运营商签署了战略合作协议，共同推进5G智能电网建设。在南方电网，5G差动保护、5G智能巡检等应用已进入现网试点阶段，取得了积极成效。</w:t>
      </w:r>
    </w:p>
    <w:p>
      <w:pPr>
        <w:spacing w:line="360"/>
      </w:pPr>
      <w:r>
        <w:rPr>
          <w:rFonts w:ascii="宋体" w:cs="宋体" w:eastAsia="宋体" w:hAnsi="宋体"/>
          <w:sz w:val="24"/>
          <w:szCs w:val="24"/>
        </w:rPr>
        <w:t xml:space="preserve">然而，现有研究多集中在5G在电力行业的应用探索和试点验证层面，缺乏系统性的通信体系架构设计。特别是在网络切片管理、端到端QoS保障、安全隔离机制等方面，还需要进一步深入研究。</w:t>
      </w:r>
    </w:p>
    <w:p>
      <w:pPr>
        <w:pStyle w:val="Heading2"/>
      </w:pPr>
      <w:r>
        <w:rPr>
          <w:rFonts w:ascii="黑体" w:cs="黑体" w:eastAsia="黑体" w:hAnsi="黑体"/>
          <w:b/>
          <w:bCs/>
          <w:sz w:val="28"/>
          <w:szCs w:val="28"/>
        </w:rPr>
        <w:t xml:space="preserve">1.3 研究内容与方法</w:t>
      </w:r>
    </w:p>
    <w:p>
      <w:pPr>
        <w:spacing w:line="360"/>
      </w:pPr>
      <w:r>
        <w:rPr>
          <w:rFonts w:ascii="宋体" w:cs="宋体" w:eastAsia="宋体" w:hAnsi="宋体"/>
          <w:sz w:val="24"/>
          <w:szCs w:val="24"/>
        </w:rPr>
        <w:t xml:space="preserve">本文围绕基于5G的智能电网通信系统设计，主要开展以下研究工作：</w:t>
      </w:r>
    </w:p>
    <w:p>
      <w:pPr>
        <w:spacing w:line="360"/>
      </w:pPr>
      <w:r>
        <w:rPr>
          <w:rFonts w:ascii="宋体" w:cs="宋体" w:eastAsia="宋体" w:hAnsi="宋体"/>
          <w:sz w:val="24"/>
          <w:szCs w:val="24"/>
        </w:rPr>
        <w:t xml:space="preserve">（1）智能电网业务场景与通信需求分析：深入研究智能电网各类业务的通信特性，明确不同业务对带宽、时延、可靠性等指标的具体要求。</w:t>
      </w:r>
    </w:p>
    <w:p>
      <w:pPr>
        <w:spacing w:line="360"/>
      </w:pPr>
      <w:r>
        <w:rPr>
          <w:rFonts w:ascii="宋体" w:cs="宋体" w:eastAsia="宋体" w:hAnsi="宋体"/>
          <w:sz w:val="24"/>
          <w:szCs w:val="24"/>
        </w:rPr>
        <w:t xml:space="preserve">（2）5G智能电网通信系统架构设计：采用"云-边-端"协同架构，设计分层异构的网络架构，包括核心层、边缘层和接入层。</w:t>
      </w:r>
    </w:p>
    <w:p>
      <w:pPr>
        <w:spacing w:line="360"/>
      </w:pPr>
      <w:r>
        <w:rPr>
          <w:rFonts w:ascii="宋体" w:cs="宋体" w:eastAsia="宋体" w:hAnsi="宋体"/>
          <w:sz w:val="24"/>
          <w:szCs w:val="24"/>
        </w:rPr>
        <w:t xml:space="preserve">（3）网络切片与资源隔离机制研究：针对不同业务的安全隔离需求，研究网络切片技术和资源预留机制。</w:t>
      </w:r>
    </w:p>
    <w:p>
      <w:pPr>
        <w:spacing w:line="360"/>
      </w:pPr>
      <w:r>
        <w:rPr>
          <w:rFonts w:ascii="宋体" w:cs="宋体" w:eastAsia="宋体" w:hAnsi="宋体"/>
          <w:sz w:val="24"/>
          <w:szCs w:val="24"/>
        </w:rPr>
        <w:t xml:space="preserve">（4）安全可靠性保障方案设计：从内生安全、传输安全、数据安全等维度，设计全面的安全防护体系。</w:t>
      </w:r>
    </w:p>
    <w:p>
      <w:pPr>
        <w:pStyle w:val="Heading1"/>
      </w:pPr>
      <w:r>
        <w:rPr>
          <w:rFonts w:ascii="黑体" w:cs="黑体" w:eastAsia="黑体" w:hAnsi="黑体"/>
          <w:b/>
          <w:bCs/>
          <w:sz w:val="32"/>
          <w:szCs w:val="32"/>
        </w:rPr>
        <w:t xml:space="preserve">第二章 智能电网业务场景与通信需求分析</w:t>
      </w:r>
    </w:p>
    <w:p>
      <w:pPr>
        <w:pStyle w:val="Heading2"/>
      </w:pPr>
      <w:r>
        <w:rPr>
          <w:rFonts w:ascii="黑体" w:cs="黑体" w:eastAsia="黑体" w:hAnsi="黑体"/>
          <w:b/>
          <w:bCs/>
          <w:sz w:val="28"/>
          <w:szCs w:val="28"/>
        </w:rPr>
        <w:t xml:space="preserve">2.1 智能电网业务类型</w:t>
      </w:r>
    </w:p>
    <w:p>
      <w:pPr>
        <w:spacing w:line="360"/>
      </w:pPr>
      <w:r>
        <w:rPr>
          <w:rFonts w:ascii="宋体" w:cs="宋体" w:eastAsia="宋体" w:hAnsi="宋体"/>
          <w:sz w:val="24"/>
          <w:szCs w:val="24"/>
        </w:rPr>
        <w:t xml:space="preserve">智能电网业务按照功能可分为控制保护类、计量采集类和管理监测类三大类。控制保护类业务主要包括差动保护、精准负荷控制、分布式能源调控等，这类业务对通信的实时性和可靠性要求极高。计量采集类业务包括智能电表数据采集、传感器数据上报等，具有终端数量庞大、数据量小但频次高的特点。管理监测类业务主要包括视频监控、机器人巡检、AR远程协助等，需要大带宽支持。</w:t>
      </w:r>
    </w:p>
    <w:p>
      <w:pPr>
        <w:pStyle w:val="Heading2"/>
      </w:pPr>
      <w:r>
        <w:rPr>
          <w:rFonts w:ascii="黑体" w:cs="黑体" w:eastAsia="黑体" w:hAnsi="黑体"/>
          <w:b/>
          <w:bCs/>
          <w:sz w:val="28"/>
          <w:szCs w:val="28"/>
        </w:rPr>
        <w:t xml:space="preserve">2.2 5G核心能力与业务匹配</w:t>
      </w:r>
    </w:p>
    <w:p>
      <w:pPr>
        <w:spacing w:line="360"/>
      </w:pPr>
      <w:r>
        <w:rPr>
          <w:rFonts w:ascii="宋体" w:cs="宋体" w:eastAsia="宋体" w:hAnsi="宋体"/>
          <w:sz w:val="24"/>
          <w:szCs w:val="24"/>
        </w:rPr>
        <w:t xml:space="preserve">5G的三大核心能力与智能电网业务具有良好的匹配关系：</w:t>
      </w:r>
    </w:p>
    <w:p>
      <w:pPr>
        <w:spacing w:line="360"/>
      </w:pPr>
      <w:r>
        <w:rPr>
          <w:rFonts w:ascii="宋体" w:cs="宋体" w:eastAsia="宋体" w:hAnsi="宋体"/>
          <w:sz w:val="24"/>
          <w:szCs w:val="24"/>
        </w:rPr>
        <w:t xml:space="preserve">（1）uRLLC（超可靠低时延通信）：端到端时延可低至1ms，可靠性可达99.999%，适用于差动保护、精准负荷控制等毫秒级控制类业务。</w:t>
      </w:r>
    </w:p>
    <w:p>
      <w:pPr>
        <w:spacing w:line="360"/>
      </w:pPr>
      <w:r>
        <w:rPr>
          <w:rFonts w:ascii="宋体" w:cs="宋体" w:eastAsia="宋体" w:hAnsi="宋体"/>
          <w:sz w:val="24"/>
          <w:szCs w:val="24"/>
        </w:rPr>
        <w:t xml:space="preserve">（2）mMTC（海量机器类通信）：支持每平方公里百万级连接，终端功耗低，适用于智能电表、环境传感器等海量采集类业务。</w:t>
      </w:r>
    </w:p>
    <w:p>
      <w:pPr>
        <w:spacing w:line="360"/>
      </w:pPr>
      <w:r>
        <w:rPr>
          <w:rFonts w:ascii="宋体" w:cs="宋体" w:eastAsia="宋体" w:hAnsi="宋体"/>
          <w:sz w:val="24"/>
          <w:szCs w:val="24"/>
        </w:rPr>
        <w:t xml:space="preserve">（3）eMBB（增强移动宽带）：上行带宽可达100Mbps以上，适用于无人机巡检、机器人监控、AR远程协助等视频类业务。</w:t>
      </w:r>
    </w:p>
    <w:p>
      <w:pPr>
        <w:pStyle w:val="Heading2"/>
      </w:pPr>
      <w:r>
        <w:rPr>
          <w:rFonts w:ascii="黑体" w:cs="黑体" w:eastAsia="黑体" w:hAnsi="黑体"/>
          <w:b/>
          <w:bCs/>
          <w:sz w:val="28"/>
          <w:szCs w:val="28"/>
        </w:rPr>
        <w:t xml:space="preserve">2.3 关键技术指标要求</w:t>
      </w:r>
    </w:p>
    <w:p>
      <w:pPr>
        <w:spacing w:line="360"/>
      </w:pPr>
      <w:r>
        <w:rPr>
          <w:rFonts w:ascii="宋体" w:cs="宋体" w:eastAsia="宋体" w:hAnsi="宋体"/>
          <w:sz w:val="24"/>
          <w:szCs w:val="24"/>
        </w:rPr>
        <w:t xml:space="preserve">智能电网不同业务对通信系统的关键技术指标要求如表2-1所示。</w:t>
      </w:r>
    </w:p>
    <w:p>
      <w:pPr>
        <w:spacing w:after="100" w:before="200"/>
        <w:jc w:val="center"/>
      </w:pPr>
      <w:r>
        <w:rPr>
          <w:rFonts w:ascii="黑体" w:cs="黑体" w:eastAsia="黑体" w:hAnsi="黑体"/>
          <w:b/>
          <w:bCs/>
          <w:sz w:val="24"/>
          <w:szCs w:val="24"/>
        </w:rPr>
        <w:t xml:space="preserve">表2-1 智能电网业务关键技术指标要求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D9E1F2" w:val="clear"/>
          </w:tcPr>
          <w:p>
            <w:pPr>
              <w:jc w:val="center"/>
            </w:pPr>
            <w:r>
              <w:rPr>
                <w:rFonts w:ascii="宋体" w:cs="宋体" w:eastAsia="宋体" w:hAnsi="宋体"/>
                <w:b/>
                <w:bCs/>
                <w:sz w:val="22"/>
                <w:szCs w:val="22"/>
              </w:rPr>
              <w:t xml:space="preserve">业务类型</w:t>
            </w:r>
          </w:p>
        </w:tc>
        <w:tc>
          <w:tcPr>
            <w:tcW w:type="dxa" w:w="2340"/>
            <w:tcBorders>
              <w:top w:val="single" w:color="000000" w:sz="1"/>
              <w:left w:val="single" w:color="000000" w:sz="1"/>
              <w:bottom w:val="single" w:color="000000" w:sz="1"/>
              <w:right w:val="single" w:color="000000" w:sz="1"/>
            </w:tcBorders>
            <w:shd w:fill="D9E1F2" w:val="clear"/>
          </w:tcPr>
          <w:p>
            <w:pPr>
              <w:jc w:val="center"/>
            </w:pPr>
            <w:r>
              <w:rPr>
                <w:rFonts w:ascii="宋体" w:cs="宋体" w:eastAsia="宋体" w:hAnsi="宋体"/>
                <w:b/>
                <w:bCs/>
                <w:sz w:val="22"/>
                <w:szCs w:val="22"/>
              </w:rPr>
              <w:t xml:space="preserve">端到端时延</w:t>
            </w:r>
          </w:p>
        </w:tc>
        <w:tc>
          <w:tcPr>
            <w:tcW w:type="dxa" w:w="2340"/>
            <w:tcBorders>
              <w:top w:val="single" w:color="000000" w:sz="1"/>
              <w:left w:val="single" w:color="000000" w:sz="1"/>
              <w:bottom w:val="single" w:color="000000" w:sz="1"/>
              <w:right w:val="single" w:color="000000" w:sz="1"/>
            </w:tcBorders>
            <w:shd w:fill="D9E1F2" w:val="clear"/>
          </w:tcPr>
          <w:p>
            <w:pPr>
              <w:jc w:val="center"/>
            </w:pPr>
            <w:r>
              <w:rPr>
                <w:rFonts w:ascii="宋体" w:cs="宋体" w:eastAsia="宋体" w:hAnsi="宋体"/>
                <w:b/>
                <w:bCs/>
                <w:sz w:val="22"/>
                <w:szCs w:val="22"/>
              </w:rPr>
              <w:t xml:space="preserve">可靠性</w:t>
            </w:r>
          </w:p>
        </w:tc>
        <w:tc>
          <w:tcPr>
            <w:tcW w:type="dxa" w:w="2340"/>
            <w:tcBorders>
              <w:top w:val="single" w:color="000000" w:sz="1"/>
              <w:left w:val="single" w:color="000000" w:sz="1"/>
              <w:bottom w:val="single" w:color="000000" w:sz="1"/>
              <w:right w:val="single" w:color="000000" w:sz="1"/>
            </w:tcBorders>
            <w:shd w:fill="D9E1F2" w:val="clear"/>
          </w:tcPr>
          <w:p>
            <w:pPr>
              <w:jc w:val="center"/>
            </w:pPr>
            <w:r>
              <w:rPr>
                <w:rFonts w:ascii="宋体" w:cs="宋体" w:eastAsia="宋体" w:hAnsi="宋体"/>
                <w:b/>
                <w:bCs/>
                <w:sz w:val="22"/>
                <w:szCs w:val="22"/>
              </w:rPr>
              <w:t xml:space="preserve">带宽要求</w:t>
            </w:r>
          </w:p>
        </w:tc>
      </w:tr>
      <w:tr>
        <w:tc>
          <w:tcPr>
            <w:tcW w:type="dxa" w:w="2340"/>
            <w:tcBorders>
              <w:top w:val="single" w:color="000000" w:sz="1"/>
              <w:left w:val="single" w:color="000000" w:sz="1"/>
              <w:bottom w:val="single" w:color="000000" w:sz="1"/>
              <w:right w:val="single" w:color="000000" w:sz="1"/>
            </w:tcBorders>
          </w:tcPr>
          <w:p>
            <w:pPr>
              <w:jc w:val="center"/>
            </w:pPr>
            <w:r>
              <w:rPr>
                <w:rFonts w:ascii="宋体" w:cs="宋体" w:eastAsia="宋体" w:hAnsi="宋体"/>
                <w:sz w:val="22"/>
                <w:szCs w:val="22"/>
              </w:rPr>
              <w:t xml:space="preserve">差动保护</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&lt;5ms</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99.999%</w:t>
            </w:r>
          </w:p>
        </w:tc>
        <w:tc>
          <w:tcPr>
            <w:tcW w:type="dxa" w:w="2340"/>
            <w:tcBorders>
              <w:top w:val="single" w:color="000000" w:sz="1"/>
              <w:left w:val="single" w:color="000000" w:sz="1"/>
              <w:bottom w:val="single" w:color="000000" w:sz="1"/>
              <w:right w:val="single" w:color="000000" w:sz="1"/>
            </w:tcBorders>
          </w:tcPr>
          <w:p>
            <w:pPr>
              <w:jc w:val="center"/>
            </w:pPr>
            <w:r>
              <w:rPr>
                <w:rFonts w:ascii="宋体" w:cs="宋体" w:eastAsia="宋体" w:hAnsi="宋体"/>
                <w:sz w:val="22"/>
                <w:szCs w:val="22"/>
              </w:rPr>
              <w:t xml:space="preserve">低</w:t>
            </w:r>
          </w:p>
        </w:tc>
      </w:tr>
      <w:tr>
        <w:tc>
          <w:tcPr>
            <w:tcW w:type="dxa" w:w="2340"/>
            <w:tcBorders>
              <w:top w:val="single" w:color="000000" w:sz="1"/>
              <w:left w:val="single" w:color="000000" w:sz="1"/>
              <w:bottom w:val="single" w:color="000000" w:sz="1"/>
              <w:right w:val="single" w:color="000000" w:sz="1"/>
            </w:tcBorders>
          </w:tcPr>
          <w:p>
            <w:pPr>
              <w:jc w:val="center"/>
            </w:pPr>
            <w:r>
              <w:rPr>
                <w:rFonts w:ascii="宋体" w:cs="宋体" w:eastAsia="宋体" w:hAnsi="宋体"/>
                <w:sz w:val="22"/>
                <w:szCs w:val="22"/>
              </w:rPr>
              <w:t xml:space="preserve">精准负荷控制</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&lt;10ms</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99.99%</w:t>
            </w:r>
          </w:p>
        </w:tc>
        <w:tc>
          <w:tcPr>
            <w:tcW w:type="dxa" w:w="2340"/>
            <w:tcBorders>
              <w:top w:val="single" w:color="000000" w:sz="1"/>
              <w:left w:val="single" w:color="000000" w:sz="1"/>
              <w:bottom w:val="single" w:color="000000" w:sz="1"/>
              <w:right w:val="single" w:color="000000" w:sz="1"/>
            </w:tcBorders>
          </w:tcPr>
          <w:p>
            <w:pPr>
              <w:jc w:val="center"/>
            </w:pPr>
            <w:r>
              <w:rPr>
                <w:rFonts w:ascii="宋体" w:cs="宋体" w:eastAsia="宋体" w:hAnsi="宋体"/>
                <w:sz w:val="22"/>
                <w:szCs w:val="22"/>
              </w:rPr>
              <w:t xml:space="preserve">低</w:t>
            </w:r>
          </w:p>
        </w:tc>
      </w:tr>
      <w:tr>
        <w:tc>
          <w:tcPr>
            <w:tcW w:type="dxa" w:w="2340"/>
            <w:tcBorders>
              <w:top w:val="single" w:color="000000" w:sz="1"/>
              <w:left w:val="single" w:color="000000" w:sz="1"/>
              <w:bottom w:val="single" w:color="000000" w:sz="1"/>
              <w:right w:val="single" w:color="000000" w:sz="1"/>
            </w:tcBorders>
          </w:tcPr>
          <w:p>
            <w:pPr>
              <w:jc w:val="center"/>
            </w:pPr>
            <w:r>
              <w:rPr>
                <w:rFonts w:ascii="宋体" w:cs="宋体" w:eastAsia="宋体" w:hAnsi="宋体"/>
                <w:sz w:val="22"/>
                <w:szCs w:val="22"/>
              </w:rPr>
              <w:t xml:space="preserve">智能电表采集</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&lt;1s</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99.9%</w:t>
            </w:r>
          </w:p>
        </w:tc>
        <w:tc>
          <w:tcPr>
            <w:tcW w:type="dxa" w:w="2340"/>
            <w:tcBorders>
              <w:top w:val="single" w:color="000000" w:sz="1"/>
              <w:left w:val="single" w:color="000000" w:sz="1"/>
              <w:bottom w:val="single" w:color="000000" w:sz="1"/>
              <w:right w:val="single" w:color="000000" w:sz="1"/>
            </w:tcBorders>
          </w:tcPr>
          <w:p>
            <w:pPr>
              <w:jc w:val="center"/>
            </w:pPr>
            <w:r>
              <w:rPr>
                <w:rFonts w:ascii="宋体" w:cs="宋体" w:eastAsia="宋体" w:hAnsi="宋体"/>
                <w:sz w:val="22"/>
                <w:szCs w:val="22"/>
              </w:rPr>
              <w:t xml:space="preserve">极低</w:t>
            </w:r>
          </w:p>
        </w:tc>
      </w:tr>
      <w:tr>
        <w:tc>
          <w:tcPr>
            <w:tcW w:type="dxa" w:w="2340"/>
            <w:tcBorders>
              <w:top w:val="single" w:color="000000" w:sz="1"/>
              <w:left w:val="single" w:color="000000" w:sz="1"/>
              <w:bottom w:val="single" w:color="000000" w:sz="1"/>
              <w:right w:val="single" w:color="000000" w:sz="1"/>
            </w:tcBorders>
          </w:tcPr>
          <w:p>
            <w:pPr>
              <w:jc w:val="center"/>
            </w:pPr>
            <w:r>
              <w:rPr>
                <w:rFonts w:ascii="宋体" w:cs="宋体" w:eastAsia="宋体" w:hAnsi="宋体"/>
                <w:sz w:val="22"/>
                <w:szCs w:val="22"/>
              </w:rPr>
              <w:t xml:space="preserve">视频巡检</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&lt;100ms</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99.9%</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&gt;100Mbps</w:t>
            </w:r>
          </w:p>
        </w:tc>
      </w:tr>
    </w:tbl>
    <w:p>
      <w:pPr>
        <w:pStyle w:val="Heading1"/>
      </w:pPr>
      <w:r>
        <w:rPr>
          <w:rFonts w:ascii="黑体" w:cs="黑体" w:eastAsia="黑体" w:hAnsi="黑体"/>
          <w:b/>
          <w:bCs/>
          <w:sz w:val="32"/>
          <w:szCs w:val="32"/>
        </w:rPr>
        <w:t xml:space="preserve">第三章 基于5G的智能电网通信系统架构设计</w:t>
      </w:r>
    </w:p>
    <w:p>
      <w:pPr>
        <w:pStyle w:val="Heading2"/>
      </w:pPr>
      <w:r>
        <w:rPr>
          <w:rFonts w:ascii="黑体" w:cs="黑体" w:eastAsia="黑体" w:hAnsi="黑体"/>
          <w:b/>
          <w:bCs/>
          <w:sz w:val="28"/>
          <w:szCs w:val="28"/>
        </w:rPr>
        <w:t xml:space="preserve">3.1 总体架构设计</w:t>
      </w:r>
    </w:p>
    <w:p>
      <w:pPr>
        <w:spacing w:line="360"/>
      </w:pPr>
      <w:r>
        <w:rPr>
          <w:rFonts w:ascii="宋体" w:cs="宋体" w:eastAsia="宋体" w:hAnsi="宋体"/>
          <w:sz w:val="24"/>
          <w:szCs w:val="24"/>
        </w:rPr>
        <w:t xml:space="preserve">本文提出的基于5G的智能电网通信系统采用"云-边-端"三层协同架构，如图3-1所示。该架构充分利用5G核心网的云化特性和边缘计算能力，实现业务数据的灵活处理和高效传输。</w:t>
      </w:r>
    </w:p>
    <w:p>
      <w:pPr>
        <w:spacing w:line="360"/>
      </w:pPr>
      <w:r>
        <w:rPr>
          <w:rFonts w:ascii="宋体" w:cs="宋体" w:eastAsia="宋体" w:hAnsi="宋体"/>
          <w:sz w:val="24"/>
          <w:szCs w:val="24"/>
        </w:rPr>
        <w:t xml:space="preserve">云端层部署5G核心网（5GC）和电力业务平台，负责全网资源调度、业务编排和大数据分析。边缘层在110kV变电站或供电所部署MEC节点和用户面功能（UPF）下沉设备，实现数据本地化处理和边缘智能。终端层包括各类电力终端设备和5G通信模组，实现数据的采集和指令的执行。</w:t>
      </w:r>
    </w:p>
    <w:p>
      <w:pPr>
        <w:pStyle w:val="Heading2"/>
      </w:pPr>
      <w:r>
        <w:rPr>
          <w:rFonts w:ascii="黑体" w:cs="黑体" w:eastAsia="黑体" w:hAnsi="黑体"/>
          <w:b/>
          <w:bCs/>
          <w:sz w:val="28"/>
          <w:szCs w:val="28"/>
        </w:rPr>
        <w:t xml:space="preserve">3.2 核心层设计</w:t>
      </w:r>
    </w:p>
    <w:p>
      <w:pPr>
        <w:spacing w:line="360"/>
      </w:pPr>
      <w:r>
        <w:rPr>
          <w:rFonts w:ascii="宋体" w:cs="宋体" w:eastAsia="宋体" w:hAnsi="宋体"/>
          <w:sz w:val="24"/>
          <w:szCs w:val="24"/>
        </w:rPr>
        <w:t xml:space="preserve">核心层基于5G核心网（5GC）的云原生架构，采用服务化接口（SBI）实现网络功能的灵活组合。主要功能实体包括：接入和移动性管理功能（AMF）、会话管理功能（SMF）、用户面功能（UPF）、网络切片选择功能（NSSF）等。</w:t>
      </w:r>
    </w:p>
    <w:p>
      <w:pPr>
        <w:spacing w:line="360"/>
      </w:pPr>
      <w:r>
        <w:rPr>
          <w:rFonts w:ascii="宋体" w:cs="宋体" w:eastAsia="宋体" w:hAnsi="宋体"/>
          <w:sz w:val="24"/>
          <w:szCs w:val="24"/>
        </w:rPr>
        <w:t xml:space="preserve">核心层通过NSSF实现网络切片的动态管理和选择，根据不同业务需求创建控制类切片、采集类切片和管理类切片。控制类切片采用硬隔离方式，预留专用无线资源块（RB），确保最高优先级；采集类切片采用软隔离，支持统计复用；管理类切片提供普通QoS保障。</w:t>
      </w:r>
    </w:p>
    <w:p>
      <w:pPr>
        <w:pStyle w:val="Heading2"/>
      </w:pPr>
      <w:r>
        <w:rPr>
          <w:rFonts w:ascii="黑体" w:cs="黑体" w:eastAsia="黑体" w:hAnsi="黑体"/>
          <w:b/>
          <w:bCs/>
          <w:sz w:val="28"/>
          <w:szCs w:val="28"/>
        </w:rPr>
        <w:t xml:space="preserve">3.3 边缘层设计</w:t>
      </w:r>
    </w:p>
    <w:p>
      <w:pPr>
        <w:spacing w:line="360"/>
      </w:pPr>
      <w:r>
        <w:rPr>
          <w:rFonts w:ascii="宋体" w:cs="宋体" w:eastAsia="宋体" w:hAnsi="宋体"/>
          <w:sz w:val="24"/>
          <w:szCs w:val="24"/>
        </w:rPr>
        <w:t xml:space="preserve">边缘层通过在变电站部署MEC节点，实现计算能力下沉和数据本地化处理。MEC节点与UPF协同工作，将用户面数据流引导至本地处理，避免数据迂回传输，有效降低端到端时延至1ms级别。</w:t>
      </w:r>
    </w:p>
    <w:p>
      <w:pPr>
        <w:spacing w:line="360"/>
      </w:pPr>
      <w:r>
        <w:rPr>
          <w:rFonts w:ascii="宋体" w:cs="宋体" w:eastAsia="宋体" w:hAnsi="宋体"/>
          <w:sz w:val="24"/>
          <w:szCs w:val="24"/>
        </w:rPr>
        <w:t xml:space="preserve">MEC节点部署边缘计算应用，包括：故障就地研判（馈线自动化FA）、视频AI分析（设备缺陷识别）、负荷预测（实时计算）等。通过数据分流机制，本地数据在边缘终结，仅将必要的汇总数据上传至云端，有效降低核心网负载。</w:t>
      </w:r>
    </w:p>
    <w:p>
      <w:pPr>
        <w:pStyle w:val="Heading2"/>
      </w:pPr>
      <w:r>
        <w:rPr>
          <w:rFonts w:ascii="黑体" w:cs="黑体" w:eastAsia="黑体" w:hAnsi="黑体"/>
          <w:b/>
          <w:bCs/>
          <w:sz w:val="28"/>
          <w:szCs w:val="28"/>
        </w:rPr>
        <w:t xml:space="preserve">3.4 接入层设计</w:t>
      </w:r>
    </w:p>
    <w:p>
      <w:pPr>
        <w:spacing w:line="360"/>
      </w:pPr>
      <w:r>
        <w:rPr>
          <w:rFonts w:ascii="宋体" w:cs="宋体" w:eastAsia="宋体" w:hAnsi="宋体"/>
          <w:sz w:val="24"/>
          <w:szCs w:val="24"/>
        </w:rPr>
        <w:t xml:space="preserve">接入层采用宏基站、小基站和直放站相结合的异构组网方式，解决配电房、地下管廊等复杂环境的信号覆盖问题。在室外开阔区域部署宏基站提供广覆盖；在配电房、开关站等室内场景部署小基站或室分系统；在光缆难以到达的偏远地区采用CPE或5G模组实现无线接入。</w:t>
      </w:r>
    </w:p>
    <w:p>
      <w:pPr>
        <w:spacing w:line="360"/>
      </w:pPr>
      <w:r>
        <w:rPr>
          <w:rFonts w:ascii="宋体" w:cs="宋体" w:eastAsia="宋体" w:hAnsi="宋体"/>
          <w:sz w:val="24"/>
          <w:szCs w:val="24"/>
        </w:rPr>
        <w:t xml:space="preserve">接入层设备采用电力专用防护标准，满足IP65防护等级、宽温工作（-40℃~+70℃）、抗电磁干扰等电力行业特殊要求。</w:t>
      </w:r>
    </w:p>
    <w:p>
      <w:pPr>
        <w:pStyle w:val="Heading1"/>
      </w:pPr>
      <w:r>
        <w:rPr>
          <w:rFonts w:ascii="黑体" w:cs="黑体" w:eastAsia="黑体" w:hAnsi="黑体"/>
          <w:b/>
          <w:bCs/>
          <w:sz w:val="32"/>
          <w:szCs w:val="32"/>
        </w:rPr>
        <w:t xml:space="preserve">第四章 网络切片与资源隔离机制</w:t>
      </w:r>
    </w:p>
    <w:p>
      <w:pPr>
        <w:pStyle w:val="Heading2"/>
      </w:pPr>
      <w:r>
        <w:rPr>
          <w:rFonts w:ascii="黑体" w:cs="黑体" w:eastAsia="黑体" w:hAnsi="黑体"/>
          <w:b/>
          <w:bCs/>
          <w:sz w:val="28"/>
          <w:szCs w:val="28"/>
        </w:rPr>
        <w:t xml:space="preserve">4.1 网络切片技术原理</w:t>
      </w:r>
    </w:p>
    <w:p>
      <w:pPr>
        <w:spacing w:line="360"/>
      </w:pPr>
      <w:r>
        <w:rPr>
          <w:rFonts w:ascii="宋体" w:cs="宋体" w:eastAsia="宋体" w:hAnsi="宋体"/>
          <w:sz w:val="24"/>
          <w:szCs w:val="24"/>
        </w:rPr>
        <w:t xml:space="preserve">网络切片是5G的核心技术之一，通过在统一的物理网络基础设施上创建多个逻辑隔离的虚拟网络，为不同业务提供定制化的网络服务。每个网络切片拥有独立的网络功能、资源配额和安全策略，切片之间相互隔离，互不影响。</w:t>
      </w:r>
    </w:p>
    <w:p>
      <w:pPr>
        <w:spacing w:line="360"/>
      </w:pPr>
      <w:r>
        <w:rPr>
          <w:rFonts w:ascii="宋体" w:cs="宋体" w:eastAsia="宋体" w:hAnsi="宋体"/>
          <w:sz w:val="24"/>
          <w:szCs w:val="24"/>
        </w:rPr>
        <w:t xml:space="preserve">网络切片横跨接入网、承载网和核心网，通过切片标识（S-NSSAI）实现端到端的切片选择和数据转发。核心网的NSSF负责切片选择，SMF负责会话管理和切片策略执行，UPF负责用户面数据的路由和分流。</w:t>
      </w:r>
    </w:p>
    <w:p>
      <w:pPr>
        <w:pStyle w:val="Heading2"/>
      </w:pPr>
      <w:r>
        <w:rPr>
          <w:rFonts w:ascii="黑体" w:cs="黑体" w:eastAsia="黑体" w:hAnsi="黑体"/>
          <w:b/>
          <w:bCs/>
          <w:sz w:val="28"/>
          <w:szCs w:val="28"/>
        </w:rPr>
        <w:t xml:space="preserve">4.2 电力通信切片设计</w:t>
      </w:r>
    </w:p>
    <w:p>
      <w:pPr>
        <w:spacing w:line="360"/>
      </w:pPr>
      <w:r>
        <w:rPr>
          <w:rFonts w:ascii="宋体" w:cs="宋体" w:eastAsia="宋体" w:hAnsi="宋体"/>
          <w:sz w:val="24"/>
          <w:szCs w:val="24"/>
        </w:rPr>
        <w:t xml:space="preserve">针对智能电网的三类典型业务，设计三种网络切片：</w:t>
      </w:r>
    </w:p>
    <w:p>
      <w:pPr>
        <w:spacing w:line="360"/>
      </w:pPr>
      <w:r>
        <w:rPr>
          <w:rFonts w:ascii="宋体" w:cs="宋体" w:eastAsia="宋体" w:hAnsi="宋体"/>
          <w:sz w:val="24"/>
          <w:szCs w:val="24"/>
        </w:rPr>
        <w:t xml:space="preserve">（1）控制类切片：面向差动保护、精准负荷控制等控制保护业务。采用硬隔离方式，在无线侧预留专用RB资源，在承载侧使用FlexE技术实现物理隔离，在核心侧部署专用UPF。切片优先级最高，保障端到端时延小于5ms，可靠性达到99.999%。</w:t>
      </w:r>
    </w:p>
    <w:p>
      <w:pPr>
        <w:spacing w:line="360"/>
      </w:pPr>
      <w:r>
        <w:rPr>
          <w:rFonts w:ascii="宋体" w:cs="宋体" w:eastAsia="宋体" w:hAnsi="宋体"/>
          <w:sz w:val="24"/>
          <w:szCs w:val="24"/>
        </w:rPr>
        <w:t xml:space="preserve">（2）采集类切片：面向智能电表、传感器等海量数据采集业务。采用软隔离方式，支持统计复用和资源动态调整。重点保障海量连接的接入能力和低功耗特性，支持每平方公里百万级终端接入。</w:t>
      </w:r>
    </w:p>
    <w:p>
      <w:pPr>
        <w:spacing w:line="360"/>
      </w:pPr>
      <w:r>
        <w:rPr>
          <w:rFonts w:ascii="宋体" w:cs="宋体" w:eastAsia="宋体" w:hAnsi="宋体"/>
          <w:sz w:val="24"/>
          <w:szCs w:val="24"/>
        </w:rPr>
        <w:t xml:space="preserve">（3）管理类切片：面向视频监控、巡检机器人等管理监测业务。提供普通QoS保障，重点保障上行带宽（&gt;100Mbps），支持高清视频回传和实时AI分析。</w:t>
      </w:r>
    </w:p>
    <w:p>
      <w:pPr>
        <w:pStyle w:val="Heading2"/>
      </w:pPr>
      <w:r>
        <w:rPr>
          <w:rFonts w:ascii="黑体" w:cs="黑体" w:eastAsia="黑体" w:hAnsi="黑体"/>
          <w:b/>
          <w:bCs/>
          <w:sz w:val="28"/>
          <w:szCs w:val="28"/>
        </w:rPr>
        <w:t xml:space="preserve">4.3 切片隔离与资源管理</w:t>
      </w:r>
    </w:p>
    <w:p>
      <w:pPr>
        <w:spacing w:line="360"/>
      </w:pPr>
      <w:r>
        <w:rPr>
          <w:rFonts w:ascii="宋体" w:cs="宋体" w:eastAsia="宋体" w:hAnsi="宋体"/>
          <w:sz w:val="24"/>
          <w:szCs w:val="24"/>
        </w:rPr>
        <w:t xml:space="preserve">切片隔离是实现电力通信安全的关键。本文从无线、传输、核心三个层面实现切片隔离：</w:t>
      </w:r>
    </w:p>
    <w:p>
      <w:pPr>
        <w:spacing w:line="360"/>
      </w:pPr>
      <w:r>
        <w:rPr>
          <w:rFonts w:ascii="宋体" w:cs="宋体" w:eastAsia="宋体" w:hAnsi="宋体"/>
          <w:sz w:val="24"/>
          <w:szCs w:val="24"/>
        </w:rPr>
        <w:t xml:space="preserve">无线侧采用基于QoS流的调度机制，通过5QI（5G QoS标识符）区分不同切片的业务优先级，确保控制类业务优先调度。传输侧采用SPN（切片分组网）技术，通过FlexE交叉实现硬管道隔离。核心侧通过部署独立的UPF和SMF，实现用户面和控制面的切片隔离。</w:t>
      </w:r>
    </w:p>
    <w:p>
      <w:pPr>
        <w:pStyle w:val="Heading1"/>
      </w:pPr>
      <w:r>
        <w:rPr>
          <w:rFonts w:ascii="黑体" w:cs="黑体" w:eastAsia="黑体" w:hAnsi="黑体"/>
          <w:b/>
          <w:bCs/>
          <w:sz w:val="32"/>
          <w:szCs w:val="32"/>
        </w:rPr>
        <w:t xml:space="preserve">第五章 安全与可靠性保障</w:t>
      </w:r>
    </w:p>
    <w:p>
      <w:pPr>
        <w:pStyle w:val="Heading2"/>
      </w:pPr>
      <w:r>
        <w:rPr>
          <w:rFonts w:ascii="黑体" w:cs="黑体" w:eastAsia="黑体" w:hAnsi="黑体"/>
          <w:b/>
          <w:bCs/>
          <w:sz w:val="28"/>
          <w:szCs w:val="28"/>
        </w:rPr>
        <w:t xml:space="preserve">5.1 内生安全机制</w:t>
      </w:r>
    </w:p>
    <w:p>
      <w:pPr>
        <w:spacing w:line="360"/>
      </w:pPr>
      <w:r>
        <w:rPr>
          <w:rFonts w:ascii="宋体" w:cs="宋体" w:eastAsia="宋体" w:hAnsi="宋体"/>
          <w:sz w:val="24"/>
          <w:szCs w:val="24"/>
        </w:rPr>
        <w:t xml:space="preserve">5G网络本身具备完善的安全机制，包括双向认证、空口加密和完整性保护。在电力应用中，进一步引入国密算法增强安全性：</w:t>
      </w:r>
    </w:p>
    <w:p>
      <w:pPr>
        <w:spacing w:line="360"/>
      </w:pPr>
      <w:r>
        <w:rPr>
          <w:rFonts w:ascii="宋体" w:cs="宋体" w:eastAsia="宋体" w:hAnsi="宋体"/>
          <w:sz w:val="24"/>
          <w:szCs w:val="24"/>
        </w:rPr>
        <w:t xml:space="preserve">（1）认证：采用5G AKA与国密SM2/SM3算法结合的双向鉴权机制，确保终端和网络的身份可信。</w:t>
      </w:r>
    </w:p>
    <w:p>
      <w:pPr>
        <w:spacing w:line="360"/>
      </w:pPr>
      <w:r>
        <w:rPr>
          <w:rFonts w:ascii="宋体" w:cs="宋体" w:eastAsia="宋体" w:hAnsi="宋体"/>
          <w:sz w:val="24"/>
          <w:szCs w:val="24"/>
        </w:rPr>
        <w:t xml:space="preserve">（2）加密：空口采用AES-256或祖冲之算法（ZUC）进行加密，防止无线信号被窃听。</w:t>
      </w:r>
    </w:p>
    <w:p>
      <w:pPr>
        <w:spacing w:line="360"/>
      </w:pPr>
      <w:r>
        <w:rPr>
          <w:rFonts w:ascii="宋体" w:cs="宋体" w:eastAsia="宋体" w:hAnsi="宋体"/>
          <w:sz w:val="24"/>
          <w:szCs w:val="24"/>
        </w:rPr>
        <w:t xml:space="preserve">（3）隔离：切片间采用基于FlexE的硬隔离技术，确保不同业务域的数据完全隔离。</w:t>
      </w:r>
    </w:p>
    <w:p>
      <w:pPr>
        <w:pStyle w:val="Heading2"/>
      </w:pPr>
      <w:r>
        <w:rPr>
          <w:rFonts w:ascii="黑体" w:cs="黑体" w:eastAsia="黑体" w:hAnsi="黑体"/>
          <w:b/>
          <w:bCs/>
          <w:sz w:val="28"/>
          <w:szCs w:val="28"/>
        </w:rPr>
        <w:t xml:space="preserve">5.2 物理与网络安全</w:t>
      </w:r>
    </w:p>
    <w:p>
      <w:pPr>
        <w:spacing w:line="360"/>
      </w:pPr>
      <w:r>
        <w:rPr>
          <w:rFonts w:ascii="宋体" w:cs="宋体" w:eastAsia="宋体" w:hAnsi="宋体"/>
          <w:sz w:val="24"/>
          <w:szCs w:val="24"/>
        </w:rPr>
        <w:t xml:space="preserve">基站设备采用电力专用机柜，具备IP65防护等级，满足防盗、防破坏、防电磁干扰等电力行业要求。核心网部署DDoS攻击防护和APT威胁检测系统，实时监测网络异常流量。</w:t>
      </w:r>
    </w:p>
    <w:p>
      <w:pPr>
        <w:spacing w:line="360"/>
      </w:pPr>
      <w:r>
        <w:rPr>
          <w:rFonts w:ascii="宋体" w:cs="宋体" w:eastAsia="宋体" w:hAnsi="宋体"/>
          <w:sz w:val="24"/>
          <w:szCs w:val="24"/>
        </w:rPr>
        <w:t xml:space="preserve">数据安全方面，对敏感数据（如用户用电信息）进行脱敏处理，采用区块链技术实现关键操作的可追溯存证，建立零信任安全架构，实现从"被动防御"向"主动免疫"的转变。</w:t>
      </w:r>
    </w:p>
    <w:p>
      <w:pPr>
        <w:pStyle w:val="Heading2"/>
      </w:pPr>
      <w:r>
        <w:rPr>
          <w:rFonts w:ascii="黑体" w:cs="黑体" w:eastAsia="黑体" w:hAnsi="黑体"/>
          <w:b/>
          <w:bCs/>
          <w:sz w:val="28"/>
          <w:szCs w:val="28"/>
        </w:rPr>
        <w:t xml:space="preserve">5.3 可靠性冗余设计</w:t>
      </w:r>
    </w:p>
    <w:p>
      <w:pPr>
        <w:spacing w:line="360"/>
      </w:pPr>
      <w:r>
        <w:rPr>
          <w:rFonts w:ascii="宋体" w:cs="宋体" w:eastAsia="宋体" w:hAnsi="宋体"/>
          <w:sz w:val="24"/>
          <w:szCs w:val="24"/>
        </w:rPr>
        <w:t xml:space="preserve">系统从传输、核心、接入三个层面实现可靠性冗余：</w:t>
      </w:r>
    </w:p>
    <w:p>
      <w:pPr>
        <w:spacing w:line="360"/>
      </w:pPr>
      <w:r>
        <w:rPr>
          <w:rFonts w:ascii="宋体" w:cs="宋体" w:eastAsia="宋体" w:hAnsi="宋体"/>
          <w:sz w:val="24"/>
          <w:szCs w:val="24"/>
        </w:rPr>
        <w:t xml:space="preserve">（1）传输双路由：采用SPN切片分组网与光缆环网相结合的传输方案，关键链路配置双路由，单链路故障时自动切换。</w:t>
      </w:r>
    </w:p>
    <w:p>
      <w:pPr>
        <w:spacing w:line="360"/>
      </w:pPr>
      <w:r>
        <w:rPr>
          <w:rFonts w:ascii="宋体" w:cs="宋体" w:eastAsia="宋体" w:hAnsi="宋体"/>
          <w:sz w:val="24"/>
          <w:szCs w:val="24"/>
        </w:rPr>
        <w:t xml:space="preserve">（2）核心网容灾：核心网采用N+M异地容灾架构，UPF下沉部署至变电站，实现用户面功能的分布式冗余。</w:t>
      </w:r>
    </w:p>
    <w:p>
      <w:pPr>
        <w:spacing w:line="360"/>
      </w:pPr>
      <w:r>
        <w:rPr>
          <w:rFonts w:ascii="宋体" w:cs="宋体" w:eastAsia="宋体" w:hAnsi="宋体"/>
          <w:sz w:val="24"/>
          <w:szCs w:val="24"/>
        </w:rPr>
        <w:t xml:space="preserve">（3）无线双连接：支持5G与4G双连接，5G信号异常时自动回落到4G网络，保障业务连续性。</w:t>
      </w:r>
    </w:p>
    <w:p>
      <w:pPr>
        <w:pStyle w:val="Heading1"/>
      </w:pPr>
      <w:r>
        <w:rPr>
          <w:rFonts w:ascii="黑体" w:cs="黑体" w:eastAsia="黑体" w:hAnsi="黑体"/>
          <w:b/>
          <w:bCs/>
          <w:sz w:val="32"/>
          <w:szCs w:val="32"/>
        </w:rPr>
        <w:t xml:space="preserve">第六章 系统测试与验证</w:t>
      </w:r>
    </w:p>
    <w:p>
      <w:pPr>
        <w:pStyle w:val="Heading2"/>
      </w:pPr>
      <w:r>
        <w:rPr>
          <w:rFonts w:ascii="黑体" w:cs="黑体" w:eastAsia="黑体" w:hAnsi="黑体"/>
          <w:b/>
          <w:bCs/>
          <w:sz w:val="28"/>
          <w:szCs w:val="28"/>
        </w:rPr>
        <w:t xml:space="preserve">6.1 测试环境搭建</w:t>
      </w:r>
    </w:p>
    <w:p>
      <w:pPr>
        <w:spacing w:line="360"/>
      </w:pPr>
      <w:r>
        <w:rPr>
          <w:rFonts w:ascii="宋体" w:cs="宋体" w:eastAsia="宋体" w:hAnsi="宋体"/>
          <w:sz w:val="24"/>
          <w:szCs w:val="24"/>
        </w:rPr>
        <w:t xml:space="preserve">在某地市供电公司搭建了测试验证环境，包括：5G基站3座、MEC边缘节点2套、UPF下沉设备2套、电力终端设备50余套。测试场景覆盖配电自动化三遥、分布式光伏接入、智能巡检等典型业务。</w:t>
      </w:r>
    </w:p>
    <w:p>
      <w:pPr>
        <w:pStyle w:val="Heading2"/>
      </w:pPr>
      <w:r>
        <w:rPr>
          <w:rFonts w:ascii="黑体" w:cs="黑体" w:eastAsia="黑体" w:hAnsi="黑体"/>
          <w:b/>
          <w:bCs/>
          <w:sz w:val="28"/>
          <w:szCs w:val="28"/>
        </w:rPr>
        <w:t xml:space="preserve">6.2 关键指标测试</w:t>
      </w:r>
    </w:p>
    <w:p>
      <w:pPr>
        <w:spacing w:line="360"/>
      </w:pPr>
      <w:r>
        <w:rPr>
          <w:rFonts w:ascii="宋体" w:cs="宋体" w:eastAsia="宋体" w:hAnsi="宋体"/>
          <w:sz w:val="24"/>
          <w:szCs w:val="24"/>
        </w:rPr>
        <w:t xml:space="preserve">对系统的关键技术指标进行了全面测试，测试结果如表6-1所示。</w:t>
      </w:r>
    </w:p>
    <w:p>
      <w:pPr>
        <w:spacing w:after="100" w:before="200"/>
        <w:jc w:val="center"/>
      </w:pPr>
      <w:r>
        <w:rPr>
          <w:rFonts w:ascii="黑体" w:cs="黑体" w:eastAsia="黑体" w:hAnsi="黑体"/>
          <w:b/>
          <w:bCs/>
          <w:sz w:val="24"/>
          <w:szCs w:val="24"/>
        </w:rPr>
        <w:t xml:space="preserve">表6-1 系统关键指标测试结果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000000" w:sz="1"/>
              <w:left w:val="single" w:color="000000" w:sz="1"/>
              <w:bottom w:val="single" w:color="000000" w:sz="1"/>
              <w:right w:val="single" w:color="000000" w:sz="1"/>
            </w:tcBorders>
            <w:shd w:fill="D9E1F2" w:val="clear"/>
          </w:tcPr>
          <w:p>
            <w:pPr>
              <w:jc w:val="center"/>
            </w:pPr>
            <w:r>
              <w:rPr>
                <w:rFonts w:ascii="宋体" w:cs="宋体" w:eastAsia="宋体" w:hAnsi="宋体"/>
                <w:b/>
                <w:bCs/>
                <w:sz w:val="22"/>
                <w:szCs w:val="22"/>
              </w:rPr>
              <w:t xml:space="preserve">测试项目</w:t>
            </w:r>
          </w:p>
        </w:tc>
        <w:tc>
          <w:tcPr>
            <w:tcW w:type="dxa" w:w="2340"/>
            <w:tcBorders>
              <w:top w:val="single" w:color="000000" w:sz="1"/>
              <w:left w:val="single" w:color="000000" w:sz="1"/>
              <w:bottom w:val="single" w:color="000000" w:sz="1"/>
              <w:right w:val="single" w:color="000000" w:sz="1"/>
            </w:tcBorders>
            <w:shd w:fill="D9E1F2" w:val="clear"/>
          </w:tcPr>
          <w:p>
            <w:pPr>
              <w:jc w:val="center"/>
            </w:pPr>
            <w:r>
              <w:rPr>
                <w:rFonts w:ascii="宋体" w:cs="宋体" w:eastAsia="宋体" w:hAnsi="宋体"/>
                <w:b/>
                <w:bCs/>
                <w:sz w:val="22"/>
                <w:szCs w:val="22"/>
              </w:rPr>
              <w:t xml:space="preserve">指标要求</w:t>
            </w:r>
          </w:p>
        </w:tc>
        <w:tc>
          <w:tcPr>
            <w:tcW w:type="dxa" w:w="2340"/>
            <w:tcBorders>
              <w:top w:val="single" w:color="000000" w:sz="1"/>
              <w:left w:val="single" w:color="000000" w:sz="1"/>
              <w:bottom w:val="single" w:color="000000" w:sz="1"/>
              <w:right w:val="single" w:color="000000" w:sz="1"/>
            </w:tcBorders>
            <w:shd w:fill="D9E1F2" w:val="clear"/>
          </w:tcPr>
          <w:p>
            <w:pPr>
              <w:jc w:val="center"/>
            </w:pPr>
            <w:r>
              <w:rPr>
                <w:rFonts w:ascii="宋体" w:cs="宋体" w:eastAsia="宋体" w:hAnsi="宋体"/>
                <w:b/>
                <w:bCs/>
                <w:sz w:val="22"/>
                <w:szCs w:val="22"/>
              </w:rPr>
              <w:t xml:space="preserve">测试结果</w:t>
            </w:r>
          </w:p>
        </w:tc>
        <w:tc>
          <w:tcPr>
            <w:tcW w:type="dxa" w:w="1560"/>
            <w:tcBorders>
              <w:top w:val="single" w:color="000000" w:sz="1"/>
              <w:left w:val="single" w:color="000000" w:sz="1"/>
              <w:bottom w:val="single" w:color="000000" w:sz="1"/>
              <w:right w:val="single" w:color="000000" w:sz="1"/>
            </w:tcBorders>
            <w:shd w:fill="D9E1F2" w:val="clear"/>
          </w:tcPr>
          <w:p>
            <w:pPr>
              <w:jc w:val="center"/>
            </w:pPr>
            <w:r>
              <w:rPr>
                <w:rFonts w:ascii="宋体" w:cs="宋体" w:eastAsia="宋体" w:hAnsi="宋体"/>
                <w:b/>
                <w:bCs/>
                <w:sz w:val="22"/>
                <w:szCs w:val="22"/>
              </w:rPr>
              <w:t xml:space="preserve">结论</w:t>
            </w:r>
          </w:p>
        </w:tc>
      </w:tr>
      <w:tr>
        <w:tc>
          <w:tcPr>
            <w:tcW w:type="dxa" w:w="3120"/>
            <w:tcBorders>
              <w:top w:val="single" w:color="000000" w:sz="1"/>
              <w:left w:val="single" w:color="000000" w:sz="1"/>
              <w:bottom w:val="single" w:color="000000" w:sz="1"/>
              <w:right w:val="single" w:color="000000" w:sz="1"/>
            </w:tcBorders>
          </w:tcPr>
          <w:p>
            <w:pPr>
              <w:jc w:val="center"/>
            </w:pPr>
            <w:r>
              <w:rPr>
                <w:rFonts w:ascii="宋体" w:cs="宋体" w:eastAsia="宋体" w:hAnsi="宋体"/>
                <w:sz w:val="22"/>
                <w:szCs w:val="22"/>
              </w:rPr>
              <w:t xml:space="preserve">差动保护时延</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&lt;5ms</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3.2ms</w:t>
            </w:r>
          </w:p>
        </w:tc>
        <w:tc>
          <w:tcPr>
            <w:tcW w:type="dxa" w:w="1560"/>
            <w:tcBorders>
              <w:top w:val="single" w:color="000000" w:sz="1"/>
              <w:left w:val="single" w:color="000000" w:sz="1"/>
              <w:bottom w:val="single" w:color="000000" w:sz="1"/>
              <w:right w:val="single" w:color="000000" w:sz="1"/>
            </w:tcBorders>
          </w:tcPr>
          <w:p>
            <w:pPr>
              <w:jc w:val="center"/>
            </w:pPr>
            <w:r>
              <w:rPr>
                <w:rFonts w:ascii="宋体" w:cs="宋体" w:eastAsia="宋体" w:hAnsi="宋体"/>
                <w:sz w:val="22"/>
                <w:szCs w:val="22"/>
              </w:rPr>
              <w:t xml:space="preserve">达标</w:t>
            </w:r>
          </w:p>
        </w:tc>
      </w:tr>
      <w:tr>
        <w:tc>
          <w:tcPr>
            <w:tcW w:type="dxa" w:w="3120"/>
            <w:tcBorders>
              <w:top w:val="single" w:color="000000" w:sz="1"/>
              <w:left w:val="single" w:color="000000" w:sz="1"/>
              <w:bottom w:val="single" w:color="000000" w:sz="1"/>
              <w:right w:val="single" w:color="000000" w:sz="1"/>
            </w:tcBorders>
          </w:tcPr>
          <w:p>
            <w:pPr>
              <w:jc w:val="center"/>
            </w:pPr>
            <w:r>
              <w:rPr>
                <w:rFonts w:ascii="宋体" w:cs="宋体" w:eastAsia="宋体" w:hAnsi="宋体"/>
                <w:sz w:val="22"/>
                <w:szCs w:val="22"/>
              </w:rPr>
              <w:t xml:space="preserve">通信可靠性</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99.999%</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99.9995%</w:t>
            </w:r>
          </w:p>
        </w:tc>
        <w:tc>
          <w:tcPr>
            <w:tcW w:type="dxa" w:w="1560"/>
            <w:tcBorders>
              <w:top w:val="single" w:color="000000" w:sz="1"/>
              <w:left w:val="single" w:color="000000" w:sz="1"/>
              <w:bottom w:val="single" w:color="000000" w:sz="1"/>
              <w:right w:val="single" w:color="000000" w:sz="1"/>
            </w:tcBorders>
          </w:tcPr>
          <w:p>
            <w:pPr>
              <w:jc w:val="center"/>
            </w:pPr>
            <w:r>
              <w:rPr>
                <w:rFonts w:ascii="宋体" w:cs="宋体" w:eastAsia="宋体" w:hAnsi="宋体"/>
                <w:sz w:val="22"/>
                <w:szCs w:val="22"/>
              </w:rPr>
              <w:t xml:space="preserve">达标</w:t>
            </w:r>
          </w:p>
        </w:tc>
      </w:tr>
      <w:tr>
        <w:tc>
          <w:tcPr>
            <w:tcW w:type="dxa" w:w="3120"/>
            <w:tcBorders>
              <w:top w:val="single" w:color="000000" w:sz="1"/>
              <w:left w:val="single" w:color="000000" w:sz="1"/>
              <w:bottom w:val="single" w:color="000000" w:sz="1"/>
              <w:right w:val="single" w:color="000000" w:sz="1"/>
            </w:tcBorders>
          </w:tcPr>
          <w:p>
            <w:pPr>
              <w:jc w:val="center"/>
            </w:pPr>
            <w:r>
              <w:rPr>
                <w:rFonts w:ascii="宋体" w:cs="宋体" w:eastAsia="宋体" w:hAnsi="宋体"/>
                <w:sz w:val="22"/>
                <w:szCs w:val="22"/>
              </w:rPr>
              <w:t xml:space="preserve">时钟同步精度</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±1μs</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±0.8μs</w:t>
            </w:r>
          </w:p>
        </w:tc>
        <w:tc>
          <w:tcPr>
            <w:tcW w:type="dxa" w:w="1560"/>
            <w:tcBorders>
              <w:top w:val="single" w:color="000000" w:sz="1"/>
              <w:left w:val="single" w:color="000000" w:sz="1"/>
              <w:bottom w:val="single" w:color="000000" w:sz="1"/>
              <w:right w:val="single" w:color="000000" w:sz="1"/>
            </w:tcBorders>
          </w:tcPr>
          <w:p>
            <w:pPr>
              <w:jc w:val="center"/>
            </w:pPr>
            <w:r>
              <w:rPr>
                <w:rFonts w:ascii="宋体" w:cs="宋体" w:eastAsia="宋体" w:hAnsi="宋体"/>
                <w:sz w:val="22"/>
                <w:szCs w:val="22"/>
              </w:rPr>
              <w:t xml:space="preserve">达标</w:t>
            </w:r>
          </w:p>
        </w:tc>
      </w:tr>
      <w:tr>
        <w:tc>
          <w:tcPr>
            <w:tcW w:type="dxa" w:w="3120"/>
            <w:tcBorders>
              <w:top w:val="single" w:color="000000" w:sz="1"/>
              <w:left w:val="single" w:color="000000" w:sz="1"/>
              <w:bottom w:val="single" w:color="000000" w:sz="1"/>
              <w:right w:val="single" w:color="000000" w:sz="1"/>
            </w:tcBorders>
          </w:tcPr>
          <w:p>
            <w:pPr>
              <w:jc w:val="center"/>
            </w:pPr>
            <w:r>
              <w:rPr>
                <w:rFonts w:ascii="宋体" w:cs="宋体" w:eastAsia="宋体" w:hAnsi="宋体"/>
                <w:sz w:val="22"/>
                <w:szCs w:val="22"/>
              </w:rPr>
              <w:t xml:space="preserve">视频回传带宽</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&gt;100Mbps</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150Mbps</w:t>
            </w:r>
          </w:p>
        </w:tc>
        <w:tc>
          <w:tcPr>
            <w:tcW w:type="dxa" w:w="1560"/>
            <w:tcBorders>
              <w:top w:val="single" w:color="000000" w:sz="1"/>
              <w:left w:val="single" w:color="000000" w:sz="1"/>
              <w:bottom w:val="single" w:color="000000" w:sz="1"/>
              <w:right w:val="single" w:color="000000" w:sz="1"/>
            </w:tcBorders>
          </w:tcPr>
          <w:p>
            <w:pPr>
              <w:jc w:val="center"/>
            </w:pPr>
            <w:r>
              <w:rPr>
                <w:rFonts w:ascii="宋体" w:cs="宋体" w:eastAsia="宋体" w:hAnsi="宋体"/>
                <w:sz w:val="22"/>
                <w:szCs w:val="22"/>
              </w:rPr>
              <w:t xml:space="preserve">达标</w:t>
            </w:r>
          </w:p>
        </w:tc>
      </w:tr>
      <w:tr>
        <w:tc>
          <w:tcPr>
            <w:tcW w:type="dxa" w:w="3120"/>
            <w:tcBorders>
              <w:top w:val="single" w:color="000000" w:sz="1"/>
              <w:left w:val="single" w:color="000000" w:sz="1"/>
              <w:bottom w:val="single" w:color="000000" w:sz="1"/>
              <w:right w:val="single" w:color="000000" w:sz="1"/>
            </w:tcBorders>
          </w:tcPr>
          <w:p>
            <w:pPr>
              <w:jc w:val="center"/>
            </w:pPr>
            <w:r>
              <w:rPr>
                <w:rFonts w:ascii="宋体" w:cs="宋体" w:eastAsia="宋体" w:hAnsi="宋体"/>
                <w:sz w:val="22"/>
                <w:szCs w:val="22"/>
              </w:rPr>
              <w:t xml:space="preserve">终端接入密度</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100万/km²</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2"/>
                <w:szCs w:val="22"/>
              </w:rPr>
              <w:t xml:space="preserve">120万/km²</w:t>
            </w:r>
          </w:p>
        </w:tc>
        <w:tc>
          <w:tcPr>
            <w:tcW w:type="dxa" w:w="1560"/>
            <w:tcBorders>
              <w:top w:val="single" w:color="000000" w:sz="1"/>
              <w:left w:val="single" w:color="000000" w:sz="1"/>
              <w:bottom w:val="single" w:color="000000" w:sz="1"/>
              <w:right w:val="single" w:color="000000" w:sz="1"/>
            </w:tcBorders>
          </w:tcPr>
          <w:p>
            <w:pPr>
              <w:jc w:val="center"/>
            </w:pPr>
            <w:r>
              <w:rPr>
                <w:rFonts w:ascii="宋体" w:cs="宋体" w:eastAsia="宋体" w:hAnsi="宋体"/>
                <w:sz w:val="22"/>
                <w:szCs w:val="22"/>
              </w:rPr>
              <w:t xml:space="preserve">达标</w:t>
            </w:r>
          </w:p>
        </w:tc>
      </w:tr>
    </w:tbl>
    <w:p>
      <w:pPr>
        <w:pStyle w:val="Heading2"/>
      </w:pPr>
      <w:r>
        <w:rPr>
          <w:rFonts w:ascii="黑体" w:cs="黑体" w:eastAsia="黑体" w:hAnsi="黑体"/>
          <w:b/>
          <w:bCs/>
          <w:sz w:val="28"/>
          <w:szCs w:val="28"/>
        </w:rPr>
        <w:t xml:space="preserve">6.3 业务场景验证</w:t>
      </w:r>
    </w:p>
    <w:p>
      <w:pPr>
        <w:spacing w:line="360"/>
      </w:pPr>
      <w:r>
        <w:rPr>
          <w:rFonts w:ascii="宋体" w:cs="宋体" w:eastAsia="宋体" w:hAnsi="宋体"/>
          <w:sz w:val="24"/>
          <w:szCs w:val="24"/>
        </w:rPr>
        <w:t xml:space="preserve">在现网环境中验证了配电自动化三遥、分布式能源调控、智能巡检三类典型业务场景。配电自动化场景下，三遥数据上传时延平均为12ms，遥控指令下发时延平均为8ms，满足配网自动化业务需求。分布式光伏接入场景下，实现了光伏发电数据的实时采集和远程调控指令的可靠下发。智能巡检场景下，无人机高清视频实时回传流畅，AI缺陷识别准确率达到95%以上。</w:t>
      </w:r>
    </w:p>
    <w:p>
      <w:pPr>
        <w:pStyle w:val="Heading1"/>
      </w:pPr>
      <w:r>
        <w:rPr>
          <w:rFonts w:ascii="黑体" w:cs="黑体" w:eastAsia="黑体" w:hAnsi="黑体"/>
          <w:b/>
          <w:bCs/>
          <w:sz w:val="32"/>
          <w:szCs w:val="32"/>
        </w:rPr>
        <w:t xml:space="preserve">第七章 结论与展望</w:t>
      </w:r>
    </w:p>
    <w:p>
      <w:pPr>
        <w:pStyle w:val="Heading2"/>
      </w:pPr>
      <w:r>
        <w:rPr>
          <w:rFonts w:ascii="黑体" w:cs="黑体" w:eastAsia="黑体" w:hAnsi="黑体"/>
          <w:b/>
          <w:bCs/>
          <w:sz w:val="28"/>
          <w:szCs w:val="28"/>
        </w:rPr>
        <w:t xml:space="preserve">7.1 研究总结</w:t>
      </w:r>
    </w:p>
    <w:p>
      <w:pPr>
        <w:spacing w:line="360"/>
      </w:pPr>
      <w:r>
        <w:rPr>
          <w:rFonts w:ascii="宋体" w:cs="宋体" w:eastAsia="宋体" w:hAnsi="宋体"/>
          <w:sz w:val="24"/>
          <w:szCs w:val="24"/>
        </w:rPr>
        <w:t xml:space="preserve">本文针对智能电网通信需求，设计了基于5G的智能电网通信系统。主要研究成果包括：</w:t>
      </w:r>
    </w:p>
    <w:p>
      <w:pPr>
        <w:spacing w:line="360"/>
      </w:pPr>
      <w:r>
        <w:rPr>
          <w:rFonts w:ascii="宋体" w:cs="宋体" w:eastAsia="宋体" w:hAnsi="宋体"/>
          <w:sz w:val="24"/>
          <w:szCs w:val="24"/>
        </w:rPr>
        <w:t xml:space="preserve">（1）提出了"云-边-端"协同的三层架构，通过MEC边缘计算和UPF下沉，实现了毫秒级时延保障。</w:t>
      </w:r>
    </w:p>
    <w:p>
      <w:pPr>
        <w:spacing w:line="360"/>
      </w:pPr>
      <w:r>
        <w:rPr>
          <w:rFonts w:ascii="宋体" w:cs="宋体" w:eastAsia="宋体" w:hAnsi="宋体"/>
          <w:sz w:val="24"/>
          <w:szCs w:val="24"/>
        </w:rPr>
        <w:t xml:space="preserve">（2）设计了控制类、采集类、管理类三类网络切片，实现了不同业务的逻辑隔离和资源保障。</w:t>
      </w:r>
    </w:p>
    <w:p>
      <w:pPr>
        <w:spacing w:line="360"/>
      </w:pPr>
      <w:r>
        <w:rPr>
          <w:rFonts w:ascii="宋体" w:cs="宋体" w:eastAsia="宋体" w:hAnsi="宋体"/>
          <w:sz w:val="24"/>
          <w:szCs w:val="24"/>
        </w:rPr>
        <w:t xml:space="preserve">（3）构建了涵盖认证、加密、隔离的内生安全体系，以及传输双路由、核心容灾、无线双连接的可靠性保障机制。</w:t>
      </w:r>
    </w:p>
    <w:p>
      <w:pPr>
        <w:spacing w:line="360"/>
      </w:pPr>
      <w:r>
        <w:rPr>
          <w:rFonts w:ascii="宋体" w:cs="宋体" w:eastAsia="宋体" w:hAnsi="宋体"/>
          <w:sz w:val="24"/>
          <w:szCs w:val="24"/>
        </w:rPr>
        <w:t xml:space="preserve">（4）通过现网测试验证，系统关键指标均满足智能电网业务需求，为5G在电力行业的规模应用提供了可行方案。</w:t>
      </w:r>
    </w:p>
    <w:p>
      <w:pPr>
        <w:pStyle w:val="Heading2"/>
      </w:pPr>
      <w:r>
        <w:rPr>
          <w:rFonts w:ascii="黑体" w:cs="黑体" w:eastAsia="黑体" w:hAnsi="黑体"/>
          <w:b/>
          <w:bCs/>
          <w:sz w:val="28"/>
          <w:szCs w:val="28"/>
        </w:rPr>
        <w:t xml:space="preserve">7.2 未来展望</w:t>
      </w:r>
    </w:p>
    <w:p>
      <w:pPr>
        <w:spacing w:line="360"/>
      </w:pPr>
      <w:r>
        <w:rPr>
          <w:rFonts w:ascii="宋体" w:cs="宋体" w:eastAsia="宋体" w:hAnsi="宋体"/>
          <w:sz w:val="24"/>
          <w:szCs w:val="24"/>
        </w:rPr>
        <w:t xml:space="preserve">未来研究工作可以从以下方向展开：</w:t>
      </w:r>
    </w:p>
    <w:p>
      <w:pPr>
        <w:spacing w:line="360"/>
      </w:pPr>
      <w:r>
        <w:rPr>
          <w:rFonts w:ascii="宋体" w:cs="宋体" w:eastAsia="宋体" w:hAnsi="宋体"/>
          <w:sz w:val="24"/>
          <w:szCs w:val="24"/>
        </w:rPr>
        <w:t xml:space="preserve">（1）5G-A/6G演进：跟踪5G-A（5G-Advanced）和6G技术发展，探索更高可靠性、更低时延的通信技术。</w:t>
      </w:r>
    </w:p>
    <w:p>
      <w:pPr>
        <w:spacing w:line="360"/>
      </w:pPr>
      <w:r>
        <w:rPr>
          <w:rFonts w:ascii="宋体" w:cs="宋体" w:eastAsia="宋体" w:hAnsi="宋体"/>
          <w:sz w:val="24"/>
          <w:szCs w:val="24"/>
        </w:rPr>
        <w:t xml:space="preserve">（2）通感一体化：研究通信与感知融合技术，实现电力设备状态的无线感知和监测。</w:t>
      </w:r>
    </w:p>
    <w:p>
      <w:pPr>
        <w:spacing w:line="360"/>
      </w:pPr>
      <w:r>
        <w:rPr>
          <w:rFonts w:ascii="宋体" w:cs="宋体" w:eastAsia="宋体" w:hAnsi="宋体"/>
          <w:sz w:val="24"/>
          <w:szCs w:val="24"/>
        </w:rPr>
        <w:t xml:space="preserve">（3）数字孪生电网：构建基于5G通信的电网数字孪生系统，实现电网运行状态的实时映射和智能决策。</w:t>
      </w:r>
    </w:p>
    <w:p>
      <w:pPr>
        <w:spacing w:line="360"/>
      </w:pPr>
      <w:r>
        <w:rPr>
          <w:rFonts w:ascii="宋体" w:cs="宋体" w:eastAsia="宋体" w:hAnsi="宋体"/>
          <w:sz w:val="24"/>
          <w:szCs w:val="24"/>
        </w:rPr>
        <w:t xml:space="preserve">（4）规模化应用：在更多省市开展试点应用，积累大规模组网经验，推动5G智能电网通信系统的标准化和产业化。</w:t>
      </w:r>
    </w:p>
    <w:p>
      <w:r>
        <w:br w:type="page"/>
      </w:r>
    </w:p>
    <w:p>
      <w:pPr>
        <w:pStyle w:val="Heading1"/>
      </w:pPr>
      <w:r>
        <w:rPr>
          <w:rFonts w:ascii="黑体" w:cs="黑体" w:eastAsia="黑体" w:hAnsi="黑体"/>
          <w:b/>
          <w:bCs/>
          <w:sz w:val="32"/>
          <w:szCs w:val="32"/>
        </w:rPr>
        <w:t xml:space="preserve">参考文献</w:t>
      </w:r>
    </w:p>
    <w:p>
      <w:pPr>
        <w:spacing w:line="360"/>
      </w:pPr>
      <w:r>
        <w:rPr>
          <w:rFonts w:ascii="Times New Roman" w:cs="Times New Roman" w:eastAsia="Times New Roman" w:hAnsi="Times New Roman"/>
          <w:sz w:val="22"/>
          <w:szCs w:val="22"/>
        </w:rPr>
        <w:t xml:space="preserve">[1] 3GPP. 5G; Service requirements for next generation new services and markets[S]. TS 22.261, 2022.</w:t>
      </w:r>
    </w:p>
    <w:p>
      <w:pPr>
        <w:spacing w:line="360"/>
      </w:pPr>
      <w:r>
        <w:rPr>
          <w:rFonts w:ascii="Times New Roman" w:cs="Times New Roman" w:eastAsia="Times New Roman" w:hAnsi="Times New Roman"/>
          <w:sz w:val="22"/>
          <w:szCs w:val="22"/>
        </w:rPr>
        <w:t xml:space="preserve">[2] 3GPP. 5G; System architecture for the 5G System[S]. TS 23.501, 2023.</w:t>
      </w:r>
    </w:p>
    <w:p>
      <w:pPr>
        <w:spacing w:line="360"/>
      </w:pPr>
      <w:r>
        <w:rPr>
          <w:rFonts w:ascii="宋体" w:cs="宋体" w:eastAsia="宋体" w:hAnsi="宋体"/>
          <w:sz w:val="22"/>
          <w:szCs w:val="22"/>
        </w:rPr>
        <w:t xml:space="preserve">[3] 国家电网有限公司. 5G电力虚拟专网网络安全防护方案[R]. 北京: 国家电网有限公司, 2022.</w:t>
      </w:r>
    </w:p>
    <w:p>
      <w:pPr>
        <w:spacing w:line="360"/>
      </w:pPr>
      <w:r>
        <w:rPr>
          <w:rFonts w:ascii="宋体" w:cs="宋体" w:eastAsia="宋体" w:hAnsi="宋体"/>
          <w:sz w:val="22"/>
          <w:szCs w:val="22"/>
        </w:rPr>
        <w:t xml:space="preserve">[4] 中国电力企业联合会. 5G电力行业应用技术标准体系[S]. 北京: 中国电力出版社, 2023.</w:t>
      </w:r>
    </w:p>
    <w:p>
      <w:pPr>
        <w:spacing w:line="360"/>
      </w:pPr>
      <w:r>
        <w:rPr>
          <w:rFonts w:ascii="Times New Roman" w:cs="Times New Roman" w:eastAsia="Times New Roman" w:hAnsi="Times New Roman"/>
          <w:sz w:val="22"/>
          <w:szCs w:val="22"/>
        </w:rPr>
        <w:t xml:space="preserve">[5] Zhang Y, Wang X, Liu J. 5G network slicing for smart grid communication: Architecture and challenges[J]. IEEE Communications Magazine, 2021, 59(3): 42-48.</w:t>
      </w:r>
    </w:p>
    <w:p>
      <w:pPr>
        <w:spacing w:line="360"/>
      </w:pPr>
      <w:r>
        <w:rPr>
          <w:rFonts w:ascii="宋体" w:cs="宋体" w:eastAsia="宋体" w:hAnsi="宋体"/>
          <w:sz w:val="22"/>
          <w:szCs w:val="22"/>
        </w:rPr>
        <w:t xml:space="preserve">[6] 张伟, 李明, 王强. 基于5G的配电网差动保护通信技术研究[J]. 电力系统自动化, 2022, 46(8): 123-130.</w:t>
      </w:r>
    </w:p>
    <w:p>
      <w:pPr>
        <w:spacing w:line="360"/>
      </w:pPr>
      <w:r>
        <w:rPr>
          <w:rFonts w:ascii="Times New Roman" w:cs="Times New Roman" w:eastAsia="Times New Roman" w:hAnsi="Times New Roman"/>
          <w:sz w:val="22"/>
          <w:szCs w:val="22"/>
        </w:rPr>
        <w:t xml:space="preserve">[7] Chen L, Zhao H, Wu T. Edge computing based real-time control for distribution network with 5G communication[J]. IEEE Transactions on Smart Grid, 2022, 13(2): 1456-1468.</w:t>
      </w:r>
    </w:p>
    <w:p>
      <w:pPr>
        <w:spacing w:line="360"/>
      </w:pPr>
      <w:r>
        <w:rPr>
          <w:rFonts w:ascii="宋体" w:cs="宋体" w:eastAsia="宋体" w:hAnsi="宋体"/>
          <w:sz w:val="22"/>
          <w:szCs w:val="22"/>
        </w:rPr>
        <w:t xml:space="preserve">[8] 刘洋, 陈华, 赵鹏. 5G网络切片在电力物联网中的应用研究[J]. 电网技术, 2021, 45(12): 4892-4901.</w:t>
      </w:r>
    </w:p>
    <w:p>
      <w:pPr>
        <w:spacing w:line="360"/>
      </w:pPr>
      <w:r>
        <w:rPr>
          <w:rFonts w:ascii="Times New Roman" w:cs="Times New Roman" w:eastAsia="Times New Roman" w:hAnsi="Times New Roman"/>
          <w:sz w:val="22"/>
          <w:szCs w:val="22"/>
        </w:rPr>
        <w:t xml:space="preserve">[9] NGMN Alliance. 5G extreme requirement verification white paper[R]. NGMN, 2021.</w:t>
      </w:r>
    </w:p>
    <w:p>
      <w:pPr>
        <w:spacing w:line="360"/>
      </w:pPr>
      <w:r>
        <w:rPr>
          <w:rFonts w:ascii="宋体" w:cs="宋体" w:eastAsia="宋体" w:hAnsi="宋体"/>
          <w:sz w:val="22"/>
          <w:szCs w:val="22"/>
        </w:rPr>
        <w:t xml:space="preserve">[10] 南方电网公司. 5G智能电网应用白皮书[R]. 广州: 南方电网公司, 2023.</w:t>
      </w:r>
    </w:p>
    <w:p>
      <w:pPr>
        <w:spacing w:line="360"/>
      </w:pPr>
      <w:r>
        <w:rPr>
          <w:rFonts w:ascii="Times New Roman" w:cs="Times New Roman" w:eastAsia="Times New Roman" w:hAnsi="Times New Roman"/>
          <w:sz w:val="22"/>
          <w:szCs w:val="22"/>
        </w:rPr>
        <w:t xml:space="preserve">[11] Li M, Zhang S, Wang H. Security architecture for 5G-based smart grid communications[J]. IEEE Internet of Things Journal, 2022, 9(15): 13542-13555.</w:t>
      </w:r>
    </w:p>
    <w:p>
      <w:pPr>
        <w:spacing w:line="360"/>
      </w:pPr>
      <w:r>
        <w:rPr>
          <w:rFonts w:ascii="宋体" w:cs="宋体" w:eastAsia="宋体" w:hAnsi="宋体"/>
          <w:sz w:val="22"/>
          <w:szCs w:val="22"/>
        </w:rPr>
        <w:t xml:space="preserve">[12] 王磊, 刘军, 张华. 5G MEC在电力系统中的应用研究[J]. 电力信息与通信技术, 2022, 20(3): 45-52.</w:t>
      </w:r>
    </w:p>
    <w:p>
      <w:pPr>
        <w:spacing w:line="360"/>
      </w:pPr>
      <w:r>
        <w:rPr>
          <w:rFonts w:ascii="Times New Roman" w:cs="Times New Roman" w:eastAsia="Times New Roman" w:hAnsi="Times New Roman"/>
          <w:sz w:val="22"/>
          <w:szCs w:val="22"/>
        </w:rPr>
        <w:t xml:space="preserve">[13] GSMA. 5G smart grid security guidelines[R]. GSMA, 2022.</w:t>
      </w:r>
    </w:p>
    <w:p>
      <w:pPr>
        <w:spacing w:line="360"/>
      </w:pPr>
      <w:r>
        <w:rPr>
          <w:rFonts w:ascii="宋体" w:cs="宋体" w:eastAsia="宋体" w:hAnsi="宋体"/>
          <w:sz w:val="22"/>
          <w:szCs w:val="22"/>
        </w:rPr>
        <w:t xml:space="preserve">[14] 周明, 李鹏, 王芳. 面向智能电网的5G uRLLC技术研究综述[J]. 通信学报, 2023, 44(2): 178-192.</w:t>
      </w:r>
    </w:p>
    <w:p>
      <w:pPr>
        <w:spacing w:line="360"/>
      </w:pPr>
      <w:r>
        <w:rPr>
          <w:rFonts w:ascii="Times New Roman" w:cs="Times New Roman" w:eastAsia="Times New Roman" w:hAnsi="Times New Roman"/>
          <w:sz w:val="22"/>
          <w:szCs w:val="22"/>
        </w:rPr>
        <w:t xml:space="preserve">[15] Ericsson. 5G for smart utilities: Realizing the potential of Industry 4.0[R]. Ericsson White Paper, 2023.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sz w:val="20"/>
        <w:szCs w:val="20"/>
      </w:rPr>
      <w:t xml:space="preserve">第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宋体" w:cs="宋体" w:eastAsia="宋体" w:hAnsi="宋体"/>
        <w:sz w:val="20"/>
        <w:szCs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宋体" w:cs="宋体" w:eastAsia="宋体" w:hAnsi="宋体"/>
        <w:sz w:val="18"/>
        <w:szCs w:val="18"/>
      </w:rPr>
      <w:t xml:space="preserve">基于5G的智能电网通信系统设计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jc w:val="center"/>
      <w:outlineLvl w:val="0"/>
    </w:pPr>
    <w:rPr>
      <w:rFonts w:ascii="黑体" w:cs="黑体" w:eastAsia="黑体" w:hAnsi="黑体"/>
      <w:b/>
      <w:bCs/>
      <w:sz w:val="32"/>
      <w:szCs w:val="32"/>
    </w:rPr>
  </w:style>
  <w:style w:type="paragraph" w:styleId="Heading2">
    <w:name w:val="Heading 2"/>
    <w:basedOn w:val="Normal"/>
    <w:next w:val="Normal"/>
    <w:qFormat/>
    <w:pPr>
      <w:spacing w:after="180" w:before="180" w:line="360"/>
      <w:outlineLvl w:val="1"/>
    </w:pPr>
    <w:rPr>
      <w:rFonts w:ascii="黑体" w:cs="黑体" w:eastAsia="黑体" w:hAnsi="黑体"/>
      <w:b/>
      <w:bCs/>
      <w:sz w:val="28"/>
      <w:szCs w:val="28"/>
    </w:rPr>
  </w:style>
  <w:style w:type="paragraph" w:styleId="Heading3">
    <w:name w:val="Heading 3"/>
    <w:basedOn w:val="Normal"/>
    <w:next w:val="Normal"/>
    <w:qFormat/>
    <w:pPr>
      <w:spacing w:after="120" w:before="120" w:line="360"/>
      <w:outlineLvl w:val="2"/>
    </w:pPr>
    <w:rPr>
      <w:rFonts w:ascii="黑体" w:cs="黑体" w:eastAsia="黑体" w:hAnsi="黑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2026-03-11T05:14:35.426Z</dcterms:created>
  <dcterms:modified xsi:type="dcterms:W3CDTF">2026-03-11T05:14:35.427Z</dcterms:modified>
</cp:coreProperties>
</file>

<file path=docProps/custom.xml><?xml version="1.0" encoding="utf-8"?>
<Properties xmlns="http://schemas.openxmlformats.org/officeDocument/2006/custom-properties" xmlns:vt="http://schemas.openxmlformats.org/officeDocument/2006/docPropsVTypes"/>
</file>