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444F7">
      <w:pPr>
        <w:spacing w:before="560" w:after="160"/>
        <w:jc w:val="center"/>
      </w:pPr>
      <w:r>
        <w:rPr>
          <w:rFonts w:ascii="Calibri" w:hAnsi="Calibri" w:eastAsia="微软雅黑"/>
          <w:b/>
          <w:color w:val="1F4E79"/>
          <w:sz w:val="44"/>
        </w:rPr>
        <w:t>火焰检测模组后续测试方案</w:t>
      </w:r>
    </w:p>
    <w:p w14:paraId="0A3BB19C">
      <w:pPr>
        <w:spacing w:after="440"/>
        <w:jc w:val="center"/>
      </w:pPr>
      <w:r>
        <w:rPr>
          <w:rFonts w:ascii="Calibri" w:hAnsi="Calibri" w:eastAsia="微软雅黑"/>
          <w:color w:val="667085"/>
          <w:sz w:val="24"/>
        </w:rPr>
        <w:t>红外三波段 + 紫外脉冲融合探测</w:t>
      </w:r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64BA453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D110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项目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BA80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内容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F9B6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项目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C75C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内容</w:t>
            </w:r>
          </w:p>
        </w:tc>
      </w:tr>
      <w:tr w14:paraId="1F9D124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2903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文档版本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717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V1.0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770F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编制日期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2BB8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2026-07-27</w:t>
            </w:r>
          </w:p>
        </w:tc>
      </w:tr>
      <w:tr w14:paraId="2ED352A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0B53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当前基线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6F11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算法等级 5</w:t>
            </w:r>
          </w:p>
        </w:tc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AA6D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适用阶段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0BB5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工程验证与参数定型</w:t>
            </w:r>
          </w:p>
        </w:tc>
      </w:tr>
      <w:tr w14:paraId="3186FDD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8659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依据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B4B4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当前固件、现有测试结果及测试材料清单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504C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文档性质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5EDC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内部测试执行文件</w:t>
            </w:r>
          </w:p>
        </w:tc>
      </w:tr>
    </w:tbl>
    <w:p w14:paraId="15C22B25">
      <w:pPr>
        <w:spacing w:after="0"/>
      </w:pPr>
    </w:p>
    <w:tbl>
      <w:tblPr>
        <w:tblStyle w:val="34"/>
        <w:tblW w:w="0" w:type="auto"/>
        <w:jc w:val="center"/>
        <w:tblBorders>
          <w:top w:val="single" w:color="2F75B5" w:sz="8" w:space="0"/>
          <w:left w:val="single" w:color="2F75B5" w:sz="8" w:space="0"/>
          <w:bottom w:val="single" w:color="2F75B5" w:sz="8" w:space="0"/>
          <w:right w:val="single" w:color="2F75B5" w:sz="8" w:space="0"/>
          <w:insideH w:val="single" w:color="2F75B5" w:sz="8" w:space="0"/>
          <w:insideV w:val="single" w:color="2F75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0CE6AEEB">
        <w:tblPrEx>
          <w:tblBorders>
            <w:top w:val="single" w:color="2F75B5" w:sz="8" w:space="0"/>
            <w:left w:val="single" w:color="2F75B5" w:sz="8" w:space="0"/>
            <w:bottom w:val="single" w:color="2F75B5" w:sz="8" w:space="0"/>
            <w:right w:val="single" w:color="2F75B5" w:sz="8" w:space="0"/>
            <w:insideH w:val="single" w:color="2F75B5" w:sz="8" w:space="0"/>
            <w:insideV w:val="single" w:color="2F75B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BE165">
            <w:pPr>
              <w:spacing w:after="40"/>
            </w:pPr>
            <w:r>
              <w:rPr>
                <w:rFonts w:ascii="Calibri" w:hAnsi="Calibri" w:eastAsia="微软雅黑"/>
                <w:b/>
                <w:color w:val="2F75B5"/>
                <w:sz w:val="18"/>
              </w:rPr>
              <w:t>适用说明</w:t>
            </w:r>
          </w:p>
          <w:p w14:paraId="2D0FEAED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本方案用于后续功能验证、边界摸底、参数定型和回归测试。文中引用的照度、调制频率和材料要求来自现有《测试材料清单》，不直接替代型式试验、认证试验或第三方实验室结论。</w:t>
            </w:r>
          </w:p>
        </w:tc>
      </w:tr>
    </w:tbl>
    <w:p w14:paraId="1D0280BA">
      <w:pPr>
        <w:spacing w:after="0"/>
      </w:pPr>
    </w:p>
    <w:p w14:paraId="1CC9AAC2">
      <w:pPr>
        <w:spacing w:after="0"/>
      </w:pPr>
    </w:p>
    <w:p w14:paraId="3DE4FE8F">
      <w:pPr>
        <w:spacing w:after="0"/>
      </w:pPr>
    </w:p>
    <w:p w14:paraId="0CC73A90">
      <w:pPr>
        <w:spacing w:after="0"/>
      </w:pPr>
    </w:p>
    <w:p w14:paraId="6B92102D">
      <w:pPr>
        <w:spacing w:after="0"/>
      </w:pPr>
    </w:p>
    <w:p w14:paraId="67E007CC">
      <w:pPr>
        <w:spacing w:after="0"/>
      </w:pPr>
    </w:p>
    <w:p w14:paraId="7589E2E5">
      <w:pPr>
        <w:spacing w:after="0"/>
      </w:pPr>
    </w:p>
    <w:p w14:paraId="231CD7A6">
      <w:pPr>
        <w:spacing w:after="0"/>
      </w:pPr>
    </w:p>
    <w:p w14:paraId="3593881E">
      <w:pPr>
        <w:spacing w:after="0"/>
      </w:pPr>
    </w:p>
    <w:p w14:paraId="2745EC4D">
      <w:pPr>
        <w:spacing w:after="0"/>
      </w:pPr>
    </w:p>
    <w:p w14:paraId="7245C4B3">
      <w:pPr>
        <w:spacing w:after="0"/>
      </w:pPr>
    </w:p>
    <w:p w14:paraId="1880830A">
      <w:pPr>
        <w:spacing w:after="0"/>
      </w:pPr>
    </w:p>
    <w:p w14:paraId="192E78D4">
      <w:pPr>
        <w:spacing w:after="0"/>
      </w:pPr>
    </w:p>
    <w:p w14:paraId="3BB630FD">
      <w:pPr>
        <w:spacing w:after="0"/>
      </w:pPr>
    </w:p>
    <w:p w14:paraId="3035403F">
      <w:pPr>
        <w:spacing w:after="0"/>
      </w:pPr>
    </w:p>
    <w:p w14:paraId="242FE6FC">
      <w:pPr>
        <w:spacing w:after="0"/>
      </w:pPr>
    </w:p>
    <w:p w14:paraId="76D6A9FB">
      <w:pPr>
        <w:spacing w:after="0"/>
      </w:pPr>
    </w:p>
    <w:p w14:paraId="6A6BF045">
      <w:pPr>
        <w:spacing w:after="0"/>
      </w:pPr>
    </w:p>
    <w:p w14:paraId="52A3C2EC">
      <w:pPr>
        <w:spacing w:after="0"/>
      </w:pPr>
    </w:p>
    <w:p w14:paraId="484001C4">
      <w:pPr>
        <w:spacing w:after="0"/>
      </w:pPr>
    </w:p>
    <w:p w14:paraId="0E47DDC6">
      <w:pPr>
        <w:spacing w:after="0"/>
      </w:pPr>
    </w:p>
    <w:p w14:paraId="359E3AC4">
      <w:pPr>
        <w:spacing w:after="0"/>
      </w:pPr>
    </w:p>
    <w:p w14:paraId="1E5D51ED">
      <w:pPr>
        <w:spacing w:after="0"/>
      </w:pPr>
    </w:p>
    <w:p w14:paraId="78379B67">
      <w:pPr>
        <w:spacing w:after="0"/>
      </w:pPr>
    </w:p>
    <w:p w14:paraId="08523064">
      <w:pPr>
        <w:spacing w:after="0"/>
      </w:pPr>
    </w:p>
    <w:p w14:paraId="409A55FE">
      <w:pPr>
        <w:spacing w:after="0"/>
      </w:pPr>
    </w:p>
    <w:p w14:paraId="0B64680A">
      <w:pPr>
        <w:spacing w:after="0"/>
      </w:pPr>
    </w:p>
    <w:p w14:paraId="4E18F9C2">
      <w:pPr>
        <w:spacing w:after="0"/>
      </w:pPr>
    </w:p>
    <w:p w14:paraId="7F51154C">
      <w:pPr>
        <w:spacing w:after="0"/>
      </w:pPr>
    </w:p>
    <w:p w14:paraId="544983F0">
      <w:pPr>
        <w:pStyle w:val="3"/>
        <w:sectPr>
          <w:headerReference r:id="rId5" w:type="default"/>
          <w:pgSz w:w="11905" w:h="16838"/>
          <w:pgMar w:top="1181" w:right="1181" w:bottom="1181" w:left="1181" w:header="547" w:footer="576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1480"/>
        <w15:color w:val="DBDBDB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/>
          <w:bCs/>
          <w:color w:val="1F4E79"/>
          <w:sz w:val="32"/>
          <w:szCs w:val="28"/>
          <w:lang w:val="en-US" w:eastAsia="en-US" w:bidi="ar-SA"/>
        </w:rPr>
      </w:sdtEndPr>
      <w:sdtContent>
        <w:p w14:paraId="11D0C0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1642EE7D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_Toc25077 </w:instrText>
          </w:r>
          <w:r>
            <w:fldChar w:fldCharType="separate"/>
          </w:r>
          <w:r>
            <w:t>一、测试背景与目标</w:t>
          </w:r>
          <w:r>
            <w:tab/>
          </w:r>
          <w:r>
            <w:fldChar w:fldCharType="begin"/>
          </w:r>
          <w:r>
            <w:instrText xml:space="preserve"> PAGEREF _Toc25077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52D4B27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_Toc8164 </w:instrText>
          </w:r>
          <w:r>
            <w:fldChar w:fldCharType="separate"/>
          </w:r>
          <w:r>
            <w:t>1.1 当前测试基线</w:t>
          </w:r>
          <w:r>
            <w:tab/>
          </w:r>
          <w:r>
            <w:fldChar w:fldCharType="begin"/>
          </w:r>
          <w:r>
            <w:instrText xml:space="preserve"> PAGEREF _Toc8164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425D1A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_Toc738 </w:instrText>
          </w:r>
          <w:r>
            <w:fldChar w:fldCharType="separate"/>
          </w:r>
          <w:r>
            <w:t>1.2 后续测试目标</w:t>
          </w:r>
          <w:r>
            <w:tab/>
          </w:r>
          <w:r>
            <w:fldChar w:fldCharType="begin"/>
          </w:r>
          <w:r>
            <w:instrText xml:space="preserve"> PAGEREF _Toc738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D16326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_Toc23164 </w:instrText>
          </w:r>
          <w:r>
            <w:fldChar w:fldCharType="separate"/>
          </w:r>
          <w:r>
            <w:t>二、测试对象与配置基线</w:t>
          </w:r>
          <w:r>
            <w:tab/>
          </w:r>
          <w:r>
            <w:fldChar w:fldCharType="begin"/>
          </w:r>
          <w:r>
            <w:instrText xml:space="preserve"> PAGEREF _Toc23164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46FC5DB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_Toc3358 </w:instrText>
          </w:r>
          <w:r>
            <w:fldChar w:fldCharType="separate"/>
          </w:r>
          <w:r>
            <w:t>2.1 样机与版本冻结</w:t>
          </w:r>
          <w:r>
            <w:tab/>
          </w:r>
          <w:r>
            <w:fldChar w:fldCharType="begin"/>
          </w:r>
          <w:r>
            <w:instrText xml:space="preserve"> PAGEREF _Toc3358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EA54CD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_Toc22359 </w:instrText>
          </w:r>
          <w:r>
            <w:fldChar w:fldCharType="separate"/>
          </w:r>
          <w:r>
            <w:t>2.2 测试阶段划分</w:t>
          </w:r>
          <w:r>
            <w:tab/>
          </w:r>
          <w:r>
            <w:fldChar w:fldCharType="begin"/>
          </w:r>
          <w:r>
            <w:instrText xml:space="preserve"> PAGEREF _Toc22359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32591D2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_Toc26370 </w:instrText>
          </w:r>
          <w:r>
            <w:fldChar w:fldCharType="separate"/>
          </w:r>
          <w:r>
            <w:t>三、测试环境与安全要求</w:t>
          </w:r>
          <w:r>
            <w:tab/>
          </w:r>
          <w:r>
            <w:fldChar w:fldCharType="begin"/>
          </w:r>
          <w:r>
            <w:instrText xml:space="preserve"> PAGEREF _Toc26370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89E6CF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_Toc28396 </w:instrText>
          </w:r>
          <w:r>
            <w:fldChar w:fldCharType="separate"/>
          </w:r>
          <w:r>
            <w:t>3.1 室内火焰测试环境</w:t>
          </w:r>
          <w:r>
            <w:tab/>
          </w:r>
          <w:r>
            <w:fldChar w:fldCharType="begin"/>
          </w:r>
          <w:r>
            <w:instrText xml:space="preserve"> PAGEREF _Toc28396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B7319E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_Toc27811 </w:instrText>
          </w:r>
          <w:r>
            <w:fldChar w:fldCharType="separate"/>
          </w:r>
          <w:r>
            <w:t>3.2 户外太阳光环境</w:t>
          </w:r>
          <w:r>
            <w:tab/>
          </w:r>
          <w:r>
            <w:fldChar w:fldCharType="begin"/>
          </w:r>
          <w:r>
            <w:instrText xml:space="preserve"> PAGEREF _Toc27811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A13EA6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_Toc17549 </w:instrText>
          </w:r>
          <w:r>
            <w:fldChar w:fldCharType="separate"/>
          </w:r>
          <w:r>
            <w:t>3.3 安全与试验中止条件</w:t>
          </w:r>
          <w:r>
            <w:tab/>
          </w:r>
          <w:r>
            <w:fldChar w:fldCharType="begin"/>
          </w:r>
          <w:r>
            <w:instrText xml:space="preserve"> PAGEREF _Toc17549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7097B6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_Toc21839 </w:instrText>
          </w:r>
          <w:r>
            <w:fldChar w:fldCharType="separate"/>
          </w:r>
          <w:r>
            <w:t>四、设备与材料</w:t>
          </w:r>
          <w:r>
            <w:tab/>
          </w:r>
          <w:r>
            <w:fldChar w:fldCharType="begin"/>
          </w:r>
          <w:r>
            <w:instrText xml:space="preserve"> PAGEREF _Toc21839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E849EA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_Toc30322 </w:instrText>
          </w:r>
          <w:r>
            <w:fldChar w:fldCharType="separate"/>
          </w:r>
          <w:r>
            <w:t>五、数据记录与统一判定</w:t>
          </w:r>
          <w:r>
            <w:tab/>
          </w:r>
          <w:r>
            <w:fldChar w:fldCharType="begin"/>
          </w:r>
          <w:r>
            <w:instrText xml:space="preserve"> PAGEREF _Toc30322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773141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_Toc511 </w:instrText>
          </w:r>
          <w:r>
            <w:fldChar w:fldCharType="separate"/>
          </w:r>
          <w:r>
            <w:t>5.1 必须记录的数据</w:t>
          </w:r>
          <w:r>
            <w:tab/>
          </w:r>
          <w:r>
            <w:fldChar w:fldCharType="begin"/>
          </w:r>
          <w:r>
            <w:instrText xml:space="preserve"> PAGEREF _Toc511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20B5DC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_Toc5862 </w:instrText>
          </w:r>
          <w:r>
            <w:fldChar w:fldCharType="separate"/>
          </w:r>
          <w:r>
            <w:t>5.2 时间定义</w:t>
          </w:r>
          <w:r>
            <w:tab/>
          </w:r>
          <w:r>
            <w:fldChar w:fldCharType="begin"/>
          </w:r>
          <w:r>
            <w:instrText xml:space="preserve"> PAGEREF _Toc5862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418C54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_Toc25659 </w:instrText>
          </w:r>
          <w:r>
            <w:fldChar w:fldCharType="separate"/>
          </w:r>
          <w:r>
            <w:t>5.3 工程验收原则</w:t>
          </w:r>
          <w:r>
            <w:tab/>
          </w:r>
          <w:r>
            <w:fldChar w:fldCharType="begin"/>
          </w:r>
          <w:r>
            <w:instrText xml:space="preserve"> PAGEREF _Toc25659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F4A613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_Toc15 </w:instrText>
          </w:r>
          <w:r>
            <w:fldChar w:fldCharType="separate"/>
          </w:r>
          <w:r>
            <w:t>六、统一执行流程</w:t>
          </w:r>
          <w:r>
            <w:tab/>
          </w:r>
          <w:r>
            <w:fldChar w:fldCharType="begin"/>
          </w:r>
          <w:r>
            <w:instrText xml:space="preserve"> PAGEREF _Toc15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634CA6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_Toc26950 </w:instrText>
          </w:r>
          <w:r>
            <w:fldChar w:fldCharType="separate"/>
          </w:r>
          <w:r>
            <w:t>七、测试项目优先级</w:t>
          </w:r>
          <w:r>
            <w:tab/>
          </w:r>
          <w:r>
            <w:fldChar w:fldCharType="begin"/>
          </w:r>
          <w:r>
            <w:instrText xml:space="preserve"> PAGEREF _Toc26950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6B2060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_Toc24312 </w:instrText>
          </w:r>
          <w:r>
            <w:fldChar w:fldCharType="separate"/>
          </w:r>
          <w:r>
            <w:t>八、详细测试项目</w:t>
          </w:r>
          <w:r>
            <w:tab/>
          </w:r>
          <w:r>
            <w:fldChar w:fldCharType="begin"/>
          </w:r>
          <w:r>
            <w:instrText xml:space="preserve"> PAGEREF _Toc24312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5475A4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_Toc29584 </w:instrText>
          </w:r>
          <w:r>
            <w:fldChar w:fldCharType="separate"/>
          </w:r>
          <w:r>
            <w:t>8.1 SUN：户外太阳光与模拟日光</w:t>
          </w:r>
          <w:r>
            <w:tab/>
          </w:r>
          <w:r>
            <w:fldChar w:fldCharType="begin"/>
          </w:r>
          <w:r>
            <w:instrText xml:space="preserve"> PAGEREF _Toc29584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8C4E66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_Toc30642 </w:instrText>
          </w:r>
          <w:r>
            <w:fldChar w:fldCharType="separate"/>
          </w:r>
          <w:r>
            <w:t>8.2 LGT：人工灯光干扰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9BE61E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_Toc31927 </w:instrText>
          </w:r>
          <w:r>
            <w:fldChar w:fldCharType="separate"/>
          </w:r>
          <w:r>
            <w:t>8.3 HOT：热源干扰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550D65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_Toc29653 </w:instrText>
          </w:r>
          <w:r>
            <w:fldChar w:fldCharType="separate"/>
          </w:r>
          <w:r>
            <w:t>8.4 FIR：真实火焰响应与距离边界</w:t>
          </w:r>
          <w:r>
            <w:tab/>
          </w:r>
          <w:r>
            <w:fldChar w:fldCharType="begin"/>
          </w:r>
          <w:r>
            <w:instrText xml:space="preserve"> PAGEREF _Toc29653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28F9AD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_Toc3239 </w:instrText>
          </w:r>
          <w:r>
            <w:fldChar w:fldCharType="separate"/>
          </w:r>
          <w:r>
            <w:t>8.5 ANG：30 cm火盆距离—角度专项</w:t>
          </w:r>
          <w:r>
            <w:tab/>
          </w:r>
          <w:r>
            <w:fldChar w:fldCharType="begin"/>
          </w:r>
          <w:r>
            <w:instrText xml:space="preserve"> PAGEREF _Toc3239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53697B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_Toc21922 </w:instrText>
          </w:r>
          <w:r>
            <w:fldChar w:fldCharType="separate"/>
          </w:r>
          <w:r>
            <w:t>8.6 LTR：打火机及瞬态干扰</w:t>
          </w:r>
          <w:r>
            <w:tab/>
          </w:r>
          <w:r>
            <w:fldChar w:fldCharType="begin"/>
          </w:r>
          <w:r>
            <w:instrText xml:space="preserve"> PAGEREF _Toc21922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CE2884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_Toc22161 </w:instrText>
          </w:r>
          <w:r>
            <w:fldChar w:fldCharType="separate"/>
          </w:r>
          <w:r>
            <w:t>8.7 SEN：灵敏度与边界扫描</w:t>
          </w:r>
          <w:r>
            <w:tab/>
          </w:r>
          <w:r>
            <w:fldChar w:fldCharType="begin"/>
          </w:r>
          <w:r>
            <w:instrText xml:space="preserve"> PAGEREF _Toc22161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6C3E19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t>8.8 CMB：组合场景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844016">
          <w:pPr>
            <w:pStyle w:val="29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_Toc4826 </w:instrText>
          </w:r>
          <w:r>
            <w:fldChar w:fldCharType="separate"/>
          </w:r>
          <w:r>
            <w:t>8.9 REL：长期稳定与人工复位</w:t>
          </w:r>
          <w:r>
            <w:tab/>
          </w:r>
          <w:r>
            <w:fldChar w:fldCharType="begin"/>
          </w:r>
          <w:r>
            <w:instrText xml:space="preserve"> PAGEREF _Toc4826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7BACC0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_Toc23835 </w:instrText>
          </w:r>
          <w:r>
            <w:fldChar w:fldCharType="separate"/>
          </w:r>
          <w:r>
            <w:t>九、问题定位与参数调整规则</w:t>
          </w:r>
          <w:r>
            <w:tab/>
          </w:r>
          <w:r>
            <w:fldChar w:fldCharType="begin"/>
          </w:r>
          <w:r>
            <w:instrText xml:space="preserve"> PAGEREF _Toc23835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5A0D58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_Toc9513 </w:instrText>
          </w:r>
          <w:r>
            <w:fldChar w:fldCharType="separate"/>
          </w:r>
          <w:r>
            <w:t>十、推荐执行顺序</w:t>
          </w:r>
          <w:r>
            <w:tab/>
          </w:r>
          <w:r>
            <w:fldChar w:fldCharType="begin"/>
          </w:r>
          <w:r>
            <w:instrText xml:space="preserve"> PAGEREF _Toc9513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3512D5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_Toc2301 </w:instrText>
          </w:r>
          <w:r>
            <w:fldChar w:fldCharType="separate"/>
          </w:r>
          <w:r>
            <w:t>十一、单次测试记录表</w:t>
          </w:r>
          <w:r>
            <w:tab/>
          </w:r>
          <w:r>
            <w:fldChar w:fldCharType="begin"/>
          </w:r>
          <w:r>
            <w:instrText xml:space="preserve"> PAGEREF _Toc2301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BC314B">
          <w:pPr>
            <w:pStyle w:val="26"/>
            <w:tabs>
              <w:tab w:val="right" w:leader="dot" w:pos="9543"/>
            </w:tabs>
          </w:pPr>
          <w:r>
            <w:fldChar w:fldCharType="begin"/>
          </w:r>
          <w:r>
            <w:instrText xml:space="preserve"> HYPERLINK \l _Toc22587 </w:instrText>
          </w:r>
          <w:r>
            <w:fldChar w:fldCharType="separate"/>
          </w:r>
          <w:r>
            <w:t>十二、测试完成判定</w:t>
          </w:r>
          <w:r>
            <w:tab/>
          </w:r>
          <w:r>
            <w:fldChar w:fldCharType="begin"/>
          </w:r>
          <w:r>
            <w:instrText xml:space="preserve"> PAGEREF _Toc22587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BAF4FD">
          <w:pPr>
            <w:pStyle w:val="3"/>
            <w:rPr>
              <w:rFonts w:asciiTheme="majorHAnsi" w:hAnsiTheme="majorHAnsi" w:eastAsiaTheme="majorEastAsia" w:cstheme="majorBidi"/>
              <w:b/>
              <w:bCs/>
              <w:color w:val="1F4E79"/>
              <w:sz w:val="32"/>
              <w:szCs w:val="28"/>
              <w:lang w:val="en-US" w:eastAsia="en-US" w:bidi="ar-SA"/>
            </w:rPr>
          </w:pPr>
          <w:r>
            <w:fldChar w:fldCharType="end"/>
          </w:r>
        </w:p>
      </w:sdtContent>
    </w:sdt>
    <w:p w14:paraId="07128F14">
      <w:pPr>
        <w:sectPr>
          <w:pgSz w:w="11905" w:h="16838"/>
          <w:pgMar w:top="1181" w:right="1181" w:bottom="1181" w:left="1181" w:header="547" w:footer="576" w:gutter="0"/>
          <w:cols w:space="720" w:num="1"/>
          <w:docGrid w:linePitch="360" w:charSpace="0"/>
        </w:sectPr>
      </w:pPr>
    </w:p>
    <w:p w14:paraId="685A92CA">
      <w:pPr>
        <w:pStyle w:val="3"/>
      </w:pPr>
      <w:bookmarkStart w:id="0" w:name="_Toc25077"/>
      <w:r>
        <w:t>一、测试背景与目标</w:t>
      </w:r>
      <w:bookmarkEnd w:id="0"/>
    </w:p>
    <w:p w14:paraId="65540FDF">
      <w:pPr>
        <w:pStyle w:val="4"/>
      </w:pPr>
      <w:bookmarkStart w:id="1" w:name="_Toc8164"/>
      <w:r>
        <w:t>1.1 当前测试基线</w:t>
      </w:r>
      <w:bookmarkEnd w:id="1"/>
    </w:p>
    <w:p w14:paraId="0F1FD12D">
      <w:pPr>
        <w:ind w:firstLine="360"/>
      </w:pPr>
      <w:r>
        <w:rPr>
          <w:rFonts w:ascii="Calibri" w:hAnsi="Calibri" w:eastAsia="宋体"/>
          <w:sz w:val="20"/>
        </w:rPr>
        <w:t>当前样机已完成四类初步测试，说明红外、紫外及点火包络分类已经具备基本可用性。这些结果属于工程摸底，不等同于重复性、边界性和标准符合性验证。后续测试应固定固件、参数和镜片版本，以统一数据口径扩大燃料、距离及干扰场景覆盖。</w:t>
      </w:r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0878D47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25D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已测项目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DECB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条件</w:t>
            </w:r>
          </w:p>
        </w:tc>
        <w:tc>
          <w:tcPr>
            <w:tcW w:w="25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C1EF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当前结果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7E72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后续需要确认</w:t>
            </w:r>
          </w:p>
        </w:tc>
      </w:tr>
      <w:tr w14:paraId="3533423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9843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打火机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F235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不同点火过程，近距离为主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700F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可较好识别打火机瞬态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4DB9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增加距离、持续点燃和重复点火矩阵，确认误报边界</w:t>
            </w:r>
          </w:p>
        </w:tc>
      </w:tr>
      <w:tr w14:paraId="18B9569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EA5F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卤素灯</w:t>
            </w:r>
          </w:p>
        </w:tc>
        <w:tc>
          <w:tcPr>
            <w:tcW w:w="194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FD06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连续照射约30分钟</w:t>
            </w:r>
          </w:p>
        </w:tc>
        <w:tc>
          <w:tcPr>
            <w:tcW w:w="252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11C8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未产生最终报警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9D5F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补充照度、距离、闪烁和“卤素灯+真实火焰”测试</w:t>
            </w:r>
          </w:p>
        </w:tc>
      </w:tr>
      <w:tr w14:paraId="41E01DF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308D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工业酒精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E141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 cm、30 cm火盆，距离约2 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7FF8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正常燃烧可识别；后期极小火焰可能低于进场阈值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B037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建立火盆尺寸、距离、火焰阶段和最小可探测能量边界</w:t>
            </w:r>
          </w:p>
        </w:tc>
      </w:tr>
      <w:tr w14:paraId="36E5C4D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D340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</w:t>
            </w:r>
          </w:p>
        </w:tc>
        <w:tc>
          <w:tcPr>
            <w:tcW w:w="194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2F9B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当前等级5</w:t>
            </w:r>
          </w:p>
        </w:tc>
        <w:tc>
          <w:tcPr>
            <w:tcW w:w="252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74B9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UV已到FIRE；IR距确认约200 ms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B770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等级5重复验证，并向等级4、3确认稳定触发边界</w:t>
            </w:r>
          </w:p>
        </w:tc>
      </w:tr>
      <w:tr w14:paraId="4C6CEEB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1238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户外太阳光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2363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尚未测试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4D0B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无结论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EDA9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列为最高优先级，覆盖静态直射、角度、遮挡闪烁和阳光下真火</w:t>
            </w:r>
          </w:p>
        </w:tc>
      </w:tr>
    </w:tbl>
    <w:p w14:paraId="46731A19">
      <w:pPr>
        <w:spacing w:after="0"/>
      </w:pPr>
    </w:p>
    <w:tbl>
      <w:tblPr>
        <w:tblStyle w:val="34"/>
        <w:tblW w:w="0" w:type="auto"/>
        <w:jc w:val="center"/>
        <w:tblBorders>
          <w:top w:val="single" w:color="9A6700" w:sz="8" w:space="0"/>
          <w:left w:val="single" w:color="9A6700" w:sz="8" w:space="0"/>
          <w:bottom w:val="single" w:color="9A6700" w:sz="8" w:space="0"/>
          <w:right w:val="single" w:color="9A6700" w:sz="8" w:space="0"/>
          <w:insideH w:val="single" w:color="9A6700" w:sz="8" w:space="0"/>
          <w:insideV w:val="single" w:color="9A67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529A55F1">
        <w:tblPrEx>
          <w:tblBorders>
            <w:top w:val="single" w:color="9A6700" w:sz="8" w:space="0"/>
            <w:left w:val="single" w:color="9A6700" w:sz="8" w:space="0"/>
            <w:bottom w:val="single" w:color="9A6700" w:sz="8" w:space="0"/>
            <w:right w:val="single" w:color="9A6700" w:sz="8" w:space="0"/>
            <w:insideH w:val="single" w:color="9A6700" w:sz="8" w:space="0"/>
            <w:insideV w:val="single" w:color="9A67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FFF4C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9DBC1">
            <w:pPr>
              <w:spacing w:after="40"/>
            </w:pPr>
            <w:r>
              <w:rPr>
                <w:rFonts w:ascii="Calibri" w:hAnsi="Calibri" w:eastAsia="微软雅黑"/>
                <w:b/>
                <w:color w:val="9A6700"/>
                <w:sz w:val="18"/>
              </w:rPr>
              <w:t>等级方向</w:t>
            </w:r>
          </w:p>
          <w:p w14:paraId="5039A385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当前算法中等级0最灵敏、等级9最迟钝。本文所称“提高灵敏度”是将等级数值调小，例如由5调整为4或3；不得把“降低等级数值”和“降低灵敏度”混为一谈。</w:t>
            </w:r>
          </w:p>
        </w:tc>
      </w:tr>
    </w:tbl>
    <w:p w14:paraId="298243DF">
      <w:pPr>
        <w:spacing w:after="0"/>
      </w:pPr>
    </w:p>
    <w:p w14:paraId="515F003F">
      <w:pPr>
        <w:pStyle w:val="4"/>
      </w:pPr>
      <w:bookmarkStart w:id="2" w:name="_Toc738"/>
      <w:r>
        <w:t>1.2 后续测试目标</w:t>
      </w:r>
      <w:bookmarkEnd w:id="2"/>
    </w:p>
    <w:p w14:paraId="60016CD9">
      <w:pPr>
        <w:pStyle w:val="16"/>
      </w:pPr>
      <w:r>
        <w:rPr>
          <w:rFonts w:ascii="Calibri" w:hAnsi="Calibri" w:eastAsia="宋体"/>
          <w:sz w:val="20"/>
        </w:rPr>
        <w:t>完成最终能力目标验证：30 cm火盆在35 m距离、115°总视场范围内能够被稳定识别。</w:t>
      </w:r>
    </w:p>
    <w:p w14:paraId="679A7CF9">
      <w:pPr>
        <w:pStyle w:val="16"/>
      </w:pPr>
      <w:r>
        <w:rPr>
          <w:rFonts w:ascii="Calibri" w:hAnsi="Calibri" w:eastAsia="宋体"/>
          <w:sz w:val="20"/>
        </w:rPr>
        <w:t>验证不同燃料、火盆尺寸、距离和燃烧阶段下的探测能力，确定最小可靠火焰边界。</w:t>
      </w:r>
    </w:p>
    <w:p w14:paraId="7F192646">
      <w:pPr>
        <w:pStyle w:val="16"/>
      </w:pPr>
      <w:r>
        <w:rPr>
          <w:rFonts w:ascii="Calibri" w:hAnsi="Calibri" w:eastAsia="宋体"/>
          <w:sz w:val="20"/>
        </w:rPr>
        <w:t>验证阳光、人工光、热源及其动态变化不会形成最终误报警。</w:t>
      </w:r>
    </w:p>
    <w:p w14:paraId="5DB114C6">
      <w:pPr>
        <w:pStyle w:val="16"/>
      </w:pPr>
      <w:r>
        <w:rPr>
          <w:rFonts w:ascii="Calibri" w:hAnsi="Calibri" w:eastAsia="宋体"/>
          <w:sz w:val="20"/>
        </w:rPr>
        <w:t>验证干扰背景下真实火焰仍可被红外与紫外共同确认。</w:t>
      </w:r>
    </w:p>
    <w:p w14:paraId="67521A29">
      <w:pPr>
        <w:pStyle w:val="16"/>
      </w:pPr>
      <w:r>
        <w:rPr>
          <w:rFonts w:ascii="Calibri" w:hAnsi="Calibri" w:eastAsia="宋体"/>
          <w:sz w:val="20"/>
        </w:rPr>
        <w:t>验证打火机瞬态的初始分类与报警结果；分类后的自动升级、释放和恢复逻辑暂不纳入本轮测试。</w:t>
      </w:r>
    </w:p>
    <w:p w14:paraId="4B3593E6">
      <w:pPr>
        <w:pStyle w:val="16"/>
      </w:pPr>
      <w:r>
        <w:rPr>
          <w:rFonts w:ascii="Calibri" w:hAnsi="Calibri" w:eastAsia="宋体"/>
          <w:sz w:val="20"/>
        </w:rPr>
        <w:t>形成参数冻结前的特征数据库，并建立参数修改后的固定回归矩阵。</w:t>
      </w:r>
    </w:p>
    <w:p w14:paraId="06479D6F">
      <w:pPr>
        <w:pStyle w:val="3"/>
      </w:pPr>
      <w:bookmarkStart w:id="3" w:name="_Toc23164"/>
      <w:r>
        <w:t>二、测试对象与配置基线</w:t>
      </w:r>
      <w:bookmarkEnd w:id="3"/>
    </w:p>
    <w:p w14:paraId="458AB35E">
      <w:pPr>
        <w:pStyle w:val="4"/>
      </w:pPr>
      <w:bookmarkStart w:id="4" w:name="_Toc3358"/>
      <w:r>
        <w:t>2.1 样机与版本冻结</w:t>
      </w:r>
      <w:bookmarkEnd w:id="4"/>
    </w:p>
    <w:p w14:paraId="6F13234C">
      <w:pPr>
        <w:ind w:firstLine="360"/>
      </w:pPr>
      <w:r>
        <w:rPr>
          <w:rFonts w:ascii="Calibri" w:hAnsi="Calibri" w:eastAsia="宋体"/>
          <w:sz w:val="20"/>
        </w:rPr>
        <w:t>每轮正式测试必须为样机建立唯一编号，并记录硬件版本、传感器批次、镜片编号与透过率、固件版本、参数区版本、供电电压和安装方式。更换镜片、传感器、放大电路或参数后，视为新的配置基线，不得与旧数据直接合并计算通过率。</w:t>
      </w:r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181"/>
        <w:gridCol w:w="3181"/>
      </w:tblGrid>
      <w:tr w14:paraId="3FD75A8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0267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项目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79CE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当前默认/基线</w:t>
            </w:r>
          </w:p>
        </w:tc>
        <w:tc>
          <w:tcPr>
            <w:tcW w:w="460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3B37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测试前要求</w:t>
            </w:r>
          </w:p>
        </w:tc>
      </w:tr>
      <w:tr w14:paraId="6B60C4E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2352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灵敏度等级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B528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等级5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A956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记录IR和UV实际等级；代表性扫描使用0/3/5/7/9</w:t>
            </w:r>
          </w:p>
        </w:tc>
      </w:tr>
      <w:tr w14:paraId="20DC261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6DD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IR等级5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664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ON约17555；OFF约7022；确认约1755 ms</w:t>
            </w:r>
          </w:p>
        </w:tc>
        <w:tc>
          <w:tcPr>
            <w:tcW w:w="460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D59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通过设备参数查询确认EEPROM实际值</w:t>
            </w:r>
          </w:p>
        </w:tc>
      </w:tr>
      <w:tr w14:paraId="57B3E41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CA3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IR固定特征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6C08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光谱比1.5/1.3；闪烁1~20 Hz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5405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记录ZCR死区和手动标定日期</w:t>
            </w:r>
          </w:p>
        </w:tc>
      </w:tr>
      <w:tr w14:paraId="32D3530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C3AD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UV等级5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E3F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阈值15；窗口约2388 ms；确认约1944 ms</w:t>
            </w:r>
          </w:p>
        </w:tc>
        <w:tc>
          <w:tcPr>
            <w:tcW w:w="460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6A4A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确认有效脉宽范围和实际参数</w:t>
            </w:r>
          </w:p>
        </w:tc>
      </w:tr>
      <w:tr w14:paraId="3A22292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7C7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最终报警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0054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IR FIRE且UV FIRE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756F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同时记录两个单通道状态，不能只记录最终输出</w:t>
            </w:r>
          </w:p>
        </w:tc>
      </w:tr>
      <w:tr w14:paraId="0A4E1B3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90A4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报警结束方式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1D5B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本轮不评价自动恢复</w:t>
            </w:r>
          </w:p>
        </w:tc>
        <w:tc>
          <w:tcPr>
            <w:tcW w:w="460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2714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报警后由外部人为干预或RST脚复位</w:t>
            </w:r>
          </w:p>
        </w:tc>
      </w:tr>
    </w:tbl>
    <w:p w14:paraId="0800D5D0">
      <w:pPr>
        <w:spacing w:after="0"/>
      </w:pPr>
    </w:p>
    <w:tbl>
      <w:tblPr>
        <w:tblStyle w:val="34"/>
        <w:tblW w:w="0" w:type="auto"/>
        <w:jc w:val="center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5642E839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FDECE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1A8CD">
            <w:pPr>
              <w:spacing w:after="40"/>
            </w:pPr>
            <w:r>
              <w:rPr>
                <w:rFonts w:ascii="Calibri" w:hAnsi="Calibri" w:eastAsia="微软雅黑"/>
                <w:b/>
                <w:color w:val="9B1C1C"/>
                <w:sz w:val="18"/>
              </w:rPr>
              <w:t>参数快照要求</w:t>
            </w:r>
          </w:p>
          <w:p w14:paraId="11AA1D52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正式测试开始前导出一次完整参数；测试过程中禁止临时修改参数。若因问题定位必须调参，应结束当前测试编号，建立新版本后重新执行。</w:t>
            </w:r>
          </w:p>
        </w:tc>
      </w:tr>
    </w:tbl>
    <w:p w14:paraId="14FE5110">
      <w:pPr>
        <w:spacing w:after="0"/>
      </w:pPr>
    </w:p>
    <w:tbl>
      <w:tblPr>
        <w:tblStyle w:val="34"/>
        <w:tblW w:w="0" w:type="auto"/>
        <w:jc w:val="center"/>
        <w:tblBorders>
          <w:top w:val="single" w:color="9A6700" w:sz="8" w:space="0"/>
          <w:left w:val="single" w:color="9A6700" w:sz="8" w:space="0"/>
          <w:bottom w:val="single" w:color="9A6700" w:sz="8" w:space="0"/>
          <w:right w:val="single" w:color="9A6700" w:sz="8" w:space="0"/>
          <w:insideH w:val="single" w:color="9A6700" w:sz="8" w:space="0"/>
          <w:insideV w:val="single" w:color="9A67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50460B12">
        <w:tblPrEx>
          <w:tblBorders>
            <w:top w:val="single" w:color="9A6700" w:sz="8" w:space="0"/>
            <w:left w:val="single" w:color="9A6700" w:sz="8" w:space="0"/>
            <w:bottom w:val="single" w:color="9A6700" w:sz="8" w:space="0"/>
            <w:right w:val="single" w:color="9A6700" w:sz="8" w:space="0"/>
            <w:insideH w:val="single" w:color="9A6700" w:sz="8" w:space="0"/>
            <w:insideV w:val="single" w:color="9A67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FFF4C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D9922">
            <w:pPr>
              <w:spacing w:after="40"/>
            </w:pPr>
            <w:r>
              <w:rPr>
                <w:rFonts w:ascii="Calibri" w:hAnsi="Calibri" w:eastAsia="微软雅黑"/>
                <w:b/>
                <w:color w:val="9A6700"/>
                <w:sz w:val="18"/>
              </w:rPr>
              <w:t>恢复逻辑范围</w:t>
            </w:r>
          </w:p>
          <w:p w14:paraId="4B018C73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本轮测试暂不评价报警自动清除、自动退回IDLE或自动重新布防。一旦进入最终报警，完成数据记录后仅通过外部人为干预或RST脚复位结束本次测试；自动恢复相关项目统一标记为待定。</w:t>
            </w:r>
          </w:p>
        </w:tc>
      </w:tr>
    </w:tbl>
    <w:p w14:paraId="34B895CF">
      <w:pPr>
        <w:spacing w:after="0"/>
      </w:pPr>
    </w:p>
    <w:p w14:paraId="22B17C71">
      <w:pPr>
        <w:pStyle w:val="4"/>
      </w:pPr>
      <w:bookmarkStart w:id="5" w:name="_Toc22359"/>
      <w:r>
        <w:t>2.2 测试阶段划分</w:t>
      </w:r>
      <w:bookmarkEnd w:id="5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072AC5A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92D7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阶段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B644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目的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B698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建议重复次数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FA69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结果处理</w:t>
            </w:r>
          </w:p>
        </w:tc>
      </w:tr>
      <w:tr w14:paraId="74F3F75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5D51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特征摸底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AC22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寻找能量、比例、频率、脉冲数和响应时间分布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814A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每个点至少5次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B7CB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允许无合格判据，但必须保留原始日志</w:t>
            </w:r>
          </w:p>
        </w:tc>
      </w:tr>
      <w:tr w14:paraId="2500D5A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8921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边界确认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CE4B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在距离、尺寸或等级临界点附近确认稳定性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CFC5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每个点至少10次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59AC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报告成功率、最大/中位响应时间</w:t>
            </w:r>
          </w:p>
        </w:tc>
      </w:tr>
      <w:tr w14:paraId="0652D16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90A4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冻结回归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BD70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参数冻结后验证既有火焰与干扰场景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DA48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核心点每项10次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5CB2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按统一验收条件给出通过/失败</w:t>
            </w:r>
          </w:p>
        </w:tc>
      </w:tr>
      <w:tr w14:paraId="56CF4ED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4DD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长期稳定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BD0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评估漂移、误报和缓冲/状态机长期行为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7D7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8小时或24小时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2F7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记录异常状态；不执行自动恢复验收</w:t>
            </w:r>
          </w:p>
        </w:tc>
      </w:tr>
    </w:tbl>
    <w:p w14:paraId="064FCD9D">
      <w:pPr>
        <w:spacing w:after="0"/>
      </w:pPr>
    </w:p>
    <w:p w14:paraId="7FD1C601">
      <w:pPr>
        <w:pStyle w:val="3"/>
      </w:pPr>
      <w:bookmarkStart w:id="6" w:name="_Toc26370"/>
      <w:r>
        <w:t>三、测试环境与安全要求</w:t>
      </w:r>
      <w:bookmarkEnd w:id="6"/>
    </w:p>
    <w:p w14:paraId="676961FF">
      <w:pPr>
        <w:pStyle w:val="4"/>
      </w:pPr>
      <w:bookmarkStart w:id="7" w:name="_Toc28396"/>
      <w:r>
        <w:t>3.1 室内火焰测试环境</w:t>
      </w:r>
      <w:bookmarkEnd w:id="7"/>
    </w:p>
    <w:p w14:paraId="45655C6A">
      <w:pPr>
        <w:pStyle w:val="16"/>
      </w:pPr>
      <w:r>
        <w:rPr>
          <w:rFonts w:ascii="Calibri" w:hAnsi="Calibri" w:eastAsia="宋体"/>
          <w:sz w:val="20"/>
        </w:rPr>
        <w:t>使用可控、通风良好且具备明火试验条件的场地；探测器与火源之间无遮挡。</w:t>
      </w:r>
    </w:p>
    <w:p w14:paraId="1CD04BEE">
      <w:pPr>
        <w:pStyle w:val="16"/>
      </w:pPr>
      <w:r>
        <w:rPr>
          <w:rFonts w:ascii="Calibri" w:hAnsi="Calibri" w:eastAsia="宋体"/>
          <w:sz w:val="20"/>
        </w:rPr>
        <w:t>探测器镜头中心与火源主要辐射区域基本等高，固定光轴，不手持样机。</w:t>
      </w:r>
    </w:p>
    <w:p w14:paraId="178AD548">
      <w:pPr>
        <w:pStyle w:val="16"/>
      </w:pPr>
      <w:r>
        <w:rPr>
          <w:rFonts w:ascii="Calibri" w:hAnsi="Calibri" w:eastAsia="宋体"/>
          <w:sz w:val="20"/>
        </w:rPr>
        <w:t>背景采用低反射、非燃材料；移除镜面、玻璃和大面积金属反射面，或将其作为单独变量记录。</w:t>
      </w:r>
    </w:p>
    <w:p w14:paraId="75EDEA3B">
      <w:pPr>
        <w:pStyle w:val="16"/>
      </w:pPr>
      <w:r>
        <w:rPr>
          <w:rFonts w:ascii="Calibri" w:hAnsi="Calibri" w:eastAsia="宋体"/>
          <w:sz w:val="20"/>
        </w:rPr>
        <w:t>30 cm火盆远距离专项需要不小于40 m的直线测试通道；35 m测距以镜头光学中心到火盆中心为准。</w:t>
      </w:r>
    </w:p>
    <w:p w14:paraId="755DACE0">
      <w:pPr>
        <w:pStyle w:val="16"/>
      </w:pPr>
      <w:r>
        <w:rPr>
          <w:rFonts w:ascii="Calibri" w:hAnsi="Calibri" w:eastAsia="宋体"/>
          <w:sz w:val="20"/>
        </w:rPr>
        <w:t>基准场景建议温度20±5 ℃、相对湿度20%~80%、光路横向风速不高于0.5 m/s；超出时记录实测值。</w:t>
      </w:r>
    </w:p>
    <w:p w14:paraId="0DCE349C">
      <w:pPr>
        <w:pStyle w:val="16"/>
      </w:pPr>
      <w:r>
        <w:rPr>
          <w:rFonts w:ascii="Calibri" w:hAnsi="Calibri" w:eastAsia="宋体"/>
          <w:sz w:val="20"/>
        </w:rPr>
        <w:t>近距离通用火焰测试使用1 m、2 m、3 m、5 m；30 cm火盆专项使用5~35 m测试轨道，最大距离不得小于35 m。</w:t>
      </w:r>
    </w:p>
    <w:p w14:paraId="225D2EF5">
      <w:pPr>
        <w:pStyle w:val="16"/>
      </w:pPr>
      <w:r>
        <w:rPr>
          <w:rFonts w:ascii="Calibri" w:hAnsi="Calibri" w:eastAsia="宋体"/>
          <w:sz w:val="20"/>
        </w:rPr>
        <w:t>115°按总视场角定义：光轴为0°，左右边界分别为-57.5°和+57.5°；通过旋转探测器改变角度，火源位置和距离保持不变。</w:t>
      </w:r>
    </w:p>
    <w:p w14:paraId="4EC8B94E">
      <w:pPr>
        <w:pStyle w:val="16"/>
      </w:pPr>
      <w:r>
        <w:rPr>
          <w:rFonts w:ascii="Calibri" w:hAnsi="Calibri" w:eastAsia="宋体"/>
          <w:sz w:val="20"/>
        </w:rPr>
        <w:t>每次点火前记录环境照度、背景温度、风速、火盆尺寸、燃料种类和火焰稳定时间。</w:t>
      </w:r>
    </w:p>
    <w:p w14:paraId="303ACC75">
      <w:pPr>
        <w:spacing w:after="40"/>
        <w:jc w:val="center"/>
      </w:pPr>
      <w:r>
        <w:drawing>
          <wp:inline distT="0" distB="0" distL="114300" distR="114300">
            <wp:extent cx="5806440" cy="22834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F99C">
      <w:pPr>
        <w:pStyle w:val="166"/>
        <w:jc w:val="center"/>
      </w:pPr>
      <w:r>
        <w:rPr>
          <w:rFonts w:ascii="Calibri" w:hAnsi="Calibri" w:eastAsia="宋体"/>
          <w:color w:val="667085"/>
          <w:sz w:val="17"/>
        </w:rPr>
        <w:t>图1  室内基准测试布置</w:t>
      </w:r>
    </w:p>
    <w:tbl>
      <w:tblPr>
        <w:tblStyle w:val="34"/>
        <w:tblW w:w="0" w:type="auto"/>
        <w:jc w:val="center"/>
        <w:tblBorders>
          <w:top w:val="single" w:color="2F75B5" w:sz="8" w:space="0"/>
          <w:left w:val="single" w:color="2F75B5" w:sz="8" w:space="0"/>
          <w:bottom w:val="single" w:color="2F75B5" w:sz="8" w:space="0"/>
          <w:right w:val="single" w:color="2F75B5" w:sz="8" w:space="0"/>
          <w:insideH w:val="single" w:color="2F75B5" w:sz="8" w:space="0"/>
          <w:insideV w:val="single" w:color="2F75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53192E77">
        <w:tblPrEx>
          <w:tblBorders>
            <w:top w:val="single" w:color="2F75B5" w:sz="8" w:space="0"/>
            <w:left w:val="single" w:color="2F75B5" w:sz="8" w:space="0"/>
            <w:bottom w:val="single" w:color="2F75B5" w:sz="8" w:space="0"/>
            <w:right w:val="single" w:color="2F75B5" w:sz="8" w:space="0"/>
            <w:insideH w:val="single" w:color="2F75B5" w:sz="8" w:space="0"/>
            <w:insideV w:val="single" w:color="2F75B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6DFAB">
            <w:pPr>
              <w:spacing w:after="40"/>
            </w:pPr>
            <w:r>
              <w:rPr>
                <w:rFonts w:ascii="Calibri" w:hAnsi="Calibri" w:eastAsia="微软雅黑"/>
                <w:b/>
                <w:color w:val="2F75B5"/>
                <w:sz w:val="18"/>
              </w:rPr>
              <w:t>115°角度定义</w:t>
            </w:r>
          </w:p>
          <w:p w14:paraId="5A22700C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本文按“总视场角115°”执行，即左右各57.5°。角度测试优先使用带刻度的水平旋转台，旋转中心应通过镜头光学中心。若产品需求中的115°实际指单侧偏角，而不是总夹角，则本矩阵必须重新定义，不能直接沿用。</w:t>
            </w:r>
          </w:p>
        </w:tc>
      </w:tr>
    </w:tbl>
    <w:p w14:paraId="36C64573">
      <w:pPr>
        <w:spacing w:after="0"/>
      </w:pPr>
    </w:p>
    <w:p w14:paraId="79D2B93F">
      <w:pPr>
        <w:pStyle w:val="4"/>
      </w:pPr>
      <w:bookmarkStart w:id="8" w:name="_Toc27811"/>
      <w:r>
        <w:t>3.2 户外太阳光环境</w:t>
      </w:r>
      <w:bookmarkEnd w:id="8"/>
    </w:p>
    <w:p w14:paraId="19D0FEA5">
      <w:pPr>
        <w:pStyle w:val="16"/>
      </w:pPr>
      <w:r>
        <w:rPr>
          <w:rFonts w:ascii="Calibri" w:hAnsi="Calibri" w:eastAsia="宋体"/>
          <w:sz w:val="20"/>
        </w:rPr>
        <w:t>选择晴天或少云天气，在无遮挡室外区域测试；不得隔着普通玻璃替代太阳直射。</w:t>
      </w:r>
    </w:p>
    <w:p w14:paraId="730CB676">
      <w:pPr>
        <w:pStyle w:val="16"/>
      </w:pPr>
      <w:r>
        <w:rPr>
          <w:rFonts w:ascii="Calibri" w:hAnsi="Calibri" w:eastAsia="宋体"/>
          <w:sz w:val="20"/>
        </w:rPr>
        <w:t>覆盖上午、正午和下午三个太阳高度阶段，记录时间、天气、照度和太阳相对镜头角度。</w:t>
      </w:r>
    </w:p>
    <w:p w14:paraId="2336C6ED">
      <w:pPr>
        <w:pStyle w:val="16"/>
      </w:pPr>
      <w:r>
        <w:rPr>
          <w:rFonts w:ascii="Calibri" w:hAnsi="Calibri" w:eastAsia="宋体"/>
          <w:sz w:val="20"/>
        </w:rPr>
        <w:t>静态直射、斜入射和侧向照射分开执行；动态遮挡使用遮光板，不使用人员快速挥手靠近镜头。</w:t>
      </w:r>
    </w:p>
    <w:p w14:paraId="2A5DC4C1">
      <w:pPr>
        <w:pStyle w:val="16"/>
      </w:pPr>
      <w:r>
        <w:rPr>
          <w:rFonts w:ascii="Calibri" w:hAnsi="Calibri" w:eastAsia="宋体"/>
          <w:sz w:val="20"/>
        </w:rPr>
        <w:t>阳光下真火测试必须保持火源与太阳方向可重复，并避免试验人员进入探测视场形成额外热源。</w:t>
      </w:r>
    </w:p>
    <w:p w14:paraId="0AF058E4">
      <w:pPr>
        <w:pStyle w:val="4"/>
      </w:pPr>
      <w:bookmarkStart w:id="9" w:name="_Toc17549"/>
      <w:r>
        <w:t>3.3 安全与试验中止条件</w:t>
      </w:r>
      <w:bookmarkEnd w:id="9"/>
    </w:p>
    <w:tbl>
      <w:tblPr>
        <w:tblStyle w:val="34"/>
        <w:tblW w:w="0" w:type="auto"/>
        <w:jc w:val="center"/>
        <w:tblBorders>
          <w:top w:val="single" w:color="9B1C1C" w:sz="8" w:space="0"/>
          <w:left w:val="single" w:color="9B1C1C" w:sz="8" w:space="0"/>
          <w:bottom w:val="single" w:color="9B1C1C" w:sz="8" w:space="0"/>
          <w:right w:val="single" w:color="9B1C1C" w:sz="8" w:space="0"/>
          <w:insideH w:val="single" w:color="9B1C1C" w:sz="8" w:space="0"/>
          <w:insideV w:val="single" w:color="9B1C1C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0D59AEEC">
        <w:tblPrEx>
          <w:tblBorders>
            <w:top w:val="single" w:color="9B1C1C" w:sz="8" w:space="0"/>
            <w:left w:val="single" w:color="9B1C1C" w:sz="8" w:space="0"/>
            <w:bottom w:val="single" w:color="9B1C1C" w:sz="8" w:space="0"/>
            <w:right w:val="single" w:color="9B1C1C" w:sz="8" w:space="0"/>
            <w:insideH w:val="single" w:color="9B1C1C" w:sz="8" w:space="0"/>
            <w:insideV w:val="single" w:color="9B1C1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FDECE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77C86">
            <w:pPr>
              <w:spacing w:after="40"/>
            </w:pPr>
            <w:r>
              <w:rPr>
                <w:rFonts w:ascii="Calibri" w:hAnsi="Calibri" w:eastAsia="微软雅黑"/>
                <w:b/>
                <w:color w:val="9B1C1C"/>
                <w:sz w:val="18"/>
              </w:rPr>
              <w:t>强制安全要求</w:t>
            </w:r>
          </w:p>
          <w:p w14:paraId="043531D6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明火、易燃液体、气体燃料、聚氨酯和高温热源试验必须由具备条件的人员执行。现场至少配备合适类型灭火器、防火毯、金属接液盘和紧急断电装置；液体燃料不得在热源附近补加，气瓶必须固定并使用合规减压、回火防止和检漏装置。</w:t>
            </w:r>
          </w:p>
        </w:tc>
      </w:tr>
    </w:tbl>
    <w:p w14:paraId="41A7544D">
      <w:pPr>
        <w:spacing w:after="0"/>
      </w:pPr>
    </w:p>
    <w:p w14:paraId="356D9F7B">
      <w:pPr>
        <w:pStyle w:val="16"/>
      </w:pPr>
      <w:r>
        <w:rPr>
          <w:rFonts w:ascii="Calibri" w:hAnsi="Calibri" w:eastAsia="宋体"/>
          <w:sz w:val="20"/>
        </w:rPr>
        <w:t>火焰失控、燃料外溢、容器变形、烟气无法排出、人员防护不足时立即中止。</w:t>
      </w:r>
    </w:p>
    <w:p w14:paraId="5CA21D2A">
      <w:pPr>
        <w:pStyle w:val="16"/>
      </w:pPr>
      <w:r>
        <w:rPr>
          <w:rFonts w:ascii="Calibri" w:hAnsi="Calibri" w:eastAsia="宋体"/>
          <w:sz w:val="20"/>
        </w:rPr>
        <w:t>出现供电异常、样机复位、串口日志中断、传感器饱和持续不恢复时中止并标记本次数据无效。</w:t>
      </w:r>
    </w:p>
    <w:p w14:paraId="799E9324">
      <w:pPr>
        <w:pStyle w:val="16"/>
      </w:pPr>
      <w:r>
        <w:rPr>
          <w:rFonts w:ascii="Calibri" w:hAnsi="Calibri" w:eastAsia="宋体"/>
          <w:sz w:val="20"/>
        </w:rPr>
        <w:t>聚氨酯、塑料及烟气较大的材料应在具备废气处理能力的设施内测试，不在普通办公环境进行。</w:t>
      </w:r>
    </w:p>
    <w:p w14:paraId="32A8E6E0">
      <w:pPr>
        <w:pStyle w:val="16"/>
      </w:pPr>
      <w:r>
        <w:rPr>
          <w:rFonts w:ascii="Calibri" w:hAnsi="Calibri" w:eastAsia="宋体"/>
          <w:sz w:val="20"/>
        </w:rPr>
        <w:t>每轮试验后确认火源完全熄灭、容器降温；如已进入报警状态，由外部人为干预或RST脚复位后再开始下一项。</w:t>
      </w:r>
    </w:p>
    <w:p w14:paraId="5EADD35E">
      <w:pPr>
        <w:pStyle w:val="3"/>
      </w:pPr>
      <w:bookmarkStart w:id="10" w:name="_Toc21839"/>
      <w:r>
        <w:t>四、设备与材料</w:t>
      </w:r>
      <w:bookmarkEnd w:id="10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025F086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AB48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类别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D442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设备/材料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AF9D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关键要求</w:t>
            </w:r>
          </w:p>
        </w:tc>
        <w:tc>
          <w:tcPr>
            <w:tcW w:w="299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F897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用途</w:t>
            </w:r>
          </w:p>
        </w:tc>
      </w:tr>
      <w:tr w14:paraId="3782D49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3144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BA61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电脑、调试串口、视频或统一时钟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0F5A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日志和视频时间可对齐</w:t>
            </w:r>
          </w:p>
        </w:tc>
        <w:tc>
          <w:tcPr>
            <w:tcW w:w="29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734E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确认点火、IR/UV状态和最终报警时刻</w:t>
            </w:r>
          </w:p>
        </w:tc>
      </w:tr>
      <w:tr w14:paraId="177109D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C7B6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测量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C64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卷尺、照度计、温湿度计、风速计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C682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量程覆盖现场条件</w:t>
            </w:r>
          </w:p>
        </w:tc>
        <w:tc>
          <w:tcPr>
            <w:tcW w:w="299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D484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量化距离、照度和环境变量</w:t>
            </w:r>
          </w:p>
        </w:tc>
      </w:tr>
      <w:tr w14:paraId="6485AAE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B81E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温度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791A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热电偶或红外测温仪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4BAA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覆盖100~500 ℃</w:t>
            </w:r>
          </w:p>
        </w:tc>
        <w:tc>
          <w:tcPr>
            <w:tcW w:w="29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F830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记录热源表面温度</w:t>
            </w:r>
          </w:p>
        </w:tc>
      </w:tr>
      <w:tr w14:paraId="355F70C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64EC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人工光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1B18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白炽灯、荧光灯、LED、卤素灯、金卤灯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1BA7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按清单规格准备</w:t>
            </w:r>
          </w:p>
        </w:tc>
        <w:tc>
          <w:tcPr>
            <w:tcW w:w="299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8B6C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灯光静态和闪烁干扰</w:t>
            </w:r>
          </w:p>
        </w:tc>
      </w:tr>
      <w:tr w14:paraId="328A771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DEF28">
            <w:pPr>
              <w:spacing w:after="0" w:line="259" w:lineRule="auto"/>
            </w:pPr>
            <w:r>
              <w:rPr>
                <w:rFonts w:ascii="Calibri" w:hAnsi="Calibri" w:eastAsia="宋体"/>
                <w:b/>
                <w:bCs/>
                <w:color w:val="FF0000"/>
                <w:sz w:val="16"/>
              </w:rPr>
              <w:t>太阳光</w:t>
            </w:r>
            <w:r>
              <w:rPr>
                <w:rFonts w:hint="eastAsia"/>
                <w:b/>
                <w:bCs/>
                <w:color w:val="FF0000"/>
                <w:sz w:val="16"/>
                <w:lang w:val="en-US" w:eastAsia="zh-CN"/>
              </w:rPr>
              <w:t>(重点测试)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24A1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室外直射条件、遮光/调制装置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57FD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0/5/10/20 Hz可控更佳</w:t>
            </w:r>
          </w:p>
        </w:tc>
        <w:tc>
          <w:tcPr>
            <w:tcW w:w="29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8FD2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日光静态、动态遮挡和组合测试</w:t>
            </w:r>
          </w:p>
        </w:tc>
      </w:tr>
      <w:tr w14:paraId="30C7853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E1DC5">
            <w:pPr>
              <w:spacing w:after="0" w:line="25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hAnsi="Calibri" w:eastAsia="宋体"/>
                <w:b/>
                <w:bCs/>
                <w:color w:val="FF0000"/>
                <w:sz w:val="16"/>
              </w:rPr>
              <w:t>热源</w:t>
            </w:r>
            <w:r>
              <w:rPr>
                <w:rFonts w:hint="eastAsia"/>
                <w:b/>
                <w:bCs/>
                <w:color w:val="FF0000"/>
                <w:sz w:val="16"/>
                <w:lang w:val="en-US" w:eastAsia="zh-CN"/>
              </w:rPr>
              <w:t>(重点测试)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4F42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可调温加热器、黑体、电热板、焊台、热风枪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83EF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100~500 ℃分档</w:t>
            </w:r>
          </w:p>
        </w:tc>
        <w:tc>
          <w:tcPr>
            <w:tcW w:w="299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05EC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静态及动态热干扰</w:t>
            </w:r>
          </w:p>
        </w:tc>
      </w:tr>
      <w:tr w14:paraId="02A3BE3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567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液体火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F180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工业酒精、正庚烷+3%甲苯、汽油、柴油、煤油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BDA1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统一批次并记录实际配比</w:t>
            </w:r>
          </w:p>
        </w:tc>
        <w:tc>
          <w:tcPr>
            <w:tcW w:w="29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D37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氢型、碳型和扩展燃料覆盖</w:t>
            </w:r>
          </w:p>
        </w:tc>
      </w:tr>
      <w:tr w14:paraId="6F0B104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7A1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固体火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FB6C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纸张/纸板、木条、聚氨酯泡沫、棉绳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904A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尺寸、质量和摆放方式一致</w:t>
            </w:r>
          </w:p>
        </w:tc>
        <w:tc>
          <w:tcPr>
            <w:tcW w:w="299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9EB4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快速火、低频火、烟气火和阴燃</w:t>
            </w:r>
          </w:p>
        </w:tc>
      </w:tr>
      <w:tr w14:paraId="062D1F8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F6D3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气体火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4B05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甲烷或丙烷及合规燃烧器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3080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气路安全、流量可重复</w:t>
            </w:r>
          </w:p>
        </w:tc>
        <w:tc>
          <w:tcPr>
            <w:tcW w:w="299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93BB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清洁碳氢火焰</w:t>
            </w:r>
          </w:p>
        </w:tc>
      </w:tr>
      <w:tr w14:paraId="2A64B94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0C7D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安全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978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灭火器、防火毯、接液盘、防护用品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8034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试验前逐项检查</w:t>
            </w:r>
          </w:p>
        </w:tc>
        <w:tc>
          <w:tcPr>
            <w:tcW w:w="299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65B1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风险控制</w:t>
            </w:r>
          </w:p>
        </w:tc>
      </w:tr>
    </w:tbl>
    <w:p w14:paraId="470F36A4">
      <w:pPr>
        <w:spacing w:after="0"/>
      </w:pPr>
    </w:p>
    <w:p w14:paraId="2582E70B">
      <w:pPr>
        <w:pStyle w:val="3"/>
      </w:pPr>
      <w:bookmarkStart w:id="11" w:name="_Toc30322"/>
      <w:r>
        <w:t>五、数据记录与统一判定</w:t>
      </w:r>
      <w:bookmarkEnd w:id="11"/>
    </w:p>
    <w:p w14:paraId="25789508">
      <w:pPr>
        <w:pStyle w:val="4"/>
      </w:pPr>
      <w:bookmarkStart w:id="12" w:name="_Toc511"/>
      <w:r>
        <w:t>5.1 必须记录的数据</w:t>
      </w:r>
      <w:bookmarkEnd w:id="12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1"/>
        <w:gridCol w:w="4771"/>
      </w:tblGrid>
      <w:tr w14:paraId="40CCBA0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ECFC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类别</w:t>
            </w:r>
          </w:p>
        </w:tc>
        <w:tc>
          <w:tcPr>
            <w:tcW w:w="799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4D2B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7"/>
              </w:rPr>
              <w:t>记录字段</w:t>
            </w:r>
          </w:p>
        </w:tc>
      </w:tr>
      <w:tr w14:paraId="62AED0A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4E1C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样机</w:t>
            </w:r>
          </w:p>
        </w:tc>
        <w:tc>
          <w:tcPr>
            <w:tcW w:w="79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C507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样机编号、硬件/固件/参数版本、镜片编号、供电、等级</w:t>
            </w:r>
          </w:p>
        </w:tc>
      </w:tr>
      <w:tr w14:paraId="509A7A4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E3FC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环境</w:t>
            </w:r>
          </w:p>
        </w:tc>
        <w:tc>
          <w:tcPr>
            <w:tcW w:w="799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D0DF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日期时间、温湿度、照度、风速、室内/室外、背景和反射物</w:t>
            </w:r>
          </w:p>
        </w:tc>
      </w:tr>
      <w:tr w14:paraId="7C9A5F7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6021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火源</w:t>
            </w:r>
          </w:p>
        </w:tc>
        <w:tc>
          <w:tcPr>
            <w:tcW w:w="79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E1D9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材料、容器尺寸、距离、燃烧阶段、点火方式、持续时间</w:t>
            </w:r>
          </w:p>
        </w:tc>
      </w:tr>
      <w:tr w14:paraId="17CC630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4442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红外</w:t>
            </w:r>
          </w:p>
        </w:tc>
        <w:tc>
          <w:tcPr>
            <w:tcW w:w="799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DCEE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三通道平均能量、光谱比、ZCR、死区、IDLE/WARNING/FIRE、点火包络状态</w:t>
            </w:r>
          </w:p>
        </w:tc>
      </w:tr>
      <w:tr w14:paraId="1C8D46D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BAEA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紫外</w:t>
            </w:r>
          </w:p>
        </w:tc>
        <w:tc>
          <w:tcPr>
            <w:tcW w:w="79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E6D9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窗口脉冲数、阈值、IDLE/WARNING/FIRE、脉冲溢出或丢失</w:t>
            </w:r>
          </w:p>
        </w:tc>
      </w:tr>
      <w:tr w14:paraId="7DBA2F3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41BE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报警</w:t>
            </w:r>
          </w:p>
        </w:tc>
        <w:tc>
          <w:tcPr>
            <w:tcW w:w="799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11D7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点火时刻、IR WARNING、IR FIRE、UV FIRE、最终报警、撤除/熄灭和人工复位时刻</w:t>
            </w:r>
          </w:p>
        </w:tc>
      </w:tr>
      <w:tr w14:paraId="2AA770F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10EB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结果</w:t>
            </w:r>
          </w:p>
        </w:tc>
        <w:tc>
          <w:tcPr>
            <w:tcW w:w="79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1708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7"/>
              </w:rPr>
              <w:t>是否误报、是否漏报、响应时间、失败判据、日志文件名、视频文件名</w:t>
            </w:r>
          </w:p>
        </w:tc>
      </w:tr>
    </w:tbl>
    <w:p w14:paraId="65DB24A0">
      <w:pPr>
        <w:spacing w:after="0"/>
      </w:pPr>
    </w:p>
    <w:p w14:paraId="3244F345">
      <w:pPr>
        <w:pStyle w:val="4"/>
      </w:pPr>
      <w:bookmarkStart w:id="13" w:name="_Toc5862"/>
      <w:r>
        <w:t>5.2 时间定义</w:t>
      </w:r>
      <w:bookmarkEnd w:id="13"/>
    </w:p>
    <w:p w14:paraId="3000363A">
      <w:pPr>
        <w:pStyle w:val="16"/>
      </w:pPr>
      <w:r>
        <w:rPr>
          <w:rFonts w:ascii="Calibri" w:hAnsi="Calibri" w:eastAsia="宋体"/>
          <w:sz w:val="20"/>
        </w:rPr>
        <w:t>点火时刻：火源出现连续可见火焰的时刻；由视频或统一标记确定。</w:t>
      </w:r>
    </w:p>
    <w:p w14:paraId="7B336E26">
      <w:pPr>
        <w:pStyle w:val="16"/>
      </w:pPr>
      <w:r>
        <w:rPr>
          <w:rFonts w:ascii="Calibri" w:hAnsi="Calibri" w:eastAsia="宋体"/>
          <w:sz w:val="20"/>
        </w:rPr>
        <w:t>通道响应时间：对应IR FIRE或UV FIRE时刻减去点火时刻。</w:t>
      </w:r>
    </w:p>
    <w:p w14:paraId="115A36A4">
      <w:pPr>
        <w:pStyle w:val="16"/>
      </w:pPr>
      <w:r>
        <w:rPr>
          <w:rFonts w:ascii="Calibri" w:hAnsi="Calibri" w:eastAsia="宋体"/>
          <w:sz w:val="20"/>
        </w:rPr>
        <w:t>最终响应时间：最终报警输出时刻减去点火时刻。</w:t>
      </w:r>
    </w:p>
    <w:p w14:paraId="7374499B">
      <w:pPr>
        <w:pStyle w:val="16"/>
      </w:pPr>
      <w:r>
        <w:rPr>
          <w:rFonts w:ascii="Calibri" w:hAnsi="Calibri" w:eastAsia="宋体"/>
          <w:sz w:val="20"/>
        </w:rPr>
        <w:t>复位时刻：测试结束后执行外部人为干预或RST脚复位的时刻；本轮不统计自动恢复时间。</w:t>
      </w:r>
    </w:p>
    <w:p w14:paraId="57DBCFFF">
      <w:pPr>
        <w:pStyle w:val="16"/>
      </w:pPr>
      <w:r>
        <w:rPr>
          <w:rFonts w:ascii="Calibri" w:hAnsi="Calibri" w:eastAsia="宋体"/>
          <w:sz w:val="20"/>
        </w:rPr>
        <w:t>近触发事件：未到最终报警，但单通道进入FIRE，或IR确认累计距离</w:t>
      </w:r>
      <w:bookmarkStart w:id="31" w:name="_GoBack"/>
      <w:bookmarkEnd w:id="31"/>
      <w:r>
        <w:rPr>
          <w:rFonts w:ascii="Calibri" w:hAnsi="Calibri" w:eastAsia="宋体"/>
          <w:sz w:val="20"/>
        </w:rPr>
        <w:t>门槛不足500 ms；必须单独统计。</w:t>
      </w:r>
    </w:p>
    <w:p w14:paraId="7CA50D84">
      <w:pPr>
        <w:pStyle w:val="4"/>
      </w:pPr>
      <w:bookmarkStart w:id="14" w:name="_Toc25659"/>
    </w:p>
    <w:p w14:paraId="6C0B75E1">
      <w:pPr>
        <w:pStyle w:val="4"/>
      </w:pPr>
      <w:r>
        <w:t>5.3 工程验收原则</w:t>
      </w:r>
      <w:bookmarkEnd w:id="14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181"/>
        <w:gridCol w:w="3181"/>
      </w:tblGrid>
      <w:tr w14:paraId="27DBE24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E5D1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对象</w:t>
            </w:r>
          </w:p>
        </w:tc>
        <w:tc>
          <w:tcPr>
            <w:tcW w:w="31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4724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摸底阶段</w:t>
            </w:r>
          </w:p>
        </w:tc>
        <w:tc>
          <w:tcPr>
            <w:tcW w:w="31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0258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冻结回归建议判据</w:t>
            </w:r>
          </w:p>
        </w:tc>
      </w:tr>
      <w:tr w14:paraId="5455F8A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BD72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真实火焰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EEAE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记录是否触发及响应时间分布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BBB1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核心点不少于9/10次最终报警；目标响应≤6 s，同时报告最大值</w:t>
            </w:r>
          </w:p>
        </w:tc>
      </w:tr>
      <w:tr w14:paraId="27FFF9C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BB43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人工光/太阳光/热源</w:t>
            </w:r>
          </w:p>
        </w:tc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DC98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记录单通道状态和最接近报警的程度</w:t>
            </w:r>
          </w:p>
        </w:tc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1849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试验期间及撤除后30 s内不得出现最终报警</w:t>
            </w:r>
          </w:p>
        </w:tc>
      </w:tr>
      <w:tr w14:paraId="3731126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D69A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打火机瞬态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0BBD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记录LIGHTER识别率和峰值/稳定比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3064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短时点燃不产生最终报警；连续点燃按产品定义单列评估</w:t>
            </w:r>
          </w:p>
        </w:tc>
      </w:tr>
      <w:tr w14:paraId="56E165C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C82A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自动恢复</w:t>
            </w:r>
          </w:p>
        </w:tc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A7A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暂不执行</w:t>
            </w:r>
          </w:p>
        </w:tc>
        <w:tc>
          <w:tcPr>
            <w:tcW w:w="318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A8A8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待产品恢复策略确定后另行制定测试；本轮只允许外部干预或RST复位</w:t>
            </w:r>
          </w:p>
        </w:tc>
      </w:tr>
      <w:tr w14:paraId="5FAFC50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A4FC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数据完整性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BA73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允许试验后补充说明</w:t>
            </w:r>
          </w:p>
        </w:tc>
        <w:tc>
          <w:tcPr>
            <w:tcW w:w="31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F560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日志、环境、配置、视频和结论缺一项即不纳入通过率</w:t>
            </w:r>
          </w:p>
        </w:tc>
      </w:tr>
    </w:tbl>
    <w:p w14:paraId="0A2D031E">
      <w:pPr>
        <w:spacing w:after="0"/>
      </w:pPr>
    </w:p>
    <w:tbl>
      <w:tblPr>
        <w:tblStyle w:val="34"/>
        <w:tblW w:w="0" w:type="auto"/>
        <w:jc w:val="center"/>
        <w:tblBorders>
          <w:top w:val="single" w:color="2F75B5" w:sz="8" w:space="0"/>
          <w:left w:val="single" w:color="2F75B5" w:sz="8" w:space="0"/>
          <w:bottom w:val="single" w:color="2F75B5" w:sz="8" w:space="0"/>
          <w:right w:val="single" w:color="2F75B5" w:sz="8" w:space="0"/>
          <w:insideH w:val="single" w:color="2F75B5" w:sz="8" w:space="0"/>
          <w:insideV w:val="single" w:color="2F75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73055028">
        <w:tblPrEx>
          <w:tblBorders>
            <w:top w:val="single" w:color="2F75B5" w:sz="8" w:space="0"/>
            <w:left w:val="single" w:color="2F75B5" w:sz="8" w:space="0"/>
            <w:bottom w:val="single" w:color="2F75B5" w:sz="8" w:space="0"/>
            <w:right w:val="single" w:color="2F75B5" w:sz="8" w:space="0"/>
            <w:insideH w:val="single" w:color="2F75B5" w:sz="8" w:space="0"/>
            <w:insideV w:val="single" w:color="2F75B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13002">
            <w:pPr>
              <w:spacing w:after="40"/>
            </w:pPr>
            <w:r>
              <w:rPr>
                <w:rFonts w:ascii="Calibri" w:hAnsi="Calibri" w:eastAsia="微软雅黑"/>
                <w:b/>
                <w:color w:val="2F75B5"/>
                <w:sz w:val="18"/>
              </w:rPr>
              <w:t>响应时间口径</w:t>
            </w:r>
          </w:p>
          <w:p w14:paraId="2140CC32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“≤6秒”作为当前工程目标，用于比较优化效果；材料清单中的30秒要求可作为较宽的上限参考。报告中应同时给出中位数、最大值和成功率，不能只选择最快一次。</w:t>
            </w:r>
          </w:p>
        </w:tc>
      </w:tr>
    </w:tbl>
    <w:p w14:paraId="584F2912">
      <w:pPr>
        <w:spacing w:after="0"/>
      </w:pPr>
    </w:p>
    <w:p w14:paraId="4CF0D850">
      <w:pPr>
        <w:pStyle w:val="3"/>
      </w:pPr>
      <w:bookmarkStart w:id="15" w:name="_Toc15"/>
      <w:r>
        <w:t>六、统一执行流程</w:t>
      </w:r>
      <w:bookmarkEnd w:id="15"/>
    </w:p>
    <w:p w14:paraId="52FCBE13">
      <w:pPr>
        <w:spacing w:after="40"/>
        <w:jc w:val="center"/>
      </w:pPr>
      <w:r>
        <w:drawing>
          <wp:inline distT="0" distB="0" distL="114300" distR="114300">
            <wp:extent cx="5806440" cy="2515870"/>
            <wp:effectExtent l="0" t="0" r="381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5814">
      <w:pPr>
        <w:pStyle w:val="166"/>
        <w:jc w:val="center"/>
      </w:pPr>
      <w:r>
        <w:rPr>
          <w:rFonts w:ascii="Calibri" w:hAnsi="Calibri" w:eastAsia="宋体"/>
          <w:color w:val="667085"/>
          <w:sz w:val="17"/>
        </w:rPr>
        <w:t>图2  单项测试执行闭环</w:t>
      </w:r>
    </w:p>
    <w:p w14:paraId="1A652F34">
      <w:pPr>
        <w:pStyle w:val="14"/>
      </w:pPr>
      <w:r>
        <w:rPr>
          <w:rFonts w:ascii="Calibri" w:hAnsi="Calibri" w:eastAsia="宋体"/>
          <w:sz w:val="20"/>
        </w:rPr>
        <w:t>测试前预热样机至少5分钟，确认供电、串口、ADC和UV捕获稳定。</w:t>
      </w:r>
    </w:p>
    <w:p w14:paraId="72267EBA">
      <w:pPr>
        <w:pStyle w:val="14"/>
      </w:pPr>
      <w:r>
        <w:rPr>
          <w:rFonts w:ascii="Calibri" w:hAnsi="Calibri" w:eastAsia="宋体"/>
          <w:sz w:val="20"/>
        </w:rPr>
        <w:t>在无火、无遮挡、无人走动条件下记录至少60秒基线；需要时执行手动ZCR死区标定。</w:t>
      </w:r>
    </w:p>
    <w:p w14:paraId="7B4042D1">
      <w:pPr>
        <w:pStyle w:val="14"/>
      </w:pPr>
      <w:r>
        <w:rPr>
          <w:rFonts w:ascii="Calibri" w:hAnsi="Calibri" w:eastAsia="宋体"/>
          <w:sz w:val="20"/>
        </w:rPr>
        <w:t>插入场景标记后开始点火或施加干扰，完整记录到状态稳定。</w:t>
      </w:r>
    </w:p>
    <w:p w14:paraId="2F0FFB20">
      <w:pPr>
        <w:pStyle w:val="14"/>
      </w:pPr>
      <w:r>
        <w:rPr>
          <w:rFonts w:ascii="Calibri" w:hAnsi="Calibri" w:eastAsia="宋体"/>
          <w:sz w:val="20"/>
        </w:rPr>
        <w:t>真实火焰测试至少覆盖启动、稳定和衰减三个阶段；不得只截取最强燃烧阶段。</w:t>
      </w:r>
    </w:p>
    <w:p w14:paraId="53D780AE">
      <w:pPr>
        <w:pStyle w:val="14"/>
      </w:pPr>
      <w:r>
        <w:rPr>
          <w:rFonts w:ascii="Calibri" w:hAnsi="Calibri" w:eastAsia="宋体"/>
          <w:sz w:val="20"/>
        </w:rPr>
        <w:t>熄火或撤除干扰后继续记录必要的结束状态；若进入FIRE，完成结果记录后由外部人为干预或RST脚复位，不等待自动恢复。</w:t>
      </w:r>
    </w:p>
    <w:p w14:paraId="727F4D65">
      <w:pPr>
        <w:pStyle w:val="14"/>
      </w:pPr>
      <w:r>
        <w:rPr>
          <w:rFonts w:ascii="Calibri" w:hAnsi="Calibri" w:eastAsia="宋体"/>
          <w:sz w:val="20"/>
        </w:rPr>
        <w:t>同一测试点之间保持相同环境和操作；每次重复前确认火盆温度、剩余燃料和背景已恢复。</w:t>
      </w:r>
    </w:p>
    <w:p w14:paraId="048A68D5">
      <w:pPr>
        <w:pStyle w:val="3"/>
      </w:pPr>
      <w:bookmarkStart w:id="16" w:name="_Toc26950"/>
      <w:r>
        <w:t>七、测试项目优先级</w:t>
      </w:r>
      <w:bookmarkEnd w:id="16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50FFC92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3CFF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优先级</w:t>
            </w:r>
          </w:p>
        </w:tc>
        <w:tc>
          <w:tcPr>
            <w:tcW w:w="216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A438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测试组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1678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原因</w:t>
            </w:r>
          </w:p>
        </w:tc>
        <w:tc>
          <w:tcPr>
            <w:tcW w:w="27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BADE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完成标志</w:t>
            </w:r>
          </w:p>
        </w:tc>
      </w:tr>
      <w:tr w14:paraId="1FA0D00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A600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4978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户外太阳光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04EE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完全未测，是光学探测器最重要的误报场景之一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A4D8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静态、角度、动态遮挡和阳光下真火均完成</w:t>
            </w:r>
          </w:p>
        </w:tc>
      </w:tr>
      <w:tr w14:paraId="603B7B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6CDB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P0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DE91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纸张等级边界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DC13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等级5仅差约200 ms，需确认重复性而非单次推断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9FB1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等级5/4/3各完成重复测试并确定推荐等级</w:t>
            </w:r>
          </w:p>
        </w:tc>
      </w:tr>
      <w:tr w14:paraId="4E99629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17AE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1D78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30 cm火盆35 m/115°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1878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最终能力目标尚未做远距离和视场边界验证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AB9B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完成轴向距离扫描、左右角度扫描及35 m边界重复验收</w:t>
            </w:r>
          </w:p>
        </w:tc>
      </w:tr>
      <w:tr w14:paraId="6892327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3311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P0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4A2A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酒精尺寸/距离边界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0C7A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当前只验证2 m，且小火后期可能低于ON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6D3B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 cm火盆完成近中距离矩阵；30 cm火盆完成5~35 m矩阵</w:t>
            </w:r>
          </w:p>
        </w:tc>
      </w:tr>
      <w:tr w14:paraId="3BD1899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B251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P0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77A1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标准碳型火源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B1BF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当前样本以酒精为主，燃料类型单一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C0A3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正庚烷+甲苯完成核心距离点</w:t>
            </w:r>
          </w:p>
        </w:tc>
      </w:tr>
      <w:tr w14:paraId="279C160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48EB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P1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3CC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人工光和热源扩展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0F4A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卤素灯已测，但缺少其他光源、闪烁和高温热源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B691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全部清单光源及100~500 ℃热源完成</w:t>
            </w:r>
          </w:p>
        </w:tc>
      </w:tr>
      <w:tr w14:paraId="71A978E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AAEB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096C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干扰背景下真火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FD3C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验证抗误报措施不会造成漏报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4F62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太阳光/灯光/热源背景下真实火焰均可识别</w:t>
            </w:r>
          </w:p>
        </w:tc>
      </w:tr>
      <w:tr w14:paraId="3B1B609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FDAA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P1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A981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其他燃料</w:t>
            </w:r>
          </w:p>
        </w:tc>
        <w:tc>
          <w:tcPr>
            <w:tcW w:w="367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DBD9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验证不同辐射、烟气和闪烁特征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8336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木材、纸板、汽油、柴油、煤油、气体火完成</w:t>
            </w:r>
          </w:p>
        </w:tc>
      </w:tr>
      <w:tr w14:paraId="4CE3EFF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6197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E78B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长期、温度、镜片与遮挡</w:t>
            </w:r>
          </w:p>
        </w:tc>
        <w:tc>
          <w:tcPr>
            <w:tcW w:w="36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3838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验证漂移和硬件差异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414F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24小时稳定性及关键硬件变量完成</w:t>
            </w:r>
          </w:p>
        </w:tc>
      </w:tr>
    </w:tbl>
    <w:p w14:paraId="2A164F8C">
      <w:pPr>
        <w:spacing w:after="0"/>
      </w:pPr>
    </w:p>
    <w:p w14:paraId="2946CCE8">
      <w:pPr>
        <w:pStyle w:val="3"/>
      </w:pPr>
      <w:bookmarkStart w:id="17" w:name="_Toc24312"/>
      <w:r>
        <w:t>八、详细测试项目</w:t>
      </w:r>
      <w:bookmarkEnd w:id="17"/>
    </w:p>
    <w:p w14:paraId="215555B1">
      <w:pPr>
        <w:pStyle w:val="4"/>
      </w:pPr>
      <w:bookmarkStart w:id="18" w:name="_Toc29584"/>
      <w:r>
        <w:t>8.1 SUN：户外太阳光与模拟日光</w:t>
      </w:r>
      <w:bookmarkEnd w:id="18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048E1A8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7199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编号</w:t>
            </w:r>
          </w:p>
        </w:tc>
        <w:tc>
          <w:tcPr>
            <w:tcW w:w="26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D5F7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条件与布置</w:t>
            </w:r>
          </w:p>
        </w:tc>
        <w:tc>
          <w:tcPr>
            <w:tcW w:w="31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760A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执行步骤</w:t>
            </w:r>
          </w:p>
        </w:tc>
        <w:tc>
          <w:tcPr>
            <w:tcW w:w="27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9355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验收/记录重点</w:t>
            </w:r>
          </w:p>
        </w:tc>
      </w:tr>
      <w:tr w14:paraId="39D358B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6992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SUN-01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8BFB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晴天正对太阳；上午、正午、下午；记录照度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F7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每时段静态照射30 min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F48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无最终报警；统计IR/UV单通道最高状态</w:t>
            </w:r>
          </w:p>
        </w:tc>
      </w:tr>
      <w:tr w14:paraId="2940A5A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4853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SUN-02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EBBE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太阳相对光轴0°、±15°、±30°、90°</w:t>
            </w:r>
          </w:p>
        </w:tc>
        <w:tc>
          <w:tcPr>
            <w:tcW w:w="316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C4E3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每角度保持10 min，改变角度后先记录60 s基线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618E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确定最危险入射角和光谱/脉冲变化</w:t>
            </w:r>
          </w:p>
        </w:tc>
      </w:tr>
      <w:tr w14:paraId="07B3B5C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CF03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SUN-03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DB7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直射阳光+遮光板调制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B74E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0 Hz、5 Hz、10 Hz、20 Hz各60 s；能测时保持≥8000 lx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486D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试验中及结束后30 s无最终报警</w:t>
            </w:r>
          </w:p>
        </w:tc>
      </w:tr>
      <w:tr w14:paraId="77C7217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3765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SUN-04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E9E9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云层快速变化、树影或固定遮光板缓慢扫过</w:t>
            </w:r>
          </w:p>
        </w:tc>
        <w:tc>
          <w:tcPr>
            <w:tcW w:w="316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4D63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覆盖慢变化和非周期遮挡，各10 min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29F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检查是否进入WARNING、是否累计证据</w:t>
            </w:r>
          </w:p>
        </w:tc>
      </w:tr>
      <w:tr w14:paraId="5759867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C003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SUN-05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D517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最危险太阳角度背景+10 cm酒精火盆2 m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52C3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先照射5 min，再点火，重复5次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AB9E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干扰背景下仍应最终报警，目标≤6 s</w:t>
            </w:r>
          </w:p>
        </w:tc>
      </w:tr>
      <w:tr w14:paraId="6D75E4E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57B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SUN-06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7BC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最危险太阳角度背景+纸张火2 m</w:t>
            </w:r>
          </w:p>
        </w:tc>
        <w:tc>
          <w:tcPr>
            <w:tcW w:w="316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B238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等级5先做5次；必要时等级4、3</w:t>
            </w:r>
          </w:p>
        </w:tc>
        <w:tc>
          <w:tcPr>
            <w:tcW w:w="27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9D7C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确认UV不被背景占满，IR仍可完成确认</w:t>
            </w:r>
          </w:p>
        </w:tc>
      </w:tr>
    </w:tbl>
    <w:p w14:paraId="4E5BE06B">
      <w:pPr>
        <w:spacing w:after="0"/>
      </w:pPr>
    </w:p>
    <w:p w14:paraId="4326A056">
      <w:pPr>
        <w:pStyle w:val="4"/>
      </w:pPr>
      <w:bookmarkStart w:id="19" w:name="_Toc30642"/>
      <w:r>
        <w:t>8.2 LGT：人工灯光干扰</w:t>
      </w:r>
      <w:bookmarkEnd w:id="19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2477E88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084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编号</w:t>
            </w:r>
          </w:p>
        </w:tc>
        <w:tc>
          <w:tcPr>
            <w:tcW w:w="216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BDB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光源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F277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模式</w:t>
            </w:r>
          </w:p>
        </w:tc>
        <w:tc>
          <w:tcPr>
            <w:tcW w:w="165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F88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持续/次数</w:t>
            </w:r>
          </w:p>
        </w:tc>
        <w:tc>
          <w:tcPr>
            <w:tcW w:w="165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4DF7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判定</w:t>
            </w:r>
          </w:p>
        </w:tc>
      </w:tr>
      <w:tr w14:paraId="5B0C891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8266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20F9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白炽灯25 W×2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932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亮1 s/灭1 s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36F0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20次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478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无最终报警；记录近触发事件</w:t>
            </w:r>
          </w:p>
        </w:tc>
      </w:tr>
      <w:tr w14:paraId="3BB86F7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09A3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LGT-02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3493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环形荧光灯30 W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91D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亮1 s/灭1 s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EA9F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20次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8633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同上</w:t>
            </w:r>
          </w:p>
        </w:tc>
      </w:tr>
      <w:tr w14:paraId="77827A7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EBBA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LGT-03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7E53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LED约20 W、6000 K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A6F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 s/1 s×10；2 s/2 s×10；持续亮30 s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593F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完整一组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DDD7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同上</w:t>
            </w:r>
          </w:p>
        </w:tc>
      </w:tr>
      <w:tr w14:paraId="0D79751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354D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LGT-04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F597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卤素灯约100 W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1F4C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持续、人工遮挡5/10/20 Hz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BD78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持续30 min；调制各60 s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4DA3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复验现有结论并寻找动态边界</w:t>
            </w:r>
          </w:p>
        </w:tc>
      </w:tr>
      <w:tr w14:paraId="2786F98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13E5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LGT-05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F85D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金卤灯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E503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持续点亮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F2C3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30 min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7795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无最终报警</w:t>
            </w:r>
          </w:p>
        </w:tc>
      </w:tr>
      <w:tr w14:paraId="04FB31F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53DE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LGT-06</w:t>
            </w:r>
          </w:p>
        </w:tc>
        <w:tc>
          <w:tcPr>
            <w:tcW w:w="216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A65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最危险灯光背景+酒精/纸张火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DF76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灯光先稳定5 min后点火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DC44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每种火5次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6FE2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最终报警，目标≤6 s</w:t>
            </w:r>
          </w:p>
        </w:tc>
      </w:tr>
    </w:tbl>
    <w:p w14:paraId="355A1ACB">
      <w:pPr>
        <w:spacing w:after="0"/>
      </w:pPr>
    </w:p>
    <w:p w14:paraId="21A8C120">
      <w:pPr>
        <w:ind w:firstLine="360"/>
      </w:pPr>
      <w:r>
        <w:rPr>
          <w:rFonts w:ascii="Calibri" w:hAnsi="Calibri" w:eastAsia="宋体"/>
          <w:sz w:val="20"/>
        </w:rPr>
        <w:t>灯光应沿探测器光轴布置，并使用照度计在探测器位置测量。优先达到材料清单建议的约9000 lx；若设备能力不足，应记录实际最大照度，不得仅记录灯具功率代替照度。</w:t>
      </w:r>
    </w:p>
    <w:p w14:paraId="787656B1">
      <w:pPr>
        <w:pStyle w:val="4"/>
      </w:pPr>
      <w:bookmarkStart w:id="20" w:name="_Toc31927"/>
      <w:r>
        <w:t>8.3 HOT：热源干扰</w:t>
      </w:r>
      <w:bookmarkEnd w:id="20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084C4D2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BAA8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编号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762A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热源/温度</w:t>
            </w:r>
          </w:p>
        </w:tc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7BB7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距离</w:t>
            </w:r>
          </w:p>
        </w:tc>
        <w:tc>
          <w:tcPr>
            <w:tcW w:w="295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4265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步骤</w:t>
            </w:r>
          </w:p>
        </w:tc>
        <w:tc>
          <w:tcPr>
            <w:tcW w:w="259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FCEB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验收重点</w:t>
            </w:r>
          </w:p>
        </w:tc>
      </w:tr>
      <w:tr w14:paraId="77B33FE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2049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HOT-01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FF5C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可调热源100/200/300/400/500 ℃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B8FD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10/20/40 cm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BBBE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每温度稳定后照射5 min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13AA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无最终报警；记录IR参考通道和P4.5变化</w:t>
            </w:r>
          </w:p>
        </w:tc>
      </w:tr>
      <w:tr w14:paraId="62B5F61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DB6D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HOT-02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0E3D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焊台或电烙铁300~400 ℃</w:t>
            </w:r>
          </w:p>
        </w:tc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E2CA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10/20/40 cm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6B30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静止、移入、移出各10次</w:t>
            </w:r>
          </w:p>
        </w:tc>
        <w:tc>
          <w:tcPr>
            <w:tcW w:w="259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CD1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移动热源不形成点火包络误判</w:t>
            </w:r>
          </w:p>
        </w:tc>
      </w:tr>
      <w:tr w14:paraId="1A6CFDF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DDD8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HOT-03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8791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热风枪100~500 ℃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83B9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安全距离按设备要求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5102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低到高分档，每档3 min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8CD6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区分热气流、热源表面和机械扰动</w:t>
            </w:r>
          </w:p>
        </w:tc>
      </w:tr>
      <w:tr w14:paraId="3499F79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D1EA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HOT-04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8250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热水容器90~100 ℃</w:t>
            </w:r>
          </w:p>
        </w:tc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021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10/20 cm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8E7A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持续10 min</w:t>
            </w:r>
          </w:p>
        </w:tc>
        <w:tc>
          <w:tcPr>
            <w:tcW w:w="259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8902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低温生活热源不报警</w:t>
            </w:r>
          </w:p>
        </w:tc>
      </w:tr>
      <w:tr w14:paraId="6ED1B74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B162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HOT-05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99DB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最危险热源背景+酒精火盆2 m</w:t>
            </w:r>
          </w:p>
        </w:tc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9275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热源近场、火源远场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79AD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热源稳定5 min后点火5次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CB09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真实火焰最终报警，目标≤6 s</w:t>
            </w:r>
          </w:p>
        </w:tc>
      </w:tr>
    </w:tbl>
    <w:p w14:paraId="40D1ECBC">
      <w:pPr>
        <w:spacing w:after="0"/>
      </w:pPr>
    </w:p>
    <w:p w14:paraId="66C5E058">
      <w:pPr>
        <w:pStyle w:val="4"/>
      </w:pPr>
      <w:bookmarkStart w:id="21" w:name="_Toc29653"/>
      <w:r>
        <w:t>8.4 FIR：真实火焰响应与距离边界</w:t>
      </w:r>
      <w:bookmarkEnd w:id="21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5ADE3F4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0FB1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编号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3A62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火源</w:t>
            </w:r>
          </w:p>
        </w:tc>
        <w:tc>
          <w:tcPr>
            <w:tcW w:w="295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53C2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尺寸/距离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3777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等级与次数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319E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主要目的</w:t>
            </w:r>
          </w:p>
        </w:tc>
      </w:tr>
      <w:tr w14:paraId="20B6CCD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9A5F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A08C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工业酒精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47E4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 cm火盆；2/5/10/15 m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FD5E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等级5，每点5次；边界点10次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017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确定小火盆可靠距离及衰减阶段漏检边界</w:t>
            </w:r>
          </w:p>
        </w:tc>
      </w:tr>
      <w:tr w14:paraId="2494125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B857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FIR-02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BDEF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工业酒精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C1C1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30 cm火盆；5/10/15/20/25/30/35 m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126E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等级5，轴向每点5次；35 m不少于10次</w:t>
            </w:r>
          </w:p>
        </w:tc>
        <w:tc>
          <w:tcPr>
            <w:tcW w:w="244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F25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建立轴向最大距离曲线并完成35 m目标验证</w:t>
            </w:r>
          </w:p>
        </w:tc>
      </w:tr>
      <w:tr w14:paraId="1F6C526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648C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B797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纸张/A4及瓦楞纸板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834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统一质量和摆放；1/2/3 m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1BC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等级5/4/3，每点至少5次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B23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解决等级5差约200 ms的问题并确定推荐等级</w:t>
            </w:r>
          </w:p>
        </w:tc>
      </w:tr>
      <w:tr w14:paraId="21A9865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A474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FIR-04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B163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正庚烷+3%甲苯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A28E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标准钢制盘；2/3/5 m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EC63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等级5，每点5次</w:t>
            </w:r>
          </w:p>
        </w:tc>
        <w:tc>
          <w:tcPr>
            <w:tcW w:w="244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0460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补充典型碳型火源样本</w:t>
            </w:r>
          </w:p>
        </w:tc>
      </w:tr>
      <w:tr w14:paraId="5D43DA8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3C5F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FIR-05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1CAE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汽油/柴油/煤油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87A9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同一容器和燃料层条件；2/3 m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C6A3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等级5，每种5次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AC6C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覆盖强碳烟、中等IR和较弱UV差异</w:t>
            </w:r>
          </w:p>
        </w:tc>
      </w:tr>
      <w:tr w14:paraId="2A76F21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06AA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FIR-06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A7F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木条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A243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尺寸与堆放一致；2/3 m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644C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等级5，每点5次</w:t>
            </w:r>
          </w:p>
        </w:tc>
        <w:tc>
          <w:tcPr>
            <w:tcW w:w="244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6E84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验证低频闪烁和逐步发展火焰</w:t>
            </w:r>
          </w:p>
        </w:tc>
      </w:tr>
      <w:tr w14:paraId="6E8D55F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9D32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FIR-07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C17D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聚氨酯泡沫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5301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受控小样；2/3 m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39A5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等级5，每点5次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07F7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验证高烟气、强辐射材料；需专业排烟</w:t>
            </w:r>
          </w:p>
        </w:tc>
      </w:tr>
      <w:tr w14:paraId="797AEA9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EBD5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FIR-08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00CD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甲烷或丙烷</w:t>
            </w:r>
          </w:p>
        </w:tc>
        <w:tc>
          <w:tcPr>
            <w:tcW w:w="295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B1C3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固定燃烧器与流量；2/3 m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BD6E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等级5，每点5次</w:t>
            </w:r>
          </w:p>
        </w:tc>
        <w:tc>
          <w:tcPr>
            <w:tcW w:w="244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ABD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验证清洁气体火焰</w:t>
            </w:r>
          </w:p>
        </w:tc>
      </w:tr>
      <w:tr w14:paraId="28208D1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08AC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FIR-09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8D16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棉绳阴燃</w:t>
            </w:r>
          </w:p>
        </w:tc>
        <w:tc>
          <w:tcPr>
            <w:tcW w:w="29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8447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无明火；1/2 m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A57B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持续30 min</w:t>
            </w:r>
          </w:p>
        </w:tc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C93E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记录但允许不报警，明确产品为火焰探测而非烟雾探测</w:t>
            </w:r>
          </w:p>
        </w:tc>
      </w:tr>
    </w:tbl>
    <w:p w14:paraId="49E1CED7">
      <w:pPr>
        <w:spacing w:after="0"/>
      </w:pPr>
    </w:p>
    <w:tbl>
      <w:tblPr>
        <w:tblStyle w:val="34"/>
        <w:tblW w:w="0" w:type="auto"/>
        <w:jc w:val="center"/>
        <w:tblBorders>
          <w:top w:val="single" w:color="9A6700" w:sz="8" w:space="0"/>
          <w:left w:val="single" w:color="9A6700" w:sz="8" w:space="0"/>
          <w:bottom w:val="single" w:color="9A6700" w:sz="8" w:space="0"/>
          <w:right w:val="single" w:color="9A6700" w:sz="8" w:space="0"/>
          <w:insideH w:val="single" w:color="9A6700" w:sz="8" w:space="0"/>
          <w:insideV w:val="single" w:color="9A67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2823C618">
        <w:tblPrEx>
          <w:tblBorders>
            <w:top w:val="single" w:color="9A6700" w:sz="8" w:space="0"/>
            <w:left w:val="single" w:color="9A6700" w:sz="8" w:space="0"/>
            <w:bottom w:val="single" w:color="9A6700" w:sz="8" w:space="0"/>
            <w:right w:val="single" w:color="9A6700" w:sz="8" w:space="0"/>
            <w:insideH w:val="single" w:color="9A6700" w:sz="8" w:space="0"/>
            <w:insideV w:val="single" w:color="9A67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FFF4C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94ECB">
            <w:pPr>
              <w:spacing w:after="40"/>
            </w:pPr>
            <w:r>
              <w:rPr>
                <w:rFonts w:ascii="Calibri" w:hAnsi="Calibri" w:eastAsia="微软雅黑"/>
                <w:b/>
                <w:color w:val="9A6700"/>
                <w:sz w:val="18"/>
              </w:rPr>
              <w:t>燃烧阶段必须完整覆盖</w:t>
            </w:r>
          </w:p>
          <w:p w14:paraId="5661F42D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酒精和其他火源不能只测最旺阶段。每次至少记录点火启动、稳定燃烧、自然衰减或受控熄灭三个阶段，特别统计P4.5低于当前ON以后是否退出、是否重新进入以及UV是否仍保持FIRE。</w:t>
            </w:r>
          </w:p>
        </w:tc>
      </w:tr>
    </w:tbl>
    <w:p w14:paraId="2D8162D5">
      <w:pPr>
        <w:spacing w:after="0"/>
      </w:pPr>
    </w:p>
    <w:p w14:paraId="5A21797A">
      <w:pPr>
        <w:pStyle w:val="4"/>
      </w:pPr>
      <w:bookmarkStart w:id="22" w:name="_Toc3239"/>
      <w:r>
        <w:t>8.5 ANG：30 cm火盆距离—角度专项</w:t>
      </w:r>
      <w:bookmarkEnd w:id="22"/>
    </w:p>
    <w:p w14:paraId="74A8122B">
      <w:pPr>
        <w:ind w:firstLine="360"/>
      </w:pPr>
      <w:r>
        <w:rPr>
          <w:rFonts w:ascii="Calibri" w:hAnsi="Calibri" w:eastAsia="宋体"/>
          <w:sz w:val="20"/>
        </w:rPr>
        <w:t>本专项是最终能力验收的核心。火源使用30 cm工业酒精火盆，火盆中心、镜头光学中心和测距基线保持不变。探测器安装在带刻度的水平旋转台上，0°表示光轴正对火源；负角为向左偏转，正角为向右偏转。115°总视场对应-57.5°至+57.5°，左右两侧必须分别测试，不能只测单侧后按对称性推断。</w:t>
      </w:r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3D76CEC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9666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阶段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DB5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距离</w:t>
            </w:r>
          </w:p>
        </w:tc>
        <w:tc>
          <w:tcPr>
            <w:tcW w:w="381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6AAF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角度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DBB9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每点次数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8E1C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5"/>
              </w:rPr>
              <w:t>目的</w:t>
            </w:r>
          </w:p>
        </w:tc>
      </w:tr>
      <w:tr w14:paraId="1733937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5F66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ANG-A 轴向距离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DA0B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5/10/15/20/25/30/35 m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2302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0°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4854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5次；35 m为10次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4E91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先确认最大距离，避免角度结果混入距离不足因素</w:t>
            </w:r>
          </w:p>
        </w:tc>
      </w:tr>
      <w:tr w14:paraId="28E883C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C76B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ANG-B 角度扫描</w:t>
            </w:r>
          </w:p>
        </w:tc>
        <w:tc>
          <w:tcPr>
            <w:tcW w:w="180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B5CB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10/20/30/35 m</w:t>
            </w:r>
          </w:p>
        </w:tc>
        <w:tc>
          <w:tcPr>
            <w:tcW w:w="381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EC3A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0°、±15°、±30°、±45°、±52.5°、±57.5°</w:t>
            </w:r>
          </w:p>
        </w:tc>
        <w:tc>
          <w:tcPr>
            <w:tcW w:w="15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9CD8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每点3次；35 m每点5次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8AFA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形成距离—角度二维响应图，检查左右不对称</w:t>
            </w:r>
          </w:p>
        </w:tc>
      </w:tr>
      <w:tr w14:paraId="38B4F70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6785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ANG-C 边界精测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578E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35 m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71F2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±45°、±50°、±52.5°、±55°、±57.5°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00F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每点10次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4349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确定115°边缘附近的可靠角度和衰减趋势</w:t>
            </w:r>
          </w:p>
        </w:tc>
      </w:tr>
      <w:tr w14:paraId="393423B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F2A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ANG-D 最终验收</w:t>
            </w:r>
          </w:p>
        </w:tc>
        <w:tc>
          <w:tcPr>
            <w:tcW w:w="180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A7CC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35 m</w:t>
            </w:r>
          </w:p>
        </w:tc>
        <w:tc>
          <w:tcPr>
            <w:tcW w:w="381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DDAD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0°、-57.5°、+57.5°</w:t>
            </w:r>
          </w:p>
        </w:tc>
        <w:tc>
          <w:tcPr>
            <w:tcW w:w="15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063F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每点10次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92C2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验证轴向及115°两侧边缘均达到最终指标</w:t>
            </w:r>
          </w:p>
        </w:tc>
      </w:tr>
      <w:tr w14:paraId="6D8B622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048A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ANG-E 垂直补充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5A18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20 m和35 m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E1C6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俯仰0°、±15°、±30°；如垂直也声明115°则加±57.5°</w:t>
            </w:r>
          </w:p>
        </w:tc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80C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每点5次</w:t>
            </w:r>
          </w:p>
        </w:tc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8B3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区分水平视场和垂直视场，不混用角度结论</w:t>
            </w:r>
          </w:p>
        </w:tc>
      </w:tr>
      <w:tr w14:paraId="7D46E39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3F5F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ANG-F 尺寸对照</w:t>
            </w:r>
          </w:p>
        </w:tc>
        <w:tc>
          <w:tcPr>
            <w:tcW w:w="180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913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10 cm火盆的最大可靠轴向距离</w:t>
            </w:r>
          </w:p>
        </w:tc>
        <w:tc>
          <w:tcPr>
            <w:tcW w:w="381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C1F3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0°、±30°、±45°、±57.5°</w:t>
            </w:r>
          </w:p>
        </w:tc>
        <w:tc>
          <w:tcPr>
            <w:tcW w:w="15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AE95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每点5次</w:t>
            </w:r>
          </w:p>
        </w:tc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D7FC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5"/>
              </w:rPr>
              <w:t>量化火盆尺寸对最大距离和边缘角度的影响</w:t>
            </w:r>
          </w:p>
        </w:tc>
      </w:tr>
    </w:tbl>
    <w:p w14:paraId="5E2D5ECA">
      <w:pPr>
        <w:spacing w:after="0"/>
      </w:pPr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193"/>
        <w:gridCol w:w="1193"/>
        <w:gridCol w:w="1193"/>
        <w:gridCol w:w="1193"/>
        <w:gridCol w:w="1193"/>
        <w:gridCol w:w="1193"/>
        <w:gridCol w:w="1193"/>
      </w:tblGrid>
      <w:tr w14:paraId="3B1DA70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CE81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距离\角度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034A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-57.5°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8739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-45°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6388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-30°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1372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0°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A83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+30°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AF15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+45°</w:t>
            </w:r>
          </w:p>
        </w:tc>
        <w:tc>
          <w:tcPr>
            <w:tcW w:w="115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B387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+57.5°</w:t>
            </w:r>
          </w:p>
        </w:tc>
      </w:tr>
      <w:tr w14:paraId="1E5FCDB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DA54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 m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B9822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9E55E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44435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84226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CCDFE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17246">
            <w:pPr>
              <w:spacing w:after="0" w:line="259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3223A">
            <w:pPr>
              <w:spacing w:after="0" w:line="259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47667FD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CA87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 m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A07B3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23675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63EDC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CAABB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E6895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C77D1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4012">
            <w:pPr>
              <w:spacing w:after="0" w:line="259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06DC626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EE64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15 m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32848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4825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ABD1B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66DE0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7A70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C8F4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8F0C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2932E50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7074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 m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CEA4D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562BD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9A75D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F73E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8DCE4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182B4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4E92E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5F8085E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4301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25 m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8F1A5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0DA79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965AB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C86E3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03B30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E0B02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522E6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611FD7C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5EA6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30 m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6122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848C9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1BF23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38BEA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EEFD2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E41D1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7E54C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  <w:tr w14:paraId="2E18D5B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7D6F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35 m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C5CA8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33F6F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07A92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95C06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79C71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3DD8A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78F8D">
            <w:pPr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6"/>
                <w:lang w:eastAsia="zh-CN"/>
              </w:rPr>
              <w:t>□</w:t>
            </w:r>
          </w:p>
        </w:tc>
      </w:tr>
    </w:tbl>
    <w:p w14:paraId="1EF20F53">
      <w:pPr>
        <w:spacing w:after="0"/>
      </w:pPr>
    </w:p>
    <w:p w14:paraId="4B611E9D">
      <w:pPr>
        <w:ind w:firstLine="360"/>
      </w:pPr>
      <w:r>
        <w:rPr>
          <w:rFonts w:ascii="Calibri" w:hAnsi="Calibri" w:eastAsia="宋体"/>
          <w:sz w:val="20"/>
        </w:rPr>
        <w:t>表中每个格填写“报警成功次数/总次数、响应时间中位数、最大响应时间”。若某角度未通过，应在相邻角度之间以2.5°步进复测，得到实际可靠边界。对称保证视场角按左右两侧共同通过的较小边界计算：总视场角 = 2 × min（左侧可靠偏角，右侧可靠偏角）。</w:t>
      </w:r>
    </w:p>
    <w:tbl>
      <w:tblPr>
        <w:tblStyle w:val="34"/>
        <w:tblW w:w="0" w:type="auto"/>
        <w:jc w:val="center"/>
        <w:tblBorders>
          <w:top w:val="single" w:color="9A6700" w:sz="8" w:space="0"/>
          <w:left w:val="single" w:color="9A6700" w:sz="8" w:space="0"/>
          <w:bottom w:val="single" w:color="9A6700" w:sz="8" w:space="0"/>
          <w:right w:val="single" w:color="9A6700" w:sz="8" w:space="0"/>
          <w:insideH w:val="single" w:color="9A6700" w:sz="8" w:space="0"/>
          <w:insideV w:val="single" w:color="9A67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2F66BD89">
        <w:tblPrEx>
          <w:tblBorders>
            <w:top w:val="single" w:color="9A6700" w:sz="8" w:space="0"/>
            <w:left w:val="single" w:color="9A6700" w:sz="8" w:space="0"/>
            <w:bottom w:val="single" w:color="9A6700" w:sz="8" w:space="0"/>
            <w:right w:val="single" w:color="9A6700" w:sz="8" w:space="0"/>
            <w:insideH w:val="single" w:color="9A6700" w:sz="8" w:space="0"/>
            <w:insideV w:val="single" w:color="9A6700" w:sz="8" w:space="0"/>
          </w:tblBorders>
        </w:tblPrEx>
        <w:trPr>
          <w:cantSplit/>
          <w:jc w:val="center"/>
        </w:trPr>
        <w:tc>
          <w:tcPr>
            <w:tcW w:w="9399" w:type="dxa"/>
            <w:shd w:val="clear" w:color="auto" w:fill="FFF4C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AAF1B">
            <w:pPr>
              <w:spacing w:after="40"/>
            </w:pPr>
            <w:r>
              <w:rPr>
                <w:rFonts w:ascii="Calibri" w:hAnsi="Calibri" w:eastAsia="微软雅黑"/>
                <w:b/>
                <w:color w:val="9A6700"/>
                <w:sz w:val="18"/>
              </w:rPr>
              <w:t>35 m测试的两种暴露方式</w:t>
            </w:r>
          </w:p>
          <w:p w14:paraId="57FC0DAF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每个关键点同时执行两类测试：①从点火开始计时，覆盖启动到稳定燃烧全过程；②火焰稳定30~60秒后，用靠近探测器的耐热不反光遮挡板解除遮挡并计时，用于验证稳定火焰本身的远距离角度响应。两类结果必须分开记录。</w:t>
            </w:r>
          </w:p>
        </w:tc>
      </w:tr>
    </w:tbl>
    <w:p w14:paraId="4F3F0F1D">
      <w:pPr>
        <w:spacing w:after="0"/>
      </w:pPr>
    </w:p>
    <w:tbl>
      <w:tblPr>
        <w:tblStyle w:val="34"/>
        <w:tblW w:w="0" w:type="auto"/>
        <w:jc w:val="center"/>
        <w:tblBorders>
          <w:top w:val="single" w:color="2F6B4F" w:sz="8" w:space="0"/>
          <w:left w:val="single" w:color="2F6B4F" w:sz="8" w:space="0"/>
          <w:bottom w:val="single" w:color="2F6B4F" w:sz="8" w:space="0"/>
          <w:right w:val="single" w:color="2F6B4F" w:sz="8" w:space="0"/>
          <w:insideH w:val="single" w:color="2F6B4F" w:sz="8" w:space="0"/>
          <w:insideV w:val="single" w:color="2F6B4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214BD52A">
        <w:tblPrEx>
          <w:tblBorders>
            <w:top w:val="single" w:color="2F6B4F" w:sz="8" w:space="0"/>
            <w:left w:val="single" w:color="2F6B4F" w:sz="8" w:space="0"/>
            <w:bottom w:val="single" w:color="2F6B4F" w:sz="8" w:space="0"/>
            <w:right w:val="single" w:color="2F6B4F" w:sz="8" w:space="0"/>
            <w:insideH w:val="single" w:color="2F6B4F" w:sz="8" w:space="0"/>
            <w:insideV w:val="single" w:color="2F6B4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A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298BA">
            <w:pPr>
              <w:spacing w:after="40"/>
            </w:pPr>
            <w:r>
              <w:rPr>
                <w:rFonts w:ascii="Calibri" w:hAnsi="Calibri" w:eastAsia="微软雅黑"/>
                <w:b/>
                <w:color w:val="2F6B4F"/>
                <w:sz w:val="18"/>
              </w:rPr>
              <w:t>最终验收判据</w:t>
            </w:r>
          </w:p>
          <w:p w14:paraId="592FC957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在当前冻结参数和等级5下，30 cm火盆、35 m距离、0°及±57.5°三个最终点均应完成IR与UV融合报警。每点建议不少于9/10次成功，最终响应时间工程目标不超过6秒。若±57.5°任一侧失败，则不能宣称达到115°总视场，应报告实际左右边界及保证视场角。</w:t>
            </w:r>
          </w:p>
        </w:tc>
      </w:tr>
    </w:tbl>
    <w:p w14:paraId="20AE2B4A">
      <w:pPr>
        <w:spacing w:after="0"/>
      </w:pPr>
    </w:p>
    <w:p w14:paraId="4B20EC0A">
      <w:pPr>
        <w:pStyle w:val="4"/>
      </w:pPr>
      <w:bookmarkStart w:id="23" w:name="_Toc21922"/>
      <w:r>
        <w:t>8.6 LTR：打火机及瞬态干扰</w:t>
      </w:r>
      <w:bookmarkEnd w:id="23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2CDD89F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EF2A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编号</w:t>
            </w:r>
          </w:p>
        </w:tc>
        <w:tc>
          <w:tcPr>
            <w:tcW w:w="19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2E42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距离</w:t>
            </w:r>
          </w:p>
        </w:tc>
        <w:tc>
          <w:tcPr>
            <w:tcW w:w="19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06C2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点燃方式</w:t>
            </w:r>
          </w:p>
        </w:tc>
        <w:tc>
          <w:tcPr>
            <w:tcW w:w="19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A247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次数</w:t>
            </w:r>
          </w:p>
        </w:tc>
        <w:tc>
          <w:tcPr>
            <w:tcW w:w="19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F83C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判定重点</w:t>
            </w:r>
          </w:p>
        </w:tc>
      </w:tr>
      <w:tr w14:paraId="30B435F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0CE7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LTR-01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7894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0.3/0.5/1/1.5/2 m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A0B5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点燃约3 s后熄灭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0DF3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每点10次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B50F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应识别启动峰值衰减特征，不产生最终报警</w:t>
            </w:r>
          </w:p>
        </w:tc>
      </w:tr>
      <w:tr w14:paraId="5EE68D8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F3E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LTR-02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267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0.3/0.5/1 m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1EF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点燃10 s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A3F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每点10次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300A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记录LIGHTER分类和是否阻止最终报警；结束后人工/RST复位</w:t>
            </w:r>
          </w:p>
        </w:tc>
      </w:tr>
      <w:tr w14:paraId="7ED863C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622C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LTR-03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ECA1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待定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5988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涉及LIGHTER自动升级SUSTAINED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AC48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本轮不执行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915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待恢复策略确定后另行测试</w:t>
            </w:r>
          </w:p>
        </w:tc>
      </w:tr>
      <w:tr w14:paraId="4B609D0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D230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LTR-04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CCE0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待定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2A8C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涉及自动释放和重新布防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A91B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本轮不执行</w:t>
            </w:r>
          </w:p>
        </w:tc>
        <w:tc>
          <w:tcPr>
            <w:tcW w:w="1909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7A2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待恢复策略确定后另行测试</w:t>
            </w:r>
          </w:p>
        </w:tc>
      </w:tr>
      <w:tr w14:paraId="0B38255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CF19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LTR-05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98F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最易触发距离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E675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吹风造成火焰摆动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9ACA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5次</w:t>
            </w:r>
          </w:p>
        </w:tc>
        <w:tc>
          <w:tcPr>
            <w:tcW w:w="19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5065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观察稳定能量和有效占比变化，禁止以单次峰值定性</w:t>
            </w:r>
          </w:p>
        </w:tc>
      </w:tr>
    </w:tbl>
    <w:p w14:paraId="04C74591">
      <w:pPr>
        <w:spacing w:after="0"/>
      </w:pPr>
    </w:p>
    <w:p w14:paraId="6AB2879F">
      <w:pPr>
        <w:ind w:firstLine="360"/>
        <w:rPr>
          <w:rFonts w:ascii="Calibri" w:hAnsi="Calibri" w:eastAsia="宋体"/>
          <w:sz w:val="20"/>
        </w:rPr>
      </w:pPr>
      <w:r>
        <w:rPr>
          <w:rFonts w:ascii="Calibri" w:hAnsi="Calibri" w:eastAsia="宋体"/>
          <w:sz w:val="20"/>
        </w:rPr>
        <w:t>短时打火机是当前明确的干扰目标；但连续保持的小火焰在物理上仍是真实火焰。持续小火焰是否允许报警以及LIGHTER是否自动升级为SUSTAINED，待产品恢复策略确定后另行测试。本轮只记录初次LIGHTER分类和最终报警结果，测试结束后通过外部人为干预或RST脚复位。</w:t>
      </w:r>
    </w:p>
    <w:p w14:paraId="0AAAA94C">
      <w:pPr>
        <w:ind w:firstLine="360"/>
        <w:rPr>
          <w:rFonts w:ascii="Calibri" w:hAnsi="Calibri" w:eastAsia="宋体"/>
          <w:sz w:val="20"/>
        </w:rPr>
      </w:pPr>
    </w:p>
    <w:p w14:paraId="2401AF89">
      <w:pPr>
        <w:pStyle w:val="4"/>
      </w:pPr>
      <w:bookmarkStart w:id="24" w:name="_Toc22161"/>
      <w:r>
        <w:t>8.7 SEN：灵敏度与边界扫描</w:t>
      </w:r>
      <w:bookmarkEnd w:id="24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2866391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A47B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编号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CCEF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项目</w:t>
            </w:r>
          </w:p>
        </w:tc>
        <w:tc>
          <w:tcPr>
            <w:tcW w:w="165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8072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等级</w:t>
            </w:r>
          </w:p>
        </w:tc>
        <w:tc>
          <w:tcPr>
            <w:tcW w:w="26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A591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方法</w:t>
            </w:r>
          </w:p>
        </w:tc>
        <w:tc>
          <w:tcPr>
            <w:tcW w:w="25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178A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输出</w:t>
            </w:r>
          </w:p>
        </w:tc>
      </w:tr>
      <w:tr w14:paraId="11853CB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6B10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SEN-01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2D93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无火背景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1258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0/3/5/7/9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F5E4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每级30 min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D8A4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各级近触发次数和误报情况</w:t>
            </w:r>
          </w:p>
        </w:tc>
      </w:tr>
      <w:tr w14:paraId="14848F9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6996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SEN-02</w:t>
            </w:r>
          </w:p>
        </w:tc>
        <w:tc>
          <w:tcPr>
            <w:tcW w:w="237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BFB5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 cm酒精火盆2 m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9496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0/3/5/7/9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DDDC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每级5次</w:t>
            </w:r>
          </w:p>
        </w:tc>
        <w:tc>
          <w:tcPr>
            <w:tcW w:w="252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827B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响应率和响应时间随等级变化</w:t>
            </w:r>
          </w:p>
        </w:tc>
      </w:tr>
      <w:tr w14:paraId="01E7E3D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F8C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SEN-03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44B9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纸张火2 m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B30B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5→4→3，必要时继续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6B0C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每级至少5次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63FC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找到稳定触发的最高等级数值</w:t>
            </w:r>
          </w:p>
        </w:tc>
      </w:tr>
      <w:tr w14:paraId="49C9DCF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5A5A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SEN-04</w:t>
            </w:r>
          </w:p>
        </w:tc>
        <w:tc>
          <w:tcPr>
            <w:tcW w:w="237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2A28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打火机1 m</w:t>
            </w:r>
          </w:p>
        </w:tc>
        <w:tc>
          <w:tcPr>
            <w:tcW w:w="1655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2C1C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0/3/5/7/9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572F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每级10次短时点燃</w:t>
            </w:r>
          </w:p>
        </w:tc>
        <w:tc>
          <w:tcPr>
            <w:tcW w:w="252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E319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LIGHTER识别率和最终报警边界</w:t>
            </w:r>
          </w:p>
        </w:tc>
      </w:tr>
      <w:tr w14:paraId="1AD5665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6931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SEN-05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B99C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最危险太阳光/热源</w:t>
            </w:r>
          </w:p>
        </w:tc>
        <w:tc>
          <w:tcPr>
            <w:tcW w:w="16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9189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0/3/5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D4A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每级10 min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C7E7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提高灵敏度后的抗干扰裕量</w:t>
            </w:r>
          </w:p>
        </w:tc>
      </w:tr>
    </w:tbl>
    <w:p w14:paraId="16C24989">
      <w:pPr>
        <w:spacing w:after="0"/>
      </w:pPr>
    </w:p>
    <w:p w14:paraId="604360C1">
      <w:pPr>
        <w:pStyle w:val="4"/>
      </w:pPr>
      <w:bookmarkStart w:id="25" w:name="_Toc15760"/>
      <w:r>
        <w:t>8.8 CMB：组合场景</w:t>
      </w:r>
      <w:bookmarkEnd w:id="25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09"/>
        <w:gridCol w:w="1909"/>
        <w:gridCol w:w="1909"/>
        <w:gridCol w:w="1909"/>
      </w:tblGrid>
      <w:tr w14:paraId="6CAE3A5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5B27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编号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FAC2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背景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652F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叠加火源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058A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步骤</w:t>
            </w:r>
          </w:p>
        </w:tc>
        <w:tc>
          <w:tcPr>
            <w:tcW w:w="2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3EAF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判定</w:t>
            </w:r>
          </w:p>
        </w:tc>
      </w:tr>
      <w:tr w14:paraId="0D64C3C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CE0C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CMB-01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7169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太阳直射最危险角度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5992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 cm酒精火盆2 m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77CE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背景5 min后点火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6710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无背景误报；点火后最终报警</w:t>
            </w:r>
          </w:p>
        </w:tc>
      </w:tr>
      <w:tr w14:paraId="0B7E093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68C2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CMB-02</w:t>
            </w:r>
          </w:p>
        </w:tc>
        <w:tc>
          <w:tcPr>
            <w:tcW w:w="230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214E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约9000 lx人工灯光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AE15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纸张火2 m</w:t>
            </w:r>
          </w:p>
        </w:tc>
        <w:tc>
          <w:tcPr>
            <w:tcW w:w="237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AA6E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灯光稳定后点火</w:t>
            </w:r>
          </w:p>
        </w:tc>
        <w:tc>
          <w:tcPr>
            <w:tcW w:w="230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C8B7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确认IR和UV均有余量</w:t>
            </w:r>
          </w:p>
        </w:tc>
      </w:tr>
      <w:tr w14:paraId="73D53C3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1406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CMB-03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8C40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300~500 ℃热源近场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3AA7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酒精火盆2 m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FA07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热源稳定后点火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0CEE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热源不误报且不掩盖真实火焰</w:t>
            </w:r>
          </w:p>
        </w:tc>
      </w:tr>
      <w:tr w14:paraId="3B9F36A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717B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CMB-04</w:t>
            </w:r>
          </w:p>
        </w:tc>
        <w:tc>
          <w:tcPr>
            <w:tcW w:w="230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F889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轻微横向风0.5/1/2 m/s</w:t>
            </w:r>
          </w:p>
        </w:tc>
        <w:tc>
          <w:tcPr>
            <w:tcW w:w="223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9D09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酒精和纸张火</w:t>
            </w:r>
          </w:p>
        </w:tc>
        <w:tc>
          <w:tcPr>
            <w:tcW w:w="237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5AA3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每风速各5次</w:t>
            </w:r>
          </w:p>
        </w:tc>
        <w:tc>
          <w:tcPr>
            <w:tcW w:w="230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7B74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评估火焰摆动和UV脉冲变化</w:t>
            </w:r>
          </w:p>
        </w:tc>
      </w:tr>
      <w:tr w14:paraId="7C0E2A0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A278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CMB-05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C637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镜片轻度污染或透过率样片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41A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酒精/纸张核心点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2B91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每状态5次</w:t>
            </w:r>
          </w:p>
        </w:tc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CAAF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量化光学衰减后的距离和等级裕量</w:t>
            </w:r>
          </w:p>
        </w:tc>
      </w:tr>
    </w:tbl>
    <w:p w14:paraId="7EFD0BA4">
      <w:pPr>
        <w:spacing w:after="0"/>
      </w:pPr>
    </w:p>
    <w:p w14:paraId="08CDFD03">
      <w:pPr>
        <w:pStyle w:val="4"/>
      </w:pPr>
      <w:bookmarkStart w:id="26" w:name="_Toc4826"/>
      <w:r>
        <w:t>8.9 REL：长期稳定与人工复位</w:t>
      </w:r>
      <w:bookmarkEnd w:id="26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5624B83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BDA6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编号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29C9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场景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358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时长</w:t>
            </w:r>
          </w:p>
        </w:tc>
        <w:tc>
          <w:tcPr>
            <w:tcW w:w="331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497A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检查项</w:t>
            </w:r>
          </w:p>
        </w:tc>
      </w:tr>
      <w:tr w14:paraId="093D03C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D8AB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REL-01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8264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室内无火、等级5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D92D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24 h</w:t>
            </w: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AEA4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误报、复位、串口异常、状态滞留、看门狗</w:t>
            </w:r>
          </w:p>
        </w:tc>
      </w:tr>
      <w:tr w14:paraId="4801FD0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E713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REL-02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01F1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室内无火、等级0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508F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 h</w:t>
            </w:r>
          </w:p>
        </w:tc>
        <w:tc>
          <w:tcPr>
            <w:tcW w:w="331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AC76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最灵敏设置下的背景裕量</w:t>
            </w:r>
          </w:p>
        </w:tc>
      </w:tr>
      <w:tr w14:paraId="398203D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E34E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REL-03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2181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卤素灯或最危险人工光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CA13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 h</w:t>
            </w: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CE49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重复现有30 min结论并检查长期积累</w:t>
            </w:r>
          </w:p>
        </w:tc>
      </w:tr>
      <w:tr w14:paraId="456D2B5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158E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REL-04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CA8D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室外自然光昼间变化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3F71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日出后至日落前</w:t>
            </w:r>
          </w:p>
        </w:tc>
        <w:tc>
          <w:tcPr>
            <w:tcW w:w="331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3B4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日照角度和云层变化下的状态迁移</w:t>
            </w:r>
          </w:p>
        </w:tc>
      </w:tr>
      <w:tr w14:paraId="1E6B60C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9961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REL-05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8E5A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自动恢复与重新布防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191B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待定</w:t>
            </w:r>
          </w:p>
        </w:tc>
        <w:tc>
          <w:tcPr>
            <w:tcW w:w="33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AF6D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本轮不执行；待产品恢复策略确定后补充</w:t>
            </w:r>
          </w:p>
        </w:tc>
      </w:tr>
      <w:tr w14:paraId="6BA67B4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7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6043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REL-06</w:t>
            </w:r>
          </w:p>
        </w:tc>
        <w:tc>
          <w:tcPr>
            <w:tcW w:w="32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F6D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RST复位/断电重启与EEPROM参数</w:t>
            </w:r>
          </w:p>
        </w:tc>
        <w:tc>
          <w:tcPr>
            <w:tcW w:w="172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5BB0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各20次</w:t>
            </w:r>
          </w:p>
        </w:tc>
        <w:tc>
          <w:tcPr>
            <w:tcW w:w="3311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6B7A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参数、死区、等级和状态初始化一致</w:t>
            </w:r>
          </w:p>
        </w:tc>
      </w:tr>
    </w:tbl>
    <w:p w14:paraId="4971B6A7">
      <w:pPr>
        <w:spacing w:after="0"/>
      </w:pPr>
    </w:p>
    <w:p w14:paraId="11322BAF">
      <w:pPr>
        <w:pStyle w:val="3"/>
      </w:pPr>
      <w:bookmarkStart w:id="27" w:name="_Toc23835"/>
      <w:r>
        <w:t>九、问题定位与参数调整规则</w:t>
      </w:r>
      <w:bookmarkEnd w:id="27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181"/>
        <w:gridCol w:w="3181"/>
      </w:tblGrid>
      <w:tr w14:paraId="4EF2320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6F3E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现象</w:t>
            </w:r>
          </w:p>
        </w:tc>
        <w:tc>
          <w:tcPr>
            <w:tcW w:w="453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7C0F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优先检查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FDA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禁止的处理方式</w:t>
            </w:r>
          </w:p>
        </w:tc>
      </w:tr>
      <w:tr w14:paraId="4CA6952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378B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纸张只差少量确认时间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FC5F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统计多次ACC峰值、IR判据失败项、UV/IR先后关系，再比较等级4和3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56EA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根据单次200 ms差值直接降低全部阈值</w:t>
            </w:r>
          </w:p>
        </w:tc>
      </w:tr>
      <w:tr w14:paraId="7A74D3C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D231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小酒精火后期退出</w:t>
            </w:r>
          </w:p>
        </w:tc>
        <w:tc>
          <w:tcPr>
            <w:tcW w:w="45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D386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区分P4.5低于ON、低于OFF、光谱比失效或UV脉冲减少</w:t>
            </w:r>
          </w:p>
        </w:tc>
        <w:tc>
          <w:tcPr>
            <w:tcW w:w="28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43A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把所有退出都归因于功率阈值</w:t>
            </w:r>
          </w:p>
        </w:tc>
      </w:tr>
      <w:tr w14:paraId="787F4EC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42F7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太阳光单通道FIRE但无最终报警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6396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视为融合裕量风险，检查另一通道是否可能被其他干扰补齐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6ED9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仅因最终输出未报警就判定完全通过</w:t>
            </w:r>
          </w:p>
        </w:tc>
      </w:tr>
      <w:tr w14:paraId="2DD2009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AA6B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打火机被判持续火焰</w:t>
            </w:r>
          </w:p>
        </w:tc>
        <w:tc>
          <w:tcPr>
            <w:tcW w:w="45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806F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检查启动峰值、稳定窗有效样本、稳定/峰值比例和提前收口时刻</w:t>
            </w:r>
          </w:p>
        </w:tc>
        <w:tc>
          <w:tcPr>
            <w:tcW w:w="28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10B6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通过调整恢复条件掩盖初始分类错误</w:t>
            </w:r>
          </w:p>
        </w:tc>
      </w:tr>
      <w:tr w14:paraId="218BB13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F82E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真实火焰被判LIGHTER</w:t>
            </w:r>
          </w:p>
        </w:tc>
        <w:tc>
          <w:tcPr>
            <w:tcW w:w="4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2BC3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检查后段有效占比、稳定均值、提前收口时刻；自动升级测试暂缓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0FA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删除分类逻辑或在本轮引入未经验证的自动恢复</w:t>
            </w:r>
          </w:p>
        </w:tc>
      </w:tr>
      <w:tr w14:paraId="5AADB64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3350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测试结果批次差异大</w:t>
            </w:r>
          </w:p>
        </w:tc>
        <w:tc>
          <w:tcPr>
            <w:tcW w:w="453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8C80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核对镜片、传感器、燃料批次、风速、照度、容器温度和参数快照</w:t>
            </w:r>
          </w:p>
        </w:tc>
        <w:tc>
          <w:tcPr>
            <w:tcW w:w="288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DDDE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混合不同配置数据计算总体成功率</w:t>
            </w:r>
          </w:p>
        </w:tc>
      </w:tr>
    </w:tbl>
    <w:p w14:paraId="3E1EA49B">
      <w:pPr>
        <w:spacing w:after="0"/>
      </w:pPr>
    </w:p>
    <w:tbl>
      <w:tblPr>
        <w:tblStyle w:val="34"/>
        <w:tblW w:w="0" w:type="auto"/>
        <w:jc w:val="center"/>
        <w:tblBorders>
          <w:top w:val="single" w:color="2F6B4F" w:sz="8" w:space="0"/>
          <w:left w:val="single" w:color="2F6B4F" w:sz="8" w:space="0"/>
          <w:bottom w:val="single" w:color="2F6B4F" w:sz="8" w:space="0"/>
          <w:right w:val="single" w:color="2F6B4F" w:sz="8" w:space="0"/>
          <w:insideH w:val="single" w:color="2F6B4F" w:sz="8" w:space="0"/>
          <w:insideV w:val="single" w:color="2F6B4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4D9E8862">
        <w:tblPrEx>
          <w:tblBorders>
            <w:top w:val="single" w:color="2F6B4F" w:sz="8" w:space="0"/>
            <w:left w:val="single" w:color="2F6B4F" w:sz="8" w:space="0"/>
            <w:bottom w:val="single" w:color="2F6B4F" w:sz="8" w:space="0"/>
            <w:right w:val="single" w:color="2F6B4F" w:sz="8" w:space="0"/>
            <w:insideH w:val="single" w:color="2F6B4F" w:sz="8" w:space="0"/>
            <w:insideV w:val="single" w:color="2F6B4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A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132C9">
            <w:pPr>
              <w:spacing w:after="40"/>
            </w:pPr>
            <w:r>
              <w:rPr>
                <w:rFonts w:ascii="Calibri" w:hAnsi="Calibri" w:eastAsia="微软雅黑"/>
                <w:b/>
                <w:color w:val="2F6B4F"/>
                <w:sz w:val="18"/>
              </w:rPr>
              <w:t>单变量原则</w:t>
            </w:r>
          </w:p>
          <w:p w14:paraId="383EDEE2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发现问题后先使用原配置复现，再一次只修改一个参数或一个硬件条件。任何影响进场阈值、确认时间、光谱比、ZCR、UV窗口或点火包络分类的修改，都必须重跑P0项目和对应抗干扰项目。</w:t>
            </w:r>
          </w:p>
        </w:tc>
      </w:tr>
    </w:tbl>
    <w:p w14:paraId="0BF43BA0">
      <w:pPr>
        <w:spacing w:after="0"/>
      </w:pPr>
    </w:p>
    <w:p w14:paraId="76B4846E">
      <w:pPr>
        <w:pStyle w:val="3"/>
      </w:pPr>
      <w:bookmarkStart w:id="28" w:name="_Toc9513"/>
      <w:r>
        <w:t>十、推荐执行顺序</w:t>
      </w:r>
      <w:bookmarkEnd w:id="28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1"/>
        <w:gridCol w:w="3181"/>
        <w:gridCol w:w="3181"/>
      </w:tblGrid>
      <w:tr w14:paraId="4EFB553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FCB6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阶段</w:t>
            </w:r>
          </w:p>
        </w:tc>
        <w:tc>
          <w:tcPr>
            <w:tcW w:w="54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8A7D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建议内容</w:t>
            </w:r>
          </w:p>
        </w:tc>
        <w:tc>
          <w:tcPr>
            <w:tcW w:w="26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D101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输出物</w:t>
            </w:r>
          </w:p>
        </w:tc>
      </w:tr>
      <w:tr w14:paraId="4BA214A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9566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第1阶段</w:t>
            </w:r>
          </w:p>
        </w:tc>
        <w:tc>
          <w:tcPr>
            <w:tcW w:w="5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B538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30 cm火盆5~35 m轴向距离、35 m/±57.5°预验证、纸张等级5/4/3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6C92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最大距离初判、115°边界风险、推荐等级</w:t>
            </w:r>
          </w:p>
        </w:tc>
      </w:tr>
      <w:tr w14:paraId="345F2CC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7A01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第2阶段</w:t>
            </w:r>
          </w:p>
        </w:tc>
        <w:tc>
          <w:tcPr>
            <w:tcW w:w="540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9A9B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正庚烷+甲苯、木材、汽柴油/煤油、气体火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D5F1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多燃料特征数据库和响应率</w:t>
            </w:r>
          </w:p>
        </w:tc>
      </w:tr>
      <w:tr w14:paraId="127C033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85D1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第3阶段</w:t>
            </w:r>
          </w:p>
        </w:tc>
        <w:tc>
          <w:tcPr>
            <w:tcW w:w="5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969B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人工光全矩阵、热源全矩阵、打火机重复性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058C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误报边界和点火包络分类统计</w:t>
            </w:r>
          </w:p>
        </w:tc>
      </w:tr>
      <w:tr w14:paraId="3EF4E76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B41F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第4阶段</w:t>
            </w:r>
          </w:p>
        </w:tc>
        <w:tc>
          <w:tcPr>
            <w:tcW w:w="5400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9E6A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完整距离—角度矩阵及35 m边界精测；太阳光/灯光/热源背景下真火</w:t>
            </w:r>
          </w:p>
        </w:tc>
        <w:tc>
          <w:tcPr>
            <w:tcW w:w="266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F060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35 m/115°验收结论及抗干扰平衡</w:t>
            </w:r>
          </w:p>
        </w:tc>
      </w:tr>
      <w:tr w14:paraId="073CD69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84D3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第5阶段</w:t>
            </w:r>
          </w:p>
        </w:tc>
        <w:tc>
          <w:tcPr>
            <w:tcW w:w="5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EAE2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等级扫描、镜片/污染变量、24 h长期测试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F6C4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参数冻结建议和最终回归报告</w:t>
            </w:r>
          </w:p>
        </w:tc>
      </w:tr>
    </w:tbl>
    <w:p w14:paraId="6C8691E6">
      <w:pPr>
        <w:spacing w:after="0"/>
      </w:pPr>
    </w:p>
    <w:p w14:paraId="4EFB0DD0">
      <w:bookmarkStart w:id="29" w:name="_Toc2301"/>
      <w:r>
        <w:t>十一、单次测试记录表</w:t>
      </w:r>
      <w:bookmarkEnd w:id="29"/>
    </w:p>
    <w:tbl>
      <w:tblPr>
        <w:tblStyle w:val="34"/>
        <w:tblW w:w="0" w:type="auto"/>
        <w:jc w:val="center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386"/>
        <w:gridCol w:w="2386"/>
        <w:gridCol w:w="2386"/>
      </w:tblGrid>
      <w:tr w14:paraId="26E7C33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9AA5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字段</w:t>
            </w:r>
          </w:p>
        </w:tc>
        <w:tc>
          <w:tcPr>
            <w:tcW w:w="338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047D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记录内容</w:t>
            </w:r>
          </w:p>
        </w:tc>
        <w:tc>
          <w:tcPr>
            <w:tcW w:w="15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91CE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字段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6F01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1F2937"/>
                <w:sz w:val="16"/>
              </w:rPr>
              <w:t>记录内容</w:t>
            </w:r>
          </w:p>
        </w:tc>
      </w:tr>
      <w:tr w14:paraId="2099815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A350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测试编号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C34A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790E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日期/人员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062D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12C8DED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43C1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样机/固件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BE5A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B4A1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参数/等级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5A2C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289818C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4150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镜片/传感器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2D1A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2EF4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供电电压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72A3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08F8F05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211B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环境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430E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温度____ 湿度____ 照度____ 风速____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87D1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场地/背景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704D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1F93BAC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8EB8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火源/干扰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090F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3D88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距离/角度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EB14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D=____m；水平____°；俯仰____°</w:t>
            </w:r>
          </w:p>
        </w:tc>
      </w:tr>
      <w:tr w14:paraId="26558AB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0F6D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暴露方式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7693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点火开始 / 稳定火焰解除遮挡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9A88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旋转方向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6856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左 / 右；旋转台读数________</w:t>
            </w:r>
          </w:p>
        </w:tc>
      </w:tr>
      <w:tr w14:paraId="31EAAED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CF30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点火/施加时刻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63F6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367D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撤除/熄灭时刻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D74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26BDF59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D818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IR WARNING/FIRE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F6E9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1BA6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UV WARNING/FIRE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A7E8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3C82296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E408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最终报警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414F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是 / 否；时刻________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D35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响应时间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62DF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7ECF8B8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9FCD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关键特征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CFEA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P38____ P45____ P50____ 比值____ ZCR____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8708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PROFILE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A05A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  <w:tr w14:paraId="3BCA784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85D8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日志/视频</w:t>
            </w:r>
          </w:p>
        </w:tc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4DA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208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结果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7900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通过 / 失败 / 无效</w:t>
            </w:r>
          </w:p>
        </w:tc>
      </w:tr>
      <w:tr w14:paraId="293D4D9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CCD8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异常说明</w:t>
            </w:r>
          </w:p>
        </w:tc>
        <w:tc>
          <w:tcPr>
            <w:tcW w:w="3384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C590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________________________________________________________________</w:t>
            </w:r>
          </w:p>
        </w:tc>
        <w:tc>
          <w:tcPr>
            <w:tcW w:w="1512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BC09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复核人</w:t>
            </w:r>
          </w:p>
        </w:tc>
        <w:tc>
          <w:tcPr>
            <w:tcW w:w="3096" w:type="dxa"/>
            <w:shd w:val="clear" w:color="auto" w:fill="FAFB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6CE1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________________</w:t>
            </w:r>
          </w:p>
        </w:tc>
      </w:tr>
    </w:tbl>
    <w:p w14:paraId="6EB940CE">
      <w:pPr>
        <w:spacing w:after="0"/>
      </w:pPr>
    </w:p>
    <w:p w14:paraId="040EEEC4">
      <w:pPr>
        <w:pStyle w:val="3"/>
      </w:pPr>
      <w:bookmarkStart w:id="30" w:name="_Toc22587"/>
      <w:r>
        <w:t>十二、测试完成判定</w:t>
      </w:r>
      <w:bookmarkEnd w:id="30"/>
    </w:p>
    <w:p w14:paraId="6772FA79">
      <w:pPr>
        <w:ind w:firstLine="360"/>
      </w:pPr>
      <w:r>
        <w:rPr>
          <w:rFonts w:ascii="Calibri" w:hAnsi="Calibri" w:eastAsia="宋体"/>
          <w:sz w:val="20"/>
        </w:rPr>
        <w:t>只有在P0项目全部完成、30 cm火盆35 m/115°专项达到验收要求、多燃料样本覆盖、主要干扰源无最终误报、组合场景下真实火焰仍能稳定报警、核心点达到重复性要求且长期测试未发现异常状态或异常复位后，才建议冻结当前参数。若仍存在“纸张临界”“小酒精火后期退出”或“太阳光单通道FIRE”等现象，应作为已知边界量化，不得仅以最终报警结果掩盖单通道风险。</w:t>
      </w:r>
    </w:p>
    <w:tbl>
      <w:tblPr>
        <w:tblStyle w:val="34"/>
        <w:tblW w:w="0" w:type="auto"/>
        <w:jc w:val="center"/>
        <w:tblBorders>
          <w:top w:val="single" w:color="2F6B4F" w:sz="8" w:space="0"/>
          <w:left w:val="single" w:color="2F6B4F" w:sz="8" w:space="0"/>
          <w:bottom w:val="single" w:color="2F6B4F" w:sz="8" w:space="0"/>
          <w:right w:val="single" w:color="2F6B4F" w:sz="8" w:space="0"/>
          <w:insideH w:val="single" w:color="2F6B4F" w:sz="8" w:space="0"/>
          <w:insideV w:val="single" w:color="2F6B4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3"/>
      </w:tblGrid>
      <w:tr w14:paraId="31210D83">
        <w:tblPrEx>
          <w:tblBorders>
            <w:top w:val="single" w:color="2F6B4F" w:sz="8" w:space="0"/>
            <w:left w:val="single" w:color="2F6B4F" w:sz="8" w:space="0"/>
            <w:bottom w:val="single" w:color="2F6B4F" w:sz="8" w:space="0"/>
            <w:right w:val="single" w:color="2F6B4F" w:sz="8" w:space="0"/>
            <w:insideH w:val="single" w:color="2F6B4F" w:sz="8" w:space="0"/>
            <w:insideV w:val="single" w:color="2F6B4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99" w:type="dxa"/>
            <w:shd w:val="clear" w:color="auto" w:fill="EA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D2AC8">
            <w:pPr>
              <w:spacing w:after="40"/>
            </w:pPr>
            <w:r>
              <w:rPr>
                <w:rFonts w:ascii="Calibri" w:hAnsi="Calibri" w:eastAsia="微软雅黑"/>
                <w:b/>
                <w:color w:val="2F6B4F"/>
                <w:sz w:val="18"/>
              </w:rPr>
              <w:t>本轮测试的首要结论</w:t>
            </w:r>
          </w:p>
          <w:p w14:paraId="282C2FA1">
            <w:pPr>
              <w:spacing w:after="0" w:line="276" w:lineRule="auto"/>
            </w:pPr>
            <w:r>
              <w:rPr>
                <w:rFonts w:ascii="Calibri" w:hAnsi="Calibri" w:eastAsia="宋体"/>
                <w:color w:val="1F2937"/>
                <w:sz w:val="18"/>
              </w:rPr>
              <w:t>下一步优先执行30 cm火盆5~35 m轴向距离扫描和35 m、0°/±57.5°预验证，随后完成户外太阳光、纸张等级边界和标准碳型火源。35 m三个最终角度点通过后，仍需补齐中间距离—角度矩阵，才能形成完整的115°视场结论。</w:t>
            </w:r>
          </w:p>
        </w:tc>
      </w:tr>
    </w:tbl>
    <w:p w14:paraId="3CE40601">
      <w:pPr>
        <w:spacing w:after="0"/>
      </w:pPr>
    </w:p>
    <w:sectPr>
      <w:footerReference r:id="rId6" w:type="default"/>
      <w:pgSz w:w="11905" w:h="16838"/>
      <w:pgMar w:top="1181" w:right="1181" w:bottom="1181" w:left="1181" w:header="547" w:footer="576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62C1F">
    <w:pPr>
      <w:pStyle w:val="2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8974A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A8974A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F1F1E">
    <w:pPr>
      <w:pStyle w:val="25"/>
      <w:tabs>
        <w:tab w:val="right" w:pos="9544"/>
      </w:tabs>
      <w:spacing w:after="0"/>
    </w:pPr>
    <w:r>
      <w:rPr>
        <w:rFonts w:ascii="Calibri" w:hAnsi="Calibri" w:eastAsia="微软雅黑"/>
        <w:b/>
        <w:color w:val="1F4E79"/>
        <w:sz w:val="17"/>
      </w:rPr>
      <w:t>火焰检测模组</w:t>
    </w:r>
    <w:r>
      <w:tab/>
    </w:r>
    <w:r>
      <w:rPr>
        <w:rFonts w:ascii="Calibri" w:hAnsi="Calibri" w:eastAsia="宋体"/>
        <w:color w:val="667085"/>
        <w:sz w:val="17"/>
      </w:rPr>
      <w:t>后续测试方案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E485C"/>
    <w:rsid w:val="025B2DC4"/>
    <w:rsid w:val="03E544D2"/>
    <w:rsid w:val="042C4A18"/>
    <w:rsid w:val="046917C8"/>
    <w:rsid w:val="04C05AF4"/>
    <w:rsid w:val="04FD0162"/>
    <w:rsid w:val="06FA0DFD"/>
    <w:rsid w:val="095A3DD5"/>
    <w:rsid w:val="0AC10A17"/>
    <w:rsid w:val="0E796AAB"/>
    <w:rsid w:val="0FD541B5"/>
    <w:rsid w:val="14725DDB"/>
    <w:rsid w:val="14C57356"/>
    <w:rsid w:val="1D0936F0"/>
    <w:rsid w:val="1F9F20EA"/>
    <w:rsid w:val="222B72CC"/>
    <w:rsid w:val="24EF141E"/>
    <w:rsid w:val="262D4131"/>
    <w:rsid w:val="263F0183"/>
    <w:rsid w:val="32DA54BB"/>
    <w:rsid w:val="32EC5D72"/>
    <w:rsid w:val="33C62570"/>
    <w:rsid w:val="36EF34FF"/>
    <w:rsid w:val="36FB00F6"/>
    <w:rsid w:val="373C3808"/>
    <w:rsid w:val="37C93D50"/>
    <w:rsid w:val="38617E0B"/>
    <w:rsid w:val="387C7014"/>
    <w:rsid w:val="39AC56D7"/>
    <w:rsid w:val="3B0532F1"/>
    <w:rsid w:val="42C6780A"/>
    <w:rsid w:val="446B6541"/>
    <w:rsid w:val="454669E0"/>
    <w:rsid w:val="46FD7572"/>
    <w:rsid w:val="49731D6E"/>
    <w:rsid w:val="4AD30D16"/>
    <w:rsid w:val="4C0373D9"/>
    <w:rsid w:val="4DE66FB2"/>
    <w:rsid w:val="4DEF7E1A"/>
    <w:rsid w:val="4FC275AB"/>
    <w:rsid w:val="54534C76"/>
    <w:rsid w:val="552F123F"/>
    <w:rsid w:val="56B51595"/>
    <w:rsid w:val="56FF2E93"/>
    <w:rsid w:val="5A673229"/>
    <w:rsid w:val="5B1A64ED"/>
    <w:rsid w:val="5BC30933"/>
    <w:rsid w:val="5F1514A5"/>
    <w:rsid w:val="635A29F5"/>
    <w:rsid w:val="687A05CB"/>
    <w:rsid w:val="6BA8544F"/>
    <w:rsid w:val="6BCF0C2E"/>
    <w:rsid w:val="6C224A45"/>
    <w:rsid w:val="705931BC"/>
    <w:rsid w:val="71A21572"/>
    <w:rsid w:val="71E05943"/>
    <w:rsid w:val="72565C05"/>
    <w:rsid w:val="753A35BC"/>
    <w:rsid w:val="7808174F"/>
    <w:rsid w:val="7BC2430B"/>
    <w:rsid w:val="7C9C3471"/>
    <w:rsid w:val="7D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88" w:lineRule="auto"/>
    </w:pPr>
    <w:rPr>
      <w:rFonts w:ascii="Calibri" w:hAnsi="Calibri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 w:line="283" w:lineRule="auto"/>
      <w:contextualSpacing/>
    </w:pPr>
    <w:rPr>
      <w:rFonts w:ascii="宋体" w:hAnsi="宋体" w:eastAsia="宋体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283" w:lineRule="auto"/>
      <w:contextualSpacing/>
    </w:pPr>
    <w:rPr>
      <w:rFonts w:ascii="宋体" w:hAnsi="宋体" w:eastAsia="宋体"/>
      <w:sz w:val="20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 Note"/>
    <w:qFormat/>
    <w:uiPriority w:val="0"/>
    <w:pPr>
      <w:spacing w:after="60" w:line="264" w:lineRule="auto"/>
    </w:pPr>
    <w:rPr>
      <w:rFonts w:ascii="宋体" w:hAnsi="宋体" w:eastAsia="宋体" w:cstheme="minorBidi"/>
      <w:color w:val="667085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8051</Words>
  <Characters>9405</Characters>
  <Lines>0</Lines>
  <Paragraphs>0</Paragraphs>
  <TotalTime>57</TotalTime>
  <ScaleCrop>false</ScaleCrop>
  <LinksUpToDate>false</LinksUpToDate>
  <CharactersWithSpaces>9713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别说</cp:lastModifiedBy>
  <dcterms:modified xsi:type="dcterms:W3CDTF">2026-07-27T09:54:40Z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eyJoZGlkIjoiMjIwM2E5M2ZiNmMyZmFkOTNjMTRjYTkzNThmMTc2YzMiLCJ1c2VySWQiOiI0MjU3NzI0MzEifQ==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616A577889874B8B83BB8C6D4B1B5D19_12</vt:lpwstr>
  </property>
</Properties>
</file>