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6E421"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中药分析</w:t>
      </w:r>
      <w:r>
        <w:rPr>
          <w:rFonts w:hint="eastAsia"/>
          <w:b/>
          <w:bCs/>
          <w:sz w:val="30"/>
          <w:szCs w:val="30"/>
          <w:lang w:val="en-US" w:eastAsia="zh-CN"/>
        </w:rPr>
        <w:t>学期</w:t>
      </w:r>
      <w:r>
        <w:rPr>
          <w:rFonts w:hint="eastAsia"/>
          <w:b/>
          <w:bCs/>
          <w:sz w:val="30"/>
          <w:szCs w:val="30"/>
          <w:lang w:eastAsia="zh-CN"/>
        </w:rPr>
        <w:t>作业评分标准（总分：50分）</w:t>
      </w:r>
    </w:p>
    <w:p w14:paraId="400C5DB8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1. </w:t>
      </w:r>
      <w:r>
        <w:rPr>
          <w:rFonts w:hint="eastAsia"/>
          <w:sz w:val="24"/>
          <w:szCs w:val="24"/>
          <w:lang w:val="en-US" w:eastAsia="zh-CN"/>
        </w:rPr>
        <w:t>作业完成度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30</w:t>
      </w:r>
      <w:r>
        <w:rPr>
          <w:rFonts w:hint="eastAsia"/>
          <w:sz w:val="24"/>
          <w:szCs w:val="24"/>
          <w:lang w:eastAsia="zh-CN"/>
        </w:rPr>
        <w:t>分）</w:t>
      </w:r>
    </w:p>
    <w:p w14:paraId="7E09AF2C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- </w:t>
      </w:r>
      <w:r>
        <w:rPr>
          <w:rFonts w:hint="eastAsia"/>
          <w:sz w:val="24"/>
          <w:szCs w:val="24"/>
          <w:lang w:val="en-US" w:eastAsia="zh-CN"/>
        </w:rPr>
        <w:t>完成选题任务，</w:t>
      </w:r>
      <w:r>
        <w:rPr>
          <w:rFonts w:hint="eastAsia"/>
          <w:sz w:val="24"/>
          <w:szCs w:val="24"/>
          <w:lang w:eastAsia="zh-CN"/>
        </w:rPr>
        <w:t>根据</w:t>
      </w:r>
      <w:r>
        <w:rPr>
          <w:rFonts w:hint="eastAsia"/>
          <w:sz w:val="24"/>
          <w:szCs w:val="24"/>
          <w:lang w:val="en-US" w:eastAsia="zh-CN"/>
        </w:rPr>
        <w:t>学期作业题目，阅读</w:t>
      </w:r>
      <w:r>
        <w:rPr>
          <w:rFonts w:hint="eastAsia"/>
          <w:sz w:val="24"/>
          <w:szCs w:val="24"/>
          <w:lang w:eastAsia="zh-CN"/>
        </w:rPr>
        <w:t>教材</w:t>
      </w:r>
      <w:r>
        <w:rPr>
          <w:rFonts w:hint="eastAsia"/>
          <w:sz w:val="24"/>
          <w:szCs w:val="24"/>
          <w:lang w:val="en-US" w:eastAsia="zh-CN"/>
        </w:rPr>
        <w:t>与</w:t>
      </w:r>
      <w:r>
        <w:rPr>
          <w:rFonts w:hint="eastAsia"/>
          <w:sz w:val="24"/>
          <w:szCs w:val="24"/>
          <w:lang w:eastAsia="zh-CN"/>
        </w:rPr>
        <w:t>参考文献（并注明），学生是否按时完成</w:t>
      </w:r>
      <w:r>
        <w:rPr>
          <w:rFonts w:hint="eastAsia"/>
          <w:sz w:val="24"/>
          <w:szCs w:val="24"/>
          <w:lang w:val="en-US" w:eastAsia="zh-CN"/>
        </w:rPr>
        <w:t>教材</w:t>
      </w:r>
      <w:r>
        <w:rPr>
          <w:rFonts w:hint="eastAsia"/>
          <w:sz w:val="24"/>
          <w:szCs w:val="24"/>
          <w:lang w:eastAsia="zh-CN"/>
        </w:rPr>
        <w:t>和</w:t>
      </w:r>
      <w:r>
        <w:rPr>
          <w:rFonts w:hint="eastAsia"/>
          <w:sz w:val="24"/>
          <w:szCs w:val="24"/>
          <w:lang w:val="en-US" w:eastAsia="zh-CN"/>
        </w:rPr>
        <w:t>相关参考文献检索</w:t>
      </w:r>
      <w:r>
        <w:rPr>
          <w:rFonts w:hint="eastAsia"/>
          <w:sz w:val="24"/>
          <w:szCs w:val="24"/>
          <w:lang w:eastAsia="zh-CN"/>
        </w:rPr>
        <w:t>阅读（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  <w:lang w:eastAsia="zh-CN"/>
        </w:rPr>
        <w:t>分）</w:t>
      </w:r>
    </w:p>
    <w:p w14:paraId="1DAA1990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- </w:t>
      </w:r>
      <w:r>
        <w:rPr>
          <w:rFonts w:hint="eastAsia"/>
          <w:sz w:val="24"/>
          <w:szCs w:val="24"/>
          <w:lang w:val="en-US" w:eastAsia="zh-CN"/>
        </w:rPr>
        <w:t>考察内容与题目的相关度，</w:t>
      </w:r>
      <w:r>
        <w:rPr>
          <w:rFonts w:hint="eastAsia"/>
          <w:sz w:val="24"/>
          <w:szCs w:val="24"/>
          <w:lang w:eastAsia="zh-CN"/>
        </w:rPr>
        <w:t>学生</w:t>
      </w:r>
      <w:r>
        <w:rPr>
          <w:rFonts w:hint="eastAsia"/>
          <w:sz w:val="24"/>
          <w:szCs w:val="24"/>
          <w:lang w:val="en-US" w:eastAsia="zh-CN"/>
        </w:rPr>
        <w:t>在准备过程中，主题是否明确，引用文献是否较新、是否恰当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  <w:lang w:eastAsia="zh-CN"/>
        </w:rPr>
        <w:t>分）</w:t>
      </w:r>
    </w:p>
    <w:p w14:paraId="31209D53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- 考察完成度，</w:t>
      </w:r>
      <w:r>
        <w:rPr>
          <w:rFonts w:hint="eastAsia"/>
          <w:sz w:val="24"/>
          <w:szCs w:val="24"/>
          <w:lang w:eastAsia="zh-CN"/>
        </w:rPr>
        <w:t>每名学生均需独立制作PPT，</w:t>
      </w:r>
      <w:r>
        <w:rPr>
          <w:rFonts w:hint="eastAsia"/>
          <w:sz w:val="24"/>
          <w:szCs w:val="24"/>
          <w:lang w:val="en-US" w:eastAsia="zh-CN"/>
        </w:rPr>
        <w:t>内容</w:t>
      </w:r>
      <w:r>
        <w:rPr>
          <w:rFonts w:hint="eastAsia"/>
          <w:sz w:val="24"/>
          <w:szCs w:val="24"/>
          <w:lang w:eastAsia="zh-CN"/>
        </w:rPr>
        <w:t>的创新性和深度（10分）</w:t>
      </w:r>
    </w:p>
    <w:p w14:paraId="3CAB7192">
      <w:pPr>
        <w:rPr>
          <w:rFonts w:hint="default"/>
          <w:sz w:val="24"/>
          <w:szCs w:val="24"/>
          <w:lang w:val="en-US" w:eastAsia="zh-CN"/>
        </w:rPr>
      </w:pPr>
    </w:p>
    <w:p w14:paraId="535B6E57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2. </w:t>
      </w:r>
      <w:r>
        <w:rPr>
          <w:rFonts w:hint="eastAsia"/>
          <w:sz w:val="24"/>
          <w:szCs w:val="24"/>
          <w:lang w:val="en-US" w:eastAsia="zh-CN"/>
        </w:rPr>
        <w:t>分享度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eastAsia="zh-CN"/>
        </w:rPr>
        <w:t>分）</w:t>
      </w:r>
    </w:p>
    <w:p w14:paraId="4F401CA6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- 独立制作PPT，</w:t>
      </w:r>
      <w:r>
        <w:rPr>
          <w:rFonts w:hint="eastAsia"/>
          <w:sz w:val="24"/>
          <w:szCs w:val="24"/>
          <w:lang w:val="en-US" w:eastAsia="zh-CN"/>
        </w:rPr>
        <w:t>并</w:t>
      </w:r>
      <w:r>
        <w:rPr>
          <w:rFonts w:hint="eastAsia"/>
          <w:sz w:val="24"/>
          <w:szCs w:val="24"/>
          <w:lang w:eastAsia="zh-CN"/>
        </w:rPr>
        <w:t>分享学习成果，</w:t>
      </w:r>
      <w:r>
        <w:rPr>
          <w:rFonts w:hint="eastAsia"/>
          <w:sz w:val="24"/>
          <w:szCs w:val="24"/>
          <w:lang w:val="en-US" w:eastAsia="zh-CN"/>
        </w:rPr>
        <w:t>考察</w:t>
      </w:r>
      <w:r>
        <w:rPr>
          <w:rFonts w:hint="default"/>
          <w:sz w:val="24"/>
          <w:szCs w:val="24"/>
          <w:lang w:val="en-US" w:eastAsia="zh-CN"/>
        </w:rPr>
        <w:t>PPT</w:t>
      </w:r>
      <w:r>
        <w:rPr>
          <w:rFonts w:hint="eastAsia"/>
          <w:sz w:val="24"/>
          <w:szCs w:val="24"/>
          <w:lang w:val="en-US" w:eastAsia="zh-CN"/>
        </w:rPr>
        <w:t>与讲解</w:t>
      </w:r>
      <w:r>
        <w:rPr>
          <w:rFonts w:hint="eastAsia"/>
          <w:sz w:val="24"/>
          <w:szCs w:val="24"/>
          <w:lang w:eastAsia="zh-CN"/>
        </w:rPr>
        <w:t>的完成质量（10分）</w:t>
      </w:r>
    </w:p>
    <w:p w14:paraId="096551C5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- 学生在讨论中的活跃程度（5分）</w:t>
      </w:r>
    </w:p>
    <w:p w14:paraId="2AFEF542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- 学生对其他同学观点的回应和补充（5分）</w:t>
      </w:r>
    </w:p>
    <w:p w14:paraId="4DA55E47">
      <w:pPr>
        <w:spacing w:line="360" w:lineRule="auto"/>
        <w:jc w:val="left"/>
        <w:rPr>
          <w:rFonts w:ascii="宋体" w:hAnsi="宋体" w:eastAsia="宋体"/>
          <w:color w:val="2E54A1" w:themeColor="accent1" w:themeShade="BF"/>
          <w:sz w:val="24"/>
          <w:szCs w:val="24"/>
        </w:rPr>
      </w:pPr>
      <w:bookmarkStart w:id="0" w:name="_GoBack"/>
      <w:bookmarkEnd w:id="0"/>
    </w:p>
    <w:p w14:paraId="5ECFD413"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color w:val="2E54A1" w:themeColor="accent1" w:themeShade="BF"/>
          <w:sz w:val="24"/>
          <w:szCs w:val="24"/>
        </w:rPr>
        <w:t>参考文献格式参考沈阳药科大学毕业论文格式，要求格式统一。</w:t>
      </w:r>
      <w:r>
        <w:rPr>
          <w:rFonts w:hint="eastAsia" w:ascii="宋体" w:hAnsi="宋体" w:eastAsia="宋体"/>
          <w:sz w:val="24"/>
          <w:szCs w:val="24"/>
        </w:rPr>
        <w:t>例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2071A505">
      <w:pPr>
        <w:spacing w:line="360" w:lineRule="auto"/>
        <w:rPr>
          <w:rStyle w:val="8"/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[1] </w:t>
      </w:r>
      <w:r>
        <w:rPr>
          <w:rStyle w:val="7"/>
          <w:rFonts w:hint="default" w:ascii="Times New Roman" w:hAnsi="Times New Roman" w:cs="Times New Roman"/>
          <w:sz w:val="24"/>
        </w:rPr>
        <w:t>国家药典委员会</w:t>
      </w:r>
      <w:r>
        <w:rPr>
          <w:rStyle w:val="8"/>
          <w:rFonts w:ascii="Times New Roman" w:hAnsi="Times New Roman" w:eastAsia="宋体" w:cs="Times New Roman"/>
          <w:sz w:val="24"/>
        </w:rPr>
        <w:t xml:space="preserve">. </w:t>
      </w:r>
      <w:r>
        <w:rPr>
          <w:rStyle w:val="7"/>
          <w:rFonts w:hint="default" w:ascii="Times New Roman" w:hAnsi="Times New Roman" w:cs="Times New Roman"/>
          <w:sz w:val="24"/>
        </w:rPr>
        <w:t>中华人民共和国药典</w:t>
      </w:r>
      <w:r>
        <w:rPr>
          <w:rStyle w:val="8"/>
          <w:rFonts w:ascii="Times New Roman" w:hAnsi="Times New Roman" w:eastAsia="宋体" w:cs="Times New Roman"/>
          <w:sz w:val="24"/>
        </w:rPr>
        <w:t>: 2020</w:t>
      </w:r>
      <w:r>
        <w:rPr>
          <w:rStyle w:val="7"/>
          <w:rFonts w:hint="default" w:ascii="Times New Roman" w:hAnsi="Times New Roman" w:cs="Times New Roman"/>
          <w:sz w:val="24"/>
        </w:rPr>
        <w:t>年版</w:t>
      </w:r>
      <w:r>
        <w:rPr>
          <w:rStyle w:val="8"/>
          <w:rFonts w:ascii="Times New Roman" w:hAnsi="Times New Roman" w:eastAsia="宋体" w:cs="Times New Roman"/>
          <w:sz w:val="24"/>
        </w:rPr>
        <w:t xml:space="preserve">. </w:t>
      </w:r>
      <w:r>
        <w:rPr>
          <w:rStyle w:val="7"/>
          <w:rFonts w:hint="default" w:ascii="Times New Roman" w:hAnsi="Times New Roman" w:cs="Times New Roman"/>
          <w:sz w:val="24"/>
        </w:rPr>
        <w:t>一部</w:t>
      </w:r>
      <w:r>
        <w:rPr>
          <w:rStyle w:val="8"/>
          <w:rFonts w:ascii="Times New Roman" w:hAnsi="Times New Roman" w:eastAsia="宋体" w:cs="Times New Roman"/>
          <w:sz w:val="24"/>
        </w:rPr>
        <w:t xml:space="preserve">[S]. </w:t>
      </w:r>
      <w:r>
        <w:rPr>
          <w:rStyle w:val="7"/>
          <w:rFonts w:hint="default" w:ascii="Times New Roman" w:hAnsi="Times New Roman" w:cs="Times New Roman"/>
          <w:sz w:val="24"/>
        </w:rPr>
        <w:t>北京</w:t>
      </w:r>
      <w:r>
        <w:rPr>
          <w:rStyle w:val="8"/>
          <w:rFonts w:ascii="Times New Roman" w:hAnsi="Times New Roman" w:eastAsia="宋体" w:cs="Times New Roman"/>
          <w:sz w:val="24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</w:rPr>
        <w:t>中国医药科技出版社</w:t>
      </w:r>
      <w:r>
        <w:rPr>
          <w:rStyle w:val="8"/>
          <w:rFonts w:ascii="Times New Roman" w:hAnsi="Times New Roman" w:eastAsia="宋体" w:cs="Times New Roman"/>
          <w:sz w:val="24"/>
        </w:rPr>
        <w:t>, 2020, 291.</w:t>
      </w:r>
    </w:p>
    <w:p w14:paraId="70A66B48">
      <w:pPr>
        <w:spacing w:line="360" w:lineRule="auto"/>
        <w:rPr>
          <w:rStyle w:val="7"/>
          <w:rFonts w:hint="default" w:ascii="Times New Roman" w:hAnsi="Times New Roman" w:cs="Times New Roman"/>
          <w:sz w:val="24"/>
        </w:rPr>
      </w:pPr>
      <w:r>
        <w:rPr>
          <w:rStyle w:val="7"/>
          <w:rFonts w:hint="default" w:ascii="Times New Roman" w:hAnsi="Times New Roman" w:cs="Times New Roman"/>
          <w:sz w:val="24"/>
        </w:rPr>
        <w:t>[</w:t>
      </w:r>
      <w:r>
        <w:rPr>
          <w:rStyle w:val="7"/>
          <w:rFonts w:hint="eastAsia" w:ascii="Times New Roman" w:hAnsi="Times New Roman" w:eastAsia="宋体" w:cs="Times New Roman"/>
          <w:sz w:val="24"/>
          <w:lang w:val="en-US" w:eastAsia="zh-CN"/>
        </w:rPr>
        <w:t>2</w:t>
      </w:r>
      <w:r>
        <w:rPr>
          <w:rStyle w:val="7"/>
          <w:rFonts w:hint="default" w:ascii="Times New Roman" w:hAnsi="Times New Roman" w:cs="Times New Roman"/>
          <w:sz w:val="24"/>
        </w:rPr>
        <w:t>] Haramiishi, R, Okuyama, S, Yoshimura, M, et al. Identification of the characteristic components in walnut and anti-inflammatory effect of glansreginin A as an indicator for quality evaluation[J]. Bioscience, Biotechnology, and Biochemistry, 2020, 84(1): 187-197.</w:t>
      </w:r>
    </w:p>
    <w:p w14:paraId="3266130E">
      <w:pPr>
        <w:rPr>
          <w:rFonts w:hint="eastAsia"/>
          <w:sz w:val="24"/>
          <w:szCs w:val="24"/>
          <w:lang w:eastAsia="zh-CN"/>
        </w:rPr>
      </w:pPr>
    </w:p>
    <w:p w14:paraId="74AA7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 w14:paraId="4C803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 w14:paraId="0E34C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 w14:paraId="78013398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NewRomanPSMT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B4EBB"/>
    <w:multiLevelType w:val="singleLevel"/>
    <w:tmpl w:val="DFFB4EB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B9E22"/>
    <w:rsid w:val="17FFA1EE"/>
    <w:rsid w:val="3E4DD9F0"/>
    <w:rsid w:val="58FF280C"/>
    <w:rsid w:val="6FEB500F"/>
    <w:rsid w:val="7FEBD165"/>
    <w:rsid w:val="BFC7D617"/>
    <w:rsid w:val="D4ED998C"/>
    <w:rsid w:val="F9FD88ED"/>
    <w:rsid w:val="FBEB9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fontstyle01"/>
    <w:basedOn w:val="6"/>
    <w:uiPriority w:val="0"/>
    <w:rPr>
      <w:rFonts w:hint="eastAsia" w:ascii="宋体" w:hAnsi="宋体" w:eastAsia="宋体"/>
      <w:color w:val="000000"/>
      <w:sz w:val="20"/>
      <w:szCs w:val="20"/>
    </w:rPr>
  </w:style>
  <w:style w:type="character" w:customStyle="1" w:styleId="8">
    <w:name w:val="fontstyle11"/>
    <w:basedOn w:val="6"/>
    <w:uiPriority w:val="0"/>
    <w:rPr>
      <w:rFonts w:hint="default" w:ascii="TimesNewRomanPSMT" w:hAnsi="TimesNewRomanPSMT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2024-11-30T16:36:00Z</dcterms:created>
  <dc:creator>中原</dc:creator>
  <cp:lastModifiedBy>中原</cp:lastModifiedBy>
  <dcterms:modified xsi:type="dcterms:W3CDTF">2025-09-24T12:01:16Z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EF6B3E0137D2AAA0FCBA4767AC180E80_41</vt:lpwstr>
  </property>
</Properties>
</file>