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87385" w14:textId="28DB19FA" w:rsidR="00CC3306" w:rsidRDefault="00CC3306">
      <w:pPr>
        <w:rPr>
          <w:b/>
          <w:bCs/>
        </w:rPr>
      </w:pPr>
      <w:r>
        <w:rPr>
          <w:b/>
          <w:bCs/>
        </w:rPr>
        <w:t>Introduction</w:t>
      </w:r>
    </w:p>
    <w:p w14:paraId="41D2E776" w14:textId="77777777" w:rsidR="00C8190E" w:rsidRDefault="00C8190E" w:rsidP="00C8190E">
      <w:r>
        <w:t>Plant roots take up water and nutrients, anchor the plant, and interact with the soil microbiome. Many of these functions are regulated by specialized anatomical features whose patterning varies across plant species and is dynamically modified in response to abiotic and biotic stress, often in ways associated with stress tolerance (Gouran and Brady 2024). Understanding this diversity at scale could reveal how plants adapt to their environments, but the necessary quantification across species, genotypes, and conditions has not been tractable. The features that drive these functions include cell wall barriers formed by the deposition of lignin (a rigid biopolymer) and suberin (a waxy biopolymer), which control water and mineral ion uptake, block pathogens, and gate the entry of beneficial symbionts (Naseer et al. 2012, Baxter et al. 2009, Barberon et al. 2016, Barberon 2017, Reynoso et al. 2022, Cantó-Pastor et al. 2024, Manzano et al. 2025, Zhu et al. 2025). The epidermis forms the outermost root layer, while the cortex lies beneath it and consists of multiple layers in most plant species (anatomy reference). The outer cortical layer, the exodermis, can be lignified or suberized, and inner cortical layers can carry lignin depositions of various types (Schneider et al. 2021, sclerenchyma and phi thickening references). The endodermis, the innermost cortical layer, contains a conserved lignified band known as the Casparian Strip and can also be suberized (Naseer et al. 2012, Geldner 2013, Barberon et al. 2016). Monocot roots, including those of major cereal crops such as rice, maize, and sorghum, can additionally develop aerenchyma, regions of cell wall loosening and programmed cell death that produce gaps in the cellular structure and can reduce metabolic cost or maintain oxygen levels under stress (Abiko et al. 2012, Lynch 2015, Yamauchi et al. 2018, Klein et al. 2020). Each of these features carries biological information that depends on its cell identity, its spatial pattern, and the precise distribution of biopolymer deposition within the cell wall, and a quantitative framework for measuring them across the diversity of plant species, genotypes, and conditions does not yet exist.</w:t>
      </w:r>
    </w:p>
    <w:p w14:paraId="530673C8" w14:textId="77777777" w:rsidR="00C8190E" w:rsidRDefault="00C8190E" w:rsidP="00C8190E">
      <w:r>
        <w:t>Modern imaging methods, including ClearSee-based clearing combined with fluorescent histochemical staining and high-throughput microscopy, now make it straightforward to acquire large collections of root cross-section images across species, genotypes, and conditions (Ursache et al. 2018, Sexauer et al. 2021, Kawa et al. 2024). The bottleneck has shifted from data acquisition to data analysis. Traditional quantification of root barriers relies on categorical scoring or manual annotation (Barberon et al. 2016, Naseer et al. 2012, Kawa et al. 2024), which is time-intensive, subjective, and difficult to scale, and these limitations are particularly acute for quantitative genetic studies that require large sample sizes. The challenge is even more pronounced for cortical aerenchyma, where boundaries are irregular, diffuse, or discontinuous, making annotation prone to inter- and intra-annotator variability. As a result, datasets that require months of effort to analyze are often restricted to small sample sizes, and rich image collections are underutilized, limiting the scale and scope of biological studies that can be performed.</w:t>
      </w:r>
    </w:p>
    <w:p w14:paraId="3994984C" w14:textId="77777777" w:rsidR="00C8190E" w:rsidRDefault="00C8190E" w:rsidP="00C8190E">
      <w:r>
        <w:t xml:space="preserve">Deep learning techniques have shown promise in automating microscopy image segmentation and enabling high-throughput analysis. However, existing biological segmentation tools lack the </w:t>
      </w:r>
      <w:r>
        <w:lastRenderedPageBreak/>
        <w:t>ability to assign cell types labels to the segmented cells and were not designed for root barrier quantification. Cellpose, PlantSeg, MorphoGraphX, and the Segment Anything Model (Barbier de Reuille et al. 2015, Eschweiler et al. 2019, Wolny et al. 2020, Stringer et al. 2021, Strauss et al. 2022, Kirillov et al. 2023) are cell-class-agnostic instance segmentation models that segment individual cells without assigning them to a cell types, requiring a separate downstream classification step. They also place segmentation boundaries at the midline of the cell wall, which bisects the structure that hosts suberin and lignin and splits the relevant signal between the two adjacent cells, attributing roughly half to each rather than preserving the wall as a single quantifiable structure. Quantitative analysis of root anatomy therefore requires a semantic segmentation model in which each cell type is identified directly, includes the full thickness of its bounding cell walls, and can recognize non-cellular features such as aerenchyma lacunae. Building such a model further requires both a suitable architecture and training data.</w:t>
      </w:r>
    </w:p>
    <w:p w14:paraId="14A370E1" w14:textId="77777777" w:rsidR="00C8190E" w:rsidRDefault="00C8190E" w:rsidP="00C8190E">
      <w:r>
        <w:t xml:space="preserve">Here we present RootSeg, a deep learning model that addresses these limitations through a semantic segmentation model that classifies every pixel in an image as belonging to one of epidermis, exodermis, cortex, endodermis, vasculature, and cortical aerenchyma. We introduce a multi-species dataset of 1,695 expert-annotated images spanning seventeen species across monocots and dicots, three fluorescence imaging platforms, and a range of genotypes and growth conditions. The model is built on DINOv3, a vision transformer pre-trained on a large collection of natural images using self-supervised learning, which provides general-purpose visual features that we adapt to root cross-sections through fine-tuning. These features are passed to a DPT (dense prediction transformer) decoder that converts them into a per-pixel label map. RootSeg outperforms seven alternative segmentation architectures, including convolutional baselines, microscopy-specific foundation models, and instance-segmentation approaches, on both in-distribution and zero-shot evaluations. The model achieves per-class accuracy, measured as intersection-over-union (IoU, the overlap between predicted and ground-truth regions), within the variability range observed between two independent expert annotators, indicating that performance approaches the practical limit set by human annotation consistency. It also generalizes to images acquired by an independent laboratory using a different imaging platform and at a different developmental stage from any sample seen during training. We further show that joint training across the monocots and dicots produces a single generalist model that matches the accuracy of specialist models on their own training group while remaining robust across groups, whereas specialists collapse catastrophically when applied to unseen plant types. We then demonstrate that predicted masks yield quantitative readouts of suberin and lignin deposition and aerenchyma area ratios that agree with expert-annotated ground truth at R² &gt; 0.99 for fluorescence-based barrier traits and R² = 0.94 for aerenchyma area, while reducing per-sample analysis time from tens of minutes of manual annotation to a few seconds on a consumer GPU. Applying this pipeline to sorghum genotype panels, microbial inoculation experiments, and CRISPR-generated rice and tomato mutants reveals quantitative trait variation in suberin, lignin, and aerenchyma deposition that would have been impractical to detect at scale by manual annotation. This work establishes an automated deep-learning-based quantitative framework for analyzing root anatomical features across the </w:t>
      </w:r>
      <w:r>
        <w:lastRenderedPageBreak/>
        <w:t>diversity of plant species and conditions, enabling biological questions that were previously inaccessible at scale.</w:t>
      </w:r>
    </w:p>
    <w:p w14:paraId="425B120F" w14:textId="097BFCA4" w:rsidR="004E5405" w:rsidRPr="00191902" w:rsidRDefault="00A76CE5" w:rsidP="00191902">
      <w:pPr>
        <w:rPr>
          <w:b/>
          <w:bCs/>
        </w:rPr>
      </w:pPr>
      <w:r w:rsidRPr="00191902">
        <w:rPr>
          <w:b/>
          <w:bCs/>
        </w:rPr>
        <w:t>Discussion</w:t>
      </w:r>
      <w:r w:rsidR="00191902" w:rsidRPr="00191902">
        <w:rPr>
          <w:b/>
          <w:bCs/>
          <w:lang w:eastAsia="zh-CN"/>
        </w:rPr>
        <w:t xml:space="preserve"> (In addition to what’s in the manuscript)</w:t>
      </w:r>
    </w:p>
    <w:p w14:paraId="49CB69B2" w14:textId="516CFBF6" w:rsidR="00143C2B" w:rsidRDefault="00143C2B" w:rsidP="00143C2B">
      <w:pPr>
        <w:spacing w:after="160"/>
      </w:pPr>
      <w:r>
        <w:t xml:space="preserve">The monocot specialist failing on the dicot sample and the dicot specialist failing on the monocot sample show that features learned from a single plant type do not transfer well to the other, reflecting the substantial morphological variability between dicots and monocots and underscoring the value of a unified model. RootSeg, trained jointly on both root types, learns features shared across species and generalizes better to both monocots and dicots. </w:t>
      </w:r>
      <w:r w:rsidR="007611C0">
        <w:t>Interestingly</w:t>
      </w:r>
      <w:r>
        <w:t>, the unified model is slightly more accurate on monocot samples than the monocot specialist itself, suggesting that exposure to dicots during training improves the representation of monocot anatomy rather than diluting it. We attribute this to the conserved biological identity of the tissues being segmented. The epidermis, exodermis, endodermis, cortex, and vascular cylinder occupy analogous radial positions in both monocots and dicots, and training on a more diverse set of samples sharing this conserved organization lets the model learn a more robust numerical representation of each structure. The increased total training set size when pooling monocot and dicot samples likely contributes as well, but the asymmetry of the effect where dicot exposure helping monocot accuracy more than the reverse suggests that shared anatomical organization is the dominant driver.</w:t>
      </w:r>
    </w:p>
    <w:p w14:paraId="1BA2B1BA" w14:textId="77777777" w:rsidR="00143C2B" w:rsidRDefault="00143C2B" w:rsidP="00143C2B">
      <w:pPr>
        <w:spacing w:after="160"/>
      </w:pPr>
      <w:r>
        <w:t>RootSeg outperforms all comparison architectures on both the in-distribution and zero-shot test sets (Fig. 2f), and we attribute this to two design choices. First, the DINOv3 encoder is initialized with weights learned by self-supervised pretraining on a large unlabeled image corpus, so the encoder is not tied to any predefined object categories. This matters here because the structures we segment are visually unlike the object classes typical of natural-image benchmarks. Self-supervised pretraining allows the encoder to learn broadly useful low-level visual features (texture, edge structure, spatial coherence) without those images needing to be labelled, and fine-tuning on our annotated root dataset adapts those features to the appearance of fluorescence microscopy. Second, RootSeg combines a transformer encoder with a U-shaped DPT decoder that progressively upsamples encoder features with skip connections at multiple resolutions. The transformer encoder allows every image patch to attend to every other patch at every block, while the U-shaped decoder integrates features across multiple spatial scales. We believe this hybrid is particularly well suited to root anatomy, because correctly identifying large concentric ring structures (epidermis, exodermis) alongside sparse fine structures (aerenchyma lacunae) requires both broad spatial context and local cell-level detail.</w:t>
      </w:r>
    </w:p>
    <w:p w14:paraId="4B88DACD" w14:textId="77777777" w:rsidR="00143C2B" w:rsidRDefault="00143C2B" w:rsidP="00143C2B">
      <w:pPr>
        <w:spacing w:after="160"/>
      </w:pPr>
      <w:r>
        <w:t xml:space="preserve">We also asked whether fine-tuning the pretrained encoder, rather than freezing it, contributes to segmentation accuracy. Training RootSeg with the encoder frozen yielded [result] mIoU on the in-distribution test set and </w:t>
      </w:r>
      <w:commentRangeStart w:id="0"/>
      <w:r w:rsidRPr="007611C0">
        <w:rPr>
          <w:color w:val="EE0000"/>
        </w:rPr>
        <w:t xml:space="preserve">[result] </w:t>
      </w:r>
      <w:commentRangeEnd w:id="0"/>
      <w:r w:rsidR="007611C0">
        <w:rPr>
          <w:rStyle w:val="CommentReference"/>
          <w:sz w:val="22"/>
          <w:szCs w:val="22"/>
        </w:rPr>
        <w:commentReference w:id="0"/>
      </w:r>
      <w:r>
        <w:t xml:space="preserve">mIoU on the zero-shot test set, compared with </w:t>
      </w:r>
      <w:r w:rsidRPr="007611C0">
        <w:rPr>
          <w:color w:val="EE0000"/>
        </w:rPr>
        <w:t xml:space="preserve">[result] </w:t>
      </w:r>
      <w:r>
        <w:t xml:space="preserve">and </w:t>
      </w:r>
      <w:r w:rsidRPr="007611C0">
        <w:rPr>
          <w:color w:val="EE0000"/>
        </w:rPr>
        <w:t xml:space="preserve">[result] </w:t>
      </w:r>
      <w:r>
        <w:t xml:space="preserve">for the fine-tuned configuration. To understand what fine-tuning changes in the encoder representations, we visualized the spatial structure of the encoder's patch-token features using principal component analysis (PCA), a standard linear method that projects high-dimensional features onto the directions of greatest variance (see Methods). Fig. 3c shows the resulting </w:t>
      </w:r>
      <w:r>
        <w:lastRenderedPageBreak/>
        <w:t>RGB visualizations for three representative samples. In the pretrained encoder, the PCA colors form diffuse, amorphous patterns within the root that do not align with the underlying anatomical domains. In the fine-tuned RootSeg encoder, by contrast, the PCA colors form sharp, spatially coherent rings and regions that align directly with the epidermis, cortex, endodermis, exodermis, and vascular cylinder visible in the input image. The concentric ring structure that emerges in feature space mirrors the radial anatomical organization of the root. This pattern is consistent across all three representative samples, including the Zeiss zero-shot rice sample, for which the encoder had never seen confocal imaging optics during training. Together, these results indicate that fine-tuning the encoder on our annotated root dataset reshapes its internal representation to reflect root anatomy directly, and that this reshaping is what enables the decoder to produce accurate segmentations.</w:t>
      </w:r>
    </w:p>
    <w:p w14:paraId="272B2FD3" w14:textId="5AF5CEFD" w:rsidR="00CC3306" w:rsidRDefault="00CC3306" w:rsidP="00CC3306">
      <w:pPr>
        <w:spacing w:after="160"/>
        <w:rPr>
          <w:b/>
          <w:bCs/>
        </w:rPr>
      </w:pPr>
      <w:r w:rsidRPr="00CC3306">
        <w:rPr>
          <w:b/>
          <w:bCs/>
        </w:rPr>
        <w:t>Limitations</w:t>
      </w:r>
    </w:p>
    <w:p w14:paraId="2A6BC52E" w14:textId="1EAAACB0" w:rsidR="00305111" w:rsidRPr="00143C2B" w:rsidRDefault="006502AB" w:rsidP="00143C2B">
      <w:pPr>
        <w:spacing w:after="160"/>
      </w:pPr>
      <w:r>
        <w:t>RootSeg has several limitations that suggest directions for future work. The training set covers six tissue classes in two plant types under three fluorescence microscopes, and performance on species, tissues, or imaging modalities far outside this distribution is untested. The model also relies on the three-channel TRITC/FITC/DAPI staining protocol used here and adapting it to brightfield or single-channel imaging would require additional fine-tuning. Finally, our zero-shot evaluation covers one previously unseen microscope; broader cross-platform evaluation across more confocal and widefield systems would further establish the limits of generalization.</w:t>
      </w:r>
    </w:p>
    <w:sectPr w:rsidR="00305111" w:rsidRPr="00143C2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ifei Gu" w:date="2026-05-15T21:57:00Z" w:initials="YG">
    <w:p w14:paraId="5D0AEF32" w14:textId="77777777" w:rsidR="007611C0" w:rsidRDefault="007611C0" w:rsidP="007611C0">
      <w:r>
        <w:rPr>
          <w:rStyle w:val="CommentReference"/>
        </w:rPr>
        <w:annotationRef/>
      </w:r>
      <w:r>
        <w:rPr>
          <w:sz w:val="20"/>
          <w:szCs w:val="20"/>
        </w:rPr>
        <w:t>This needs an additional training. It's in progress.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0AEF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F66575" w16cex:dateUtc="2026-05-16T04: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0AEF32" w16cid:durableId="5FF665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81E69" w14:textId="77777777" w:rsidR="00CB2EBB" w:rsidRDefault="00CB2EBB" w:rsidP="00464819">
      <w:pPr>
        <w:spacing w:after="0" w:line="240" w:lineRule="auto"/>
      </w:pPr>
      <w:r>
        <w:separator/>
      </w:r>
    </w:p>
  </w:endnote>
  <w:endnote w:type="continuationSeparator" w:id="0">
    <w:p w14:paraId="464CB42F" w14:textId="77777777" w:rsidR="00CB2EBB" w:rsidRDefault="00CB2EBB" w:rsidP="00464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E4ADF" w14:textId="77777777" w:rsidR="00CB2EBB" w:rsidRDefault="00CB2EBB" w:rsidP="00464819">
      <w:pPr>
        <w:spacing w:after="0" w:line="240" w:lineRule="auto"/>
      </w:pPr>
      <w:r>
        <w:separator/>
      </w:r>
    </w:p>
  </w:footnote>
  <w:footnote w:type="continuationSeparator" w:id="0">
    <w:p w14:paraId="64A3419C" w14:textId="77777777" w:rsidR="00CB2EBB" w:rsidRDefault="00CB2EBB" w:rsidP="004648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A569B"/>
    <w:multiLevelType w:val="hybridMultilevel"/>
    <w:tmpl w:val="83BA1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E579D4"/>
    <w:multiLevelType w:val="multilevel"/>
    <w:tmpl w:val="1F7E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022330">
    <w:abstractNumId w:val="0"/>
  </w:num>
  <w:num w:numId="2" w16cid:durableId="191727734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ifei Gu">
    <w15:presenceInfo w15:providerId="AD" w15:userId="S::bmegu@ucdavis.edu::ced08da5-258d-4e92-b160-053aa5ba58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58E"/>
    <w:rsid w:val="0001772D"/>
    <w:rsid w:val="0004747A"/>
    <w:rsid w:val="00075983"/>
    <w:rsid w:val="00143C2B"/>
    <w:rsid w:val="00176C33"/>
    <w:rsid w:val="00191902"/>
    <w:rsid w:val="001D324C"/>
    <w:rsid w:val="001E5C69"/>
    <w:rsid w:val="0022658E"/>
    <w:rsid w:val="00235902"/>
    <w:rsid w:val="00254A28"/>
    <w:rsid w:val="00266186"/>
    <w:rsid w:val="002A2285"/>
    <w:rsid w:val="002D7B55"/>
    <w:rsid w:val="00305111"/>
    <w:rsid w:val="00330DBD"/>
    <w:rsid w:val="003323E3"/>
    <w:rsid w:val="00396562"/>
    <w:rsid w:val="003A49A9"/>
    <w:rsid w:val="003A69E2"/>
    <w:rsid w:val="003B67ED"/>
    <w:rsid w:val="003F6666"/>
    <w:rsid w:val="00401494"/>
    <w:rsid w:val="00464819"/>
    <w:rsid w:val="004B2580"/>
    <w:rsid w:val="004E5405"/>
    <w:rsid w:val="004F4AB8"/>
    <w:rsid w:val="00592740"/>
    <w:rsid w:val="005C3A93"/>
    <w:rsid w:val="005D7646"/>
    <w:rsid w:val="006502AB"/>
    <w:rsid w:val="006876A1"/>
    <w:rsid w:val="0069628C"/>
    <w:rsid w:val="00706793"/>
    <w:rsid w:val="00757F92"/>
    <w:rsid w:val="007611C0"/>
    <w:rsid w:val="00775665"/>
    <w:rsid w:val="007B6BF7"/>
    <w:rsid w:val="007E5808"/>
    <w:rsid w:val="00877B9B"/>
    <w:rsid w:val="00956C88"/>
    <w:rsid w:val="009C723F"/>
    <w:rsid w:val="009F0D46"/>
    <w:rsid w:val="00A76CE5"/>
    <w:rsid w:val="00B821FB"/>
    <w:rsid w:val="00BC3CA3"/>
    <w:rsid w:val="00BF6DAD"/>
    <w:rsid w:val="00C45B0C"/>
    <w:rsid w:val="00C8190E"/>
    <w:rsid w:val="00C853BF"/>
    <w:rsid w:val="00CB2EBB"/>
    <w:rsid w:val="00CC3306"/>
    <w:rsid w:val="00D703C3"/>
    <w:rsid w:val="00D81A3E"/>
    <w:rsid w:val="00E17524"/>
    <w:rsid w:val="00E24B8E"/>
    <w:rsid w:val="00E75BAE"/>
    <w:rsid w:val="00F75033"/>
    <w:rsid w:val="00F943DF"/>
    <w:rsid w:val="00FC6E1F"/>
    <w:rsid w:val="00FD7DC6"/>
    <w:rsid w:val="00FF3D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AA0257D"/>
  <w15:chartTrackingRefBased/>
  <w15:docId w15:val="{0E707102-2ABD-A243-957C-74A98C638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3BF"/>
    <w:pPr>
      <w:spacing w:after="200" w:line="276" w:lineRule="auto"/>
    </w:pPr>
    <w:rPr>
      <w:rFonts w:ascii="Helvetica" w:hAnsi="Helvetica"/>
      <w:kern w:val="0"/>
      <w:sz w:val="22"/>
      <w:szCs w:val="22"/>
      <w:lang w:eastAsia="en-US"/>
      <w14:ligatures w14:val="none"/>
    </w:rPr>
  </w:style>
  <w:style w:type="paragraph" w:styleId="Heading1">
    <w:name w:val="heading 1"/>
    <w:basedOn w:val="Normal"/>
    <w:next w:val="Normal"/>
    <w:link w:val="Heading1Char"/>
    <w:uiPriority w:val="9"/>
    <w:qFormat/>
    <w:rsid w:val="0022658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22658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22658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22658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22658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22658E"/>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22658E"/>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iPriority w:val="9"/>
    <w:semiHidden/>
    <w:unhideWhenUsed/>
    <w:qFormat/>
    <w:rsid w:val="0022658E"/>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22658E"/>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5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5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5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5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5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58E"/>
    <w:rPr>
      <w:rFonts w:eastAsiaTheme="majorEastAsia" w:cstheme="majorBidi"/>
      <w:color w:val="272727" w:themeColor="text1" w:themeTint="D8"/>
    </w:rPr>
  </w:style>
  <w:style w:type="paragraph" w:styleId="Title">
    <w:name w:val="Title"/>
    <w:basedOn w:val="Normal"/>
    <w:next w:val="Normal"/>
    <w:link w:val="TitleChar"/>
    <w:uiPriority w:val="10"/>
    <w:qFormat/>
    <w:rsid w:val="0022658E"/>
    <w:pPr>
      <w:spacing w:after="80" w:line="240" w:lineRule="auto"/>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226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58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226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58E"/>
    <w:pPr>
      <w:spacing w:before="160" w:after="160" w:line="278" w:lineRule="auto"/>
      <w:jc w:val="center"/>
    </w:pPr>
    <w:rPr>
      <w:rFonts w:asciiTheme="minorHAnsi" w:hAnsiTheme="minorHAnsi"/>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22658E"/>
    <w:rPr>
      <w:i/>
      <w:iCs/>
      <w:color w:val="404040" w:themeColor="text1" w:themeTint="BF"/>
    </w:rPr>
  </w:style>
  <w:style w:type="paragraph" w:styleId="ListParagraph">
    <w:name w:val="List Paragraph"/>
    <w:basedOn w:val="Normal"/>
    <w:uiPriority w:val="34"/>
    <w:qFormat/>
    <w:rsid w:val="0022658E"/>
    <w:pPr>
      <w:spacing w:after="160" w:line="278" w:lineRule="auto"/>
      <w:ind w:left="720"/>
      <w:contextualSpacing/>
    </w:pPr>
    <w:rPr>
      <w:rFonts w:asciiTheme="minorHAnsi" w:hAnsiTheme="minorHAnsi"/>
      <w:kern w:val="2"/>
      <w:sz w:val="24"/>
      <w:szCs w:val="24"/>
      <w:lang w:eastAsia="zh-CN"/>
      <w14:ligatures w14:val="standardContextual"/>
    </w:rPr>
  </w:style>
  <w:style w:type="character" w:styleId="IntenseEmphasis">
    <w:name w:val="Intense Emphasis"/>
    <w:basedOn w:val="DefaultParagraphFont"/>
    <w:uiPriority w:val="21"/>
    <w:qFormat/>
    <w:rsid w:val="0022658E"/>
    <w:rPr>
      <w:i/>
      <w:iCs/>
      <w:color w:val="0F4761" w:themeColor="accent1" w:themeShade="BF"/>
    </w:rPr>
  </w:style>
  <w:style w:type="paragraph" w:styleId="IntenseQuote">
    <w:name w:val="Intense Quote"/>
    <w:basedOn w:val="Normal"/>
    <w:next w:val="Normal"/>
    <w:link w:val="IntenseQuoteChar"/>
    <w:uiPriority w:val="30"/>
    <w:qFormat/>
    <w:rsid w:val="0022658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22658E"/>
    <w:rPr>
      <w:i/>
      <w:iCs/>
      <w:color w:val="0F4761" w:themeColor="accent1" w:themeShade="BF"/>
    </w:rPr>
  </w:style>
  <w:style w:type="character" w:styleId="IntenseReference">
    <w:name w:val="Intense Reference"/>
    <w:basedOn w:val="DefaultParagraphFont"/>
    <w:uiPriority w:val="32"/>
    <w:qFormat/>
    <w:rsid w:val="0022658E"/>
    <w:rPr>
      <w:b/>
      <w:bCs/>
      <w:smallCaps/>
      <w:color w:val="0F4761" w:themeColor="accent1" w:themeShade="BF"/>
      <w:spacing w:val="5"/>
    </w:rPr>
  </w:style>
  <w:style w:type="paragraph" w:styleId="NormalWeb">
    <w:name w:val="Normal (Web)"/>
    <w:basedOn w:val="Normal"/>
    <w:uiPriority w:val="99"/>
    <w:semiHidden/>
    <w:unhideWhenUsed/>
    <w:rsid w:val="007E5808"/>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font-claude-response-body">
    <w:name w:val="font-claude-response-body"/>
    <w:basedOn w:val="Normal"/>
    <w:rsid w:val="00176C33"/>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Header">
    <w:name w:val="header"/>
    <w:basedOn w:val="Normal"/>
    <w:link w:val="HeaderChar"/>
    <w:uiPriority w:val="99"/>
    <w:unhideWhenUsed/>
    <w:rsid w:val="004648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4819"/>
    <w:rPr>
      <w:rFonts w:ascii="Helvetica" w:hAnsi="Helvetica"/>
      <w:kern w:val="0"/>
      <w:sz w:val="22"/>
      <w:szCs w:val="22"/>
      <w:lang w:eastAsia="en-US"/>
      <w14:ligatures w14:val="none"/>
    </w:rPr>
  </w:style>
  <w:style w:type="paragraph" w:styleId="Footer">
    <w:name w:val="footer"/>
    <w:basedOn w:val="Normal"/>
    <w:link w:val="FooterChar"/>
    <w:uiPriority w:val="99"/>
    <w:unhideWhenUsed/>
    <w:rsid w:val="004648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4819"/>
    <w:rPr>
      <w:rFonts w:ascii="Helvetica" w:hAnsi="Helvetica"/>
      <w:kern w:val="0"/>
      <w:sz w:val="22"/>
      <w:szCs w:val="22"/>
      <w:lang w:eastAsia="en-US"/>
      <w14:ligatures w14:val="none"/>
    </w:rPr>
  </w:style>
  <w:style w:type="character" w:styleId="CommentReference">
    <w:name w:val="annotation reference"/>
    <w:basedOn w:val="DefaultParagraphFont"/>
    <w:uiPriority w:val="99"/>
    <w:semiHidden/>
    <w:unhideWhenUsed/>
    <w:rsid w:val="007611C0"/>
    <w:rPr>
      <w:sz w:val="16"/>
      <w:szCs w:val="16"/>
    </w:rPr>
  </w:style>
  <w:style w:type="paragraph" w:styleId="CommentText">
    <w:name w:val="annotation text"/>
    <w:basedOn w:val="Normal"/>
    <w:link w:val="CommentTextChar"/>
    <w:uiPriority w:val="99"/>
    <w:semiHidden/>
    <w:unhideWhenUsed/>
    <w:rsid w:val="007611C0"/>
    <w:pPr>
      <w:spacing w:line="240" w:lineRule="auto"/>
    </w:pPr>
    <w:rPr>
      <w:sz w:val="20"/>
      <w:szCs w:val="20"/>
    </w:rPr>
  </w:style>
  <w:style w:type="character" w:customStyle="1" w:styleId="CommentTextChar">
    <w:name w:val="Comment Text Char"/>
    <w:basedOn w:val="DefaultParagraphFont"/>
    <w:link w:val="CommentText"/>
    <w:uiPriority w:val="99"/>
    <w:semiHidden/>
    <w:rsid w:val="007611C0"/>
    <w:rPr>
      <w:rFonts w:ascii="Helvetica" w:hAnsi="Helvetica"/>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7611C0"/>
    <w:rPr>
      <w:b/>
      <w:bCs/>
    </w:rPr>
  </w:style>
  <w:style w:type="character" w:customStyle="1" w:styleId="CommentSubjectChar">
    <w:name w:val="Comment Subject Char"/>
    <w:basedOn w:val="CommentTextChar"/>
    <w:link w:val="CommentSubject"/>
    <w:uiPriority w:val="99"/>
    <w:semiHidden/>
    <w:rsid w:val="007611C0"/>
    <w:rPr>
      <w:rFonts w:ascii="Helvetica" w:hAnsi="Helvetica"/>
      <w:b/>
      <w:bCs/>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1878</Words>
  <Characters>10710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Yifei Gu</dc:creator>
  <cp:keywords/>
  <dc:description/>
  <cp:lastModifiedBy>Yifei Gu</cp:lastModifiedBy>
  <cp:revision>6</cp:revision>
  <dcterms:created xsi:type="dcterms:W3CDTF">2026-05-16T04:28:00Z</dcterms:created>
  <dcterms:modified xsi:type="dcterms:W3CDTF">2026-05-16T04:58:00Z</dcterms:modified>
</cp:coreProperties>
</file>