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BD6B" w14:textId="77777777" w:rsidR="00571077" w:rsidRDefault="00000000">
      <w:pPr>
        <w:jc w:val="center"/>
      </w:pPr>
      <w:r>
        <w:rPr>
          <w:b/>
          <w:sz w:val="28"/>
        </w:rPr>
        <w:t>Introduction (revised draft, 2026-05-03)</w:t>
      </w:r>
    </w:p>
    <w:p w14:paraId="50F5814B" w14:textId="77777777" w:rsidR="00571077" w:rsidRDefault="00000000">
      <w:r>
        <w:rPr>
          <w:i/>
          <w:color w:val="777777"/>
          <w:sz w:val="18"/>
        </w:rPr>
        <w:t>Source key: italic grey heading above each paragraph indicates whether the paragraph is verbatim from the biologist co-author, edited (biologist opening kept, AI/CV content added), or new (Yifei). The headings are for review only and would be removed before submission.</w:t>
      </w:r>
    </w:p>
    <w:p w14:paraId="756E08C3" w14:textId="77777777" w:rsidR="00571077" w:rsidRDefault="00571077"/>
    <w:p w14:paraId="19531DF9" w14:textId="77777777" w:rsidR="00571077" w:rsidRDefault="00000000">
      <w:r>
        <w:rPr>
          <w:i/>
          <w:color w:val="555555"/>
          <w:sz w:val="18"/>
        </w:rPr>
        <w:t>Paragraph 1  |  verbatim from biologist co-author</w:t>
      </w:r>
    </w:p>
    <w:p w14:paraId="24B199F9" w14:textId="77777777" w:rsidR="00571077" w:rsidRDefault="00000000">
      <w:pPr>
        <w:spacing w:after="160"/>
        <w:ind w:firstLine="360"/>
      </w:pPr>
      <w:r>
        <w:t>Roots are considered the hidden half of plants and their presence below-ground historically precluded facile understanding of their form and function. While high-throughput acquisition of root system architecture images and their subsequent automated quantification have vastly improved, anatomical (cellular) quantification remains more difficult. Plant root cell types are radially symmetrical and arranged in concentric cylinders surrounding the vasculature. The epidermis is the outer cell layer, followed by the cortex and endodermis. The root stele is composed of the pericycle, as well as the xylem, phloem and procambial tissue. Despite conservation of this patterning across plant species, the number of layers and their morphology are phylogenetically variable. Arabidopsis thaliana, frequently used as a model species, contains a single cortex layer, unlike most plant species that contain multiple cortex layers, many of which are specialized.</w:t>
      </w:r>
    </w:p>
    <w:p w14:paraId="4C6CA7FE" w14:textId="77777777" w:rsidR="00571077" w:rsidRDefault="00000000">
      <w:r>
        <w:rPr>
          <w:i/>
          <w:color w:val="555555"/>
          <w:sz w:val="18"/>
        </w:rPr>
        <w:t>Paragraph 2  |  verbatim from biologist co-author</w:t>
      </w:r>
    </w:p>
    <w:p w14:paraId="7F75A07F" w14:textId="77777777" w:rsidR="00571077" w:rsidRDefault="00000000">
      <w:pPr>
        <w:spacing w:after="160"/>
        <w:ind w:firstLine="360"/>
      </w:pPr>
      <w:r>
        <w:t>Functional specialization can be conferred by deposition of a complex cell wall composed of lignin, suberin, or other biopolymers. Deposition of these walls controls water and mineral ion uptake, blocks pathogens, or its removal can facilitate entry of symbionts (Naseer et al. 2012; Baxter et al. 2009; Cantó-Pastor et al. 2024; Manzano et al. 2025; Barberon et al. 2016; Reynoso et al. 2022; Zhu et al. 2025). The outer cortical cell type, the exodermis, can be lignified or suberized, and inner cortical layers can contain lignin depositions of various types (Schneider et al. 2021)(sclerenchyma + phi thickening references). The root endodermis contains a conserved lignified Casparian Strip, and can be suberized (Naseer et al. 2012; Barberon et al. 2016). Monocot root species can contain aerenchyma, areas of cell wall loosening and programmed cell death, producing gaps in the cellular structure that can reduce metabolic cost or maintain oxygen in stressful environments (Abiko et al. 2012; Klein et al. 2020). All of these cell type features are dynamically modified in response to abiotic and biotic stressors, and their increased presence is often associated with stress tolerance (Gouran and Brady 2024). A central question remains: what is the diversity of these cell types in plants, their differentiation features, and how do they enable adaptive plant responses to the environment?</w:t>
      </w:r>
    </w:p>
    <w:p w14:paraId="5E9B378C" w14:textId="77777777" w:rsidR="00571077" w:rsidRDefault="00000000">
      <w:r>
        <w:rPr>
          <w:i/>
          <w:color w:val="555555"/>
          <w:sz w:val="18"/>
        </w:rPr>
        <w:t>Paragraph 3  |  verbatim from biologist co-author</w:t>
      </w:r>
    </w:p>
    <w:p w14:paraId="03AEE907" w14:textId="77777777" w:rsidR="00571077" w:rsidRDefault="00000000">
      <w:pPr>
        <w:spacing w:after="160"/>
        <w:ind w:firstLine="360"/>
      </w:pPr>
      <w:r>
        <w:t xml:space="preserve">Anatomical resolution of these cell types, cell wall barriers and aerenchyma require thin sections and cellular visualization. Laser ablation tomography is an effective method to determine cortical cell wall features, and its application revealed the genetic architecture of these traits and their functional and environmental significance in maize, wheat and their wild </w:t>
      </w:r>
      <w:r>
        <w:lastRenderedPageBreak/>
        <w:t>relatives, but is not an easily accessible technology (Schneider et al. 2023, 2021; Klein et al. 2020). Sections can be simply obtained using vibratomes and fresh or agar-embedded specimens (Sexauer et al. 2021; Manzano et al. 2025; Cantó-Pastor et al. 2024; Kawa et al. 2024). Establishment of the ClearSee protocol enabled deeper penetration of root tissues, and coupled with fluorescent histochemical dyes has already revealed a complex and rich spectrum of these structures in a small number of species (Sexauer et al. 2021; Ursache et al. 2018; Kurihara et al. 2015). These methods now make it straightforward to generate large collections of high-resolution root images across species, genotypes, and experimental conditions. However, the quantitative analysis of these images remains a major bottleneck, limiting the scale and scope of biological studies that can be performed.</w:t>
      </w:r>
    </w:p>
    <w:p w14:paraId="682E6BFC" w14:textId="77777777" w:rsidR="00571077" w:rsidRDefault="00000000">
      <w:r>
        <w:rPr>
          <w:i/>
          <w:color w:val="555555"/>
          <w:sz w:val="18"/>
        </w:rPr>
        <w:t>Paragraph 4  |  verbatim from biologist co-author</w:t>
      </w:r>
    </w:p>
    <w:p w14:paraId="57F19676" w14:textId="77777777" w:rsidR="00571077" w:rsidRDefault="00000000">
      <w:pPr>
        <w:spacing w:after="160"/>
        <w:ind w:firstLine="360"/>
      </w:pPr>
      <w:r>
        <w:t>Traditionally, quantification of root barriers relies on categorical predictors (Barberon et al. 2016; Naseer et al. 2012) or manual annotation (Kawa et al. 2024), a process that is time-intensive and difficult to scale, particularly when employed for quantitative genetic studies. This challenge is particularly pronounced for anatomically complex structures such as cortical aerenchyma, where boundaries can be irregular, diffuse, or discontinuous, making annotation subjective and prone to inter- and intra-annotator variability. As a result, datasets that require months of effort to analyze are often restricted to small sample sizes, and rich image collections are underutilized.</w:t>
      </w:r>
    </w:p>
    <w:p w14:paraId="6A2606A1" w14:textId="77777777" w:rsidR="00571077" w:rsidRDefault="00000000">
      <w:r>
        <w:rPr>
          <w:i/>
          <w:color w:val="555555"/>
          <w:sz w:val="18"/>
        </w:rPr>
        <w:t>Paragraph 5  |  verbatim from biologist co-author</w:t>
      </w:r>
    </w:p>
    <w:p w14:paraId="34DBF711" w14:textId="74442842" w:rsidR="001F1ACD" w:rsidRDefault="001F1ACD" w:rsidP="001F1ACD">
      <w:pPr>
        <w:spacing w:after="160"/>
        <w:ind w:firstLine="360"/>
      </w:pPr>
      <w:r>
        <w:t>From a computer-vision perspective, root anatomy is not a collection of individual objects to be detected</w:t>
      </w:r>
      <w:r>
        <w:t>. I</w:t>
      </w:r>
      <w:r>
        <w:t xml:space="preserve">t is a nested, semantically </w:t>
      </w:r>
      <w:r>
        <w:t>organized</w:t>
      </w:r>
      <w:r>
        <w:t xml:space="preserve"> tissue map in which the identity of a region depends as much on its global position as on its </w:t>
      </w:r>
      <w:proofErr w:type="gramStart"/>
      <w:r>
        <w:t>local  appearance</w:t>
      </w:r>
      <w:proofErr w:type="gramEnd"/>
      <w:r>
        <w:t xml:space="preserve">. The exodermis, for example, is operationally defined as the second cell layer from the outer surface; in some   </w:t>
      </w:r>
    </w:p>
    <w:p w14:paraId="75A2133A" w14:textId="77777777" w:rsidR="001F1ACD" w:rsidRDefault="001F1ACD" w:rsidP="001F1ACD">
      <w:pPr>
        <w:spacing w:after="160"/>
        <w:ind w:firstLine="360"/>
      </w:pPr>
      <w:r>
        <w:t xml:space="preserve">  sorghum samples it is heavily lignified or suberized and gives a strong, distinguishing signal in the FITC and TRITC channels,</w:t>
      </w:r>
    </w:p>
    <w:p w14:paraId="65C87FEB" w14:textId="77777777" w:rsidR="001F1ACD" w:rsidRDefault="001F1ACD" w:rsidP="001F1ACD">
      <w:pPr>
        <w:spacing w:after="160"/>
        <w:ind w:firstLine="360"/>
      </w:pPr>
      <w:r>
        <w:t xml:space="preserve">   while in other samples of the same genotype it is indistinguishable in appearance from surrounding cortical cells. A model </w:t>
      </w:r>
    </w:p>
    <w:p w14:paraId="57E05122" w14:textId="77777777" w:rsidR="001F1ACD" w:rsidRDefault="001F1ACD" w:rsidP="001F1ACD">
      <w:pPr>
        <w:spacing w:after="160"/>
        <w:ind w:firstLine="360"/>
      </w:pPr>
      <w:r>
        <w:t xml:space="preserve">  that classifies regions purely from local texture cannot recover the correct label in the second case. Robust segmentation</w:t>
      </w:r>
    </w:p>
    <w:p w14:paraId="53955B5E" w14:textId="77777777" w:rsidR="001F1ACD" w:rsidRDefault="001F1ACD" w:rsidP="001F1ACD">
      <w:pPr>
        <w:spacing w:after="160"/>
        <w:ind w:firstLine="360"/>
      </w:pPr>
      <w:r>
        <w:t xml:space="preserve">  </w:t>
      </w:r>
      <w:proofErr w:type="gramStart"/>
      <w:r>
        <w:t>therefore</w:t>
      </w:r>
      <w:proofErr w:type="gramEnd"/>
      <w:r>
        <w:t xml:space="preserve"> requires a model that learns the semantic topology of the root — the ordered relationship between epidermis,</w:t>
      </w:r>
    </w:p>
    <w:p w14:paraId="23DF1312" w14:textId="77777777" w:rsidR="001F1ACD" w:rsidRDefault="001F1ACD" w:rsidP="001F1ACD">
      <w:pPr>
        <w:spacing w:after="160"/>
        <w:ind w:firstLine="360"/>
      </w:pPr>
      <w:r>
        <w:t xml:space="preserve">  exodermis, cortex, endodermis, vasculature, and aerenchyma — and uses long-range context, not just local cell-wall morphology,</w:t>
      </w:r>
    </w:p>
    <w:p w14:paraId="14A09662" w14:textId="3FEB5EEC" w:rsidR="001F1ACD" w:rsidRDefault="001F1ACD" w:rsidP="001F1ACD">
      <w:pPr>
        <w:spacing w:after="160"/>
        <w:ind w:firstLine="360"/>
      </w:pPr>
      <w:r>
        <w:t xml:space="preserve">   to resolve ambiguous regions.</w:t>
      </w:r>
    </w:p>
    <w:p w14:paraId="3137BA8A" w14:textId="77777777" w:rsidR="001F1ACD" w:rsidRDefault="001F1ACD">
      <w:pPr>
        <w:spacing w:after="160"/>
        <w:ind w:firstLine="360"/>
      </w:pPr>
    </w:p>
    <w:p w14:paraId="7EC53F67" w14:textId="77777777" w:rsidR="001F1ACD" w:rsidRDefault="001F1ACD">
      <w:pPr>
        <w:spacing w:after="160"/>
        <w:ind w:firstLine="360"/>
      </w:pPr>
    </w:p>
    <w:p w14:paraId="4FD93F8E" w14:textId="41FC152D" w:rsidR="00571077" w:rsidRDefault="00000000">
      <w:pPr>
        <w:spacing w:after="160"/>
        <w:ind w:firstLine="360"/>
      </w:pPr>
      <w:r>
        <w:t>From a computer vision perspective, root cellular or cell type segmentation constitutes a challenging structured segmentation problem. Anatomical barriers are not isolated objects but spatially organized, nested structures whose geometry and relative positioning are biologically constrained. MorphoGraphX is a commonly used platform for cell segmentation, but it requires use of transgenic lines for marking cell boundaries, and is not designed for the quantification of cell wall contents within those barriers (Barbier de Reuille et al. 2015). Cell type-specific cell wall structures and aerenchyma exhibit substantial morphological variation across species, growth conditions, and developmental stages, while additional variability is introduced by staining intensity, sectioning quality, and imaging platforms. Together, these factors make root anatomical segmentation a demanding real-world task that goes beyond controlled laboratory benchmarks.</w:t>
      </w:r>
    </w:p>
    <w:p w14:paraId="5C680818" w14:textId="77777777" w:rsidR="00571077" w:rsidRDefault="00000000">
      <w:r>
        <w:rPr>
          <w:i/>
          <w:color w:val="1F669E"/>
          <w:sz w:val="18"/>
        </w:rPr>
        <w:t>Paragraph 6  |  new (Yifei, AI/CV perspective)</w:t>
      </w:r>
    </w:p>
    <w:p w14:paraId="1E0B74EF" w14:textId="77777777" w:rsidR="00571077" w:rsidRDefault="00000000">
      <w:pPr>
        <w:spacing w:after="160"/>
        <w:ind w:firstLine="360"/>
      </w:pPr>
      <w:r>
        <w:t>A further difficulty is that the identity of an anatomical region depends as much on its global position within the root as on its local cellular appearance. The exodermis, for instance, is operationally defined as the second cell layer from the outer surface. In some sorghum samples it is heavily lignified or suberized and produces a strong, distinguishing signal in the FITC and TRITC channels. In other samples of the same species it is unlignified, unsuberized, and visually indistinguishable from the surrounding cortical cells. A model that classifies pixels purely from local texture cannot recover the correct label in the second case. Robust segmentation therefore requires a model that learns the semantic topology of the root, that is, the ordered radial relationship between epidermis, exodermis, cortex, endodermis, vasculature, and aerenchyma, and that uses long-range context to resolve regions whose local appearance is ambiguous.</w:t>
      </w:r>
    </w:p>
    <w:p w14:paraId="3891C419" w14:textId="77777777" w:rsidR="00571077" w:rsidRDefault="00000000">
      <w:r>
        <w:rPr>
          <w:i/>
          <w:color w:val="9E661F"/>
          <w:sz w:val="18"/>
        </w:rPr>
        <w:t>Paragraph 7  |  edited (kept biologist opening, extended with AI/CV content)</w:t>
      </w:r>
    </w:p>
    <w:p w14:paraId="4B1CD3AA" w14:textId="77777777" w:rsidR="00571077" w:rsidRDefault="00000000">
      <w:pPr>
        <w:spacing w:after="160"/>
        <w:ind w:firstLine="360"/>
      </w:pPr>
      <w:r>
        <w:t xml:space="preserve">Machine learning-based image segmentation offers a promising avenue to overcome these limitations by enabling rapid, consistent, and scalable analysis of complex root anatomy. Once trained, models can apply uniform decision criteria across large datasets without fatigue, reducing analysis time from months to minutes and enabling experimental scales that are impractical with manual workflows. However, existing biological segmentation tools were not designed for the semantic, tissue-level task that root anatomy demands. Cellpose, PlantSeg, and the Segment Anything Model are class-agnostic instance segmenters: they localize individual cells and trace cell boundaries, but they carry no representation of which tissue a cell belongs to, and their decisions are made from a local receptive field that does not capture radial position. Downstream class assignment must then be performed manually or through a separate classifier. A second, more subtle limitation is geometric. Watershed-style instance pipelines, used by Cellpose and many cell-segmentation packages, place the boundary between two touching cells at the midline between their centers, splitting the shared cell wall in half. For downstream chemistry, where the analyte (suberin, lignin) is deposited in the wall itself, this discards roughly half of the signal of interest. What is needed for plant root anatomy is the </w:t>
      </w:r>
      <w:r>
        <w:lastRenderedPageBreak/>
        <w:t>opposite: a semantic segmentation in which a tissue region (for example the entire exodermis ring) includes the full thickness of its bounding cell walls. Despite this need, the development and evaluation of such methods has been hindered by the lack of large, expert-annotated datasets and standardized benchmarks. Plant anatomical images representing real-world biological and imaging variability remain underrepresented in publicly available resources, in stark contrast to medical imaging and natural image analysis.</w:t>
      </w:r>
    </w:p>
    <w:p w14:paraId="2BF0FFC5" w14:textId="77777777" w:rsidR="00571077" w:rsidRDefault="00000000">
      <w:r>
        <w:rPr>
          <w:i/>
          <w:color w:val="1F669E"/>
          <w:sz w:val="18"/>
        </w:rPr>
        <w:t>Paragraph 8  |  new (Yifei, AI/CV perspective)</w:t>
      </w:r>
    </w:p>
    <w:p w14:paraId="5790E854" w14:textId="77777777" w:rsidR="00571077" w:rsidRDefault="00000000">
      <w:pPr>
        <w:spacing w:after="160"/>
        <w:ind w:firstLine="360"/>
      </w:pPr>
      <w:r>
        <w:t>Two recent advances in computer vision make this problem newly tractable. First, self-supervised vision foundation models, most recently DINOv3 trained on the LVD-1.69B image collection, produce dense patch features that encode semantic and topological structure transferable across image domains, including microscopy, with minimal fine-tuning. Second, dense prediction transformer (DPT) decoders fuse multiple encoder layers into pixel-level outputs while preserving long-range context, making them well suited to nested anatomical maps. Together, when fine-tuned on a sufficiently diverse annotated dataset, this combination can in principle deliver the contextual reasoning that root anatomy requires.</w:t>
      </w:r>
    </w:p>
    <w:p w14:paraId="6D2DCE75" w14:textId="77777777" w:rsidR="00571077" w:rsidRDefault="00000000">
      <w:r>
        <w:rPr>
          <w:i/>
          <w:color w:val="9E661F"/>
          <w:sz w:val="18"/>
        </w:rPr>
        <w:t>Paragraph 9  |  edited (kept biologist opening, extended with AI/CV content)</w:t>
      </w:r>
    </w:p>
    <w:p w14:paraId="11564695" w14:textId="77777777" w:rsidR="00571077" w:rsidRDefault="00000000">
      <w:pPr>
        <w:spacing w:after="160"/>
        <w:ind w:firstLine="360"/>
      </w:pPr>
      <w:r>
        <w:t>Here we test that proposition. We introduce a multi-species, multi-platform dataset of approximately 1,600 expert-annotated root cross-section images spanning both monocots (rice, sorghum, millet) and a dicot (tomato), three imaging platforms (Olympus widefield, Cytation C10, and Zeiss confocal), multiple genotypes, and multiple growth conditions. The dataset focuses on the key cell wall barriers of the endodermis and exodermis, together with cortical aerenchyma, which regulate radial transport, nutrient and water flux, gas exchange, and plant responses to environmental stress and biotic interactions (Geldner 2013; Lynch 2015; Barberon 2017; Yamauchi et al. 2018). On this dataset we train a unified semantic segmentation model, a fine-tuned DINOv3-S/16 encoder paired with a Meta-style DPT decoder, that simultaneously segments seven tissue classes. The unified model achieves per-class IoU within the inter-annotator ceiling estimated from a second expert (Fig. 2), outperforms species- or clade-specialist models trained on the same data (Fig. 3), and transfers zero-shot to an entirely held-out imaging platform. We then show that its predictions are accurate enough to substitute for manual annotation in three quantitative biological readouts (endodermal suberin intensity, exodermal lignin intensity, and aerenchyma area fraction), with measurements that match expert ground truth across the test set (Fig. 4). Finally, we deploy the model at scale to [Fig 5 biological finding, to be filled in], demonstrating that automated anatomical quantification can resolve genotype by environment effects on root barrier architecture at a throughput previously inaccessible to the field. Together, the dataset, the model, and the downstream pipeline provide a scalable framework to dissect how root barrier architecture contributes to plant responses to environmental and biotic stress.</w:t>
      </w:r>
    </w:p>
    <w:sectPr w:rsidR="0057107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912595">
    <w:abstractNumId w:val="8"/>
  </w:num>
  <w:num w:numId="2" w16cid:durableId="1706832541">
    <w:abstractNumId w:val="6"/>
  </w:num>
  <w:num w:numId="3" w16cid:durableId="1207795540">
    <w:abstractNumId w:val="5"/>
  </w:num>
  <w:num w:numId="4" w16cid:durableId="660275789">
    <w:abstractNumId w:val="4"/>
  </w:num>
  <w:num w:numId="5" w16cid:durableId="445270358">
    <w:abstractNumId w:val="7"/>
  </w:num>
  <w:num w:numId="6" w16cid:durableId="657536760">
    <w:abstractNumId w:val="3"/>
  </w:num>
  <w:num w:numId="7" w16cid:durableId="1684673374">
    <w:abstractNumId w:val="2"/>
  </w:num>
  <w:num w:numId="8" w16cid:durableId="1592468872">
    <w:abstractNumId w:val="1"/>
  </w:num>
  <w:num w:numId="9" w16cid:durableId="1811438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ACD"/>
    <w:rsid w:val="0029639D"/>
    <w:rsid w:val="00326F90"/>
    <w:rsid w:val="00571077"/>
    <w:rsid w:val="00AA1D8D"/>
    <w:rsid w:val="00B47730"/>
    <w:rsid w:val="00B96E38"/>
    <w:rsid w:val="00CB0664"/>
    <w:rsid w:val="00EB4A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FDEDA"/>
  <w14:defaultImageDpi w14:val="300"/>
  <w15:docId w15:val="{2A72ED6B-4424-2F4D-90C6-81C142A46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Helvetica" w:hAnsi="Helvetic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1873</Words>
  <Characters>10681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Yifei Gu</cp:lastModifiedBy>
  <cp:revision>2</cp:revision>
  <dcterms:created xsi:type="dcterms:W3CDTF">2013-12-23T23:15:00Z</dcterms:created>
  <dcterms:modified xsi:type="dcterms:W3CDTF">2026-05-04T04:25:00Z</dcterms:modified>
  <cp:category/>
</cp:coreProperties>
</file>