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Result 4 + related Methods (revised draft, 2026-05-10)</w:t>
      </w:r>
    </w:p>
    <w:p/>
    <w:p>
      <w:pPr>
        <w:spacing w:before="280" w:after="120"/>
      </w:pPr>
      <w:r>
        <w:rPr>
          <w:b/>
          <w:sz w:val="24"/>
        </w:rPr>
        <w:t>Result 4. A unified model for monocots and dicots generalizes better than the specialist models trained on monocots or dicots individually</w:t>
      </w:r>
    </w:p>
    <w:p>
      <w:pPr>
        <w:spacing w:after="160"/>
        <w:ind w:firstLine="360"/>
      </w:pPr>
      <w:r>
        <w:t>Cereal cross-section images (rice, sorghum, pearl millet) and tomato cross-section images differ substantially in cell-wall architecture, root diameter, and the presence of aerenchyma. A natural concern when training a single model jointly on both clades is that the model might dilute its representation of either clade in service of the other, and that a clade-specific specialist would perform better on its own clade than a generalist. To test this directly, we trained two additional models. The Monocot Specialist was trained only on the 856 monocot training samples (rice, sorghum, and pearl millet). The Dicot Specialist was trained only on the 437 tomato training samples. The Unified Model and the two specialists shared an identical encoder, decoder, loss combination, augmentation pipeline, optimizer, and schedule, with the only difference being the species composition of the training set.</w:t>
      </w:r>
    </w:p>
    <w:p>
      <w:pPr>
        <w:spacing w:after="160"/>
        <w:ind w:firstLine="360"/>
      </w:pPr>
      <w:r>
        <w:t>We evaluated all three models on three test cohorts. The cohorts comprised the 148 monocot in-distribution test samples, the 37 dicot in-distribution test samples, and the 35 rice samples held out on the Zeiss confocal microscope. Representative prediction examples from each model on a monocot test sample (Millet, AW23 genotype), a dicot test sample (Tomato, slmyb92 mutant), and a Zeiss zero-shot sample (Rice, Kittake) are shown in Fig. 3a alongside the input image and the expert ground truth. The quantitative comparison across all 220 evaluation samples is summarized in Fig. 3b. On its own training clade, each specialist matched the Unified Model. On the 148 monocot test samples, the Monocot Specialist reached 6-class mIoU 0.856 and the Unified Model reached 0.857, a difference of 0.001. On the 37 dicot test samples, the Dicot Specialist reached 6-class mIoU 0.932 and the Unified Model reached 0.936, a difference of 0.004. On the 35 Zeiss zero-shot rice samples, both monocot-trained models reached 6-class mIoU 0.873 (Unified) and 0.872 (Monocot Specialist), again a difference of 0.001. Joint training across clades therefore preserves full specialist-level accuracy on each clade rather than diluting it.</w:t>
      </w:r>
    </w:p>
    <w:p>
      <w:pPr>
        <w:spacing w:after="160"/>
        <w:ind w:firstLine="360"/>
      </w:pPr>
      <w:r>
        <w:t>The picture changed dramatically when each specialist was evaluated on the clade it had never seen during training (Fig. 3b, off-domain bars). The Monocot Specialist, applied to the 37 dicot test samples, dropped from 6-class mIoU 0.856 on its own monocot test set to 0.603 on tomato, a fall of 0.253. The Dicot Specialist, applied to the 148 monocot test samples, dropped from 0.932 on its own dicot test set to 0.589 on cereals, a fall of 0.343. On the Zeiss zero-shot split, which consists entirely of rice samples and is therefore off-domain for the Dicot Specialist, the Dicot Specialist collapsed further to 6-class mIoU 0.401, an absolute drop of 0.531 from its dicot in-distribution accuracy. By contrast, the Unified Model maintained 6-class mIoU between 0.857 and 0.936 across every cohort. The visual prediction panels in Fig. 3a illustrate this failure mode directly. The off-clade specialist predictions either miss entire tissue domains or misclassify large regions as the wrong tissue, while the Unified Model's prediction is essentially indistinguishable from the expert ground truth on both clades. Specialist training therefore produces a brittle model that fails catastrophically when applied beyond its training clade, whereas joint training produces a generalist model with no measurable performance cost.</w:t>
      </w:r>
    </w:p>
    <w:p>
      <w:pPr>
        <w:spacing w:after="160"/>
        <w:ind w:firstLine="360"/>
      </w:pPr>
      <w:r>
        <w:t>We also asked whether fine-tuning on our annotated dataset reshapes the encoder's internal representation in a way that reflects root anatomy, rather than only modifying the downstream segmentation head. To answer this, we visualized the spatial structure of the encoder's learned representations directly on the input image (Fig. 3c). For each sample, we passed the image through the encoder and extracted the grid of patch-token feature vectors output by the final transformer block, then projected these high-dimensional vectors into a three-dimensional colour space using principal component analysis (PCA). PCA is a standard linear dimensionality-reduction method that identifies the directions of greatest variance in a high-dimensional feature set and projects the data onto those directions. When applied to patch-token features, PCA recovers the dominant patterns of variation across patches within an image. We rendered the first three principal components as the red, green, and blue channels of an output image at the patch grid resolution, with PCA computed separately for the pretrained encoder and for the fine-tuned Unified Model encoder (full procedure in Methods).</w:t>
      </w:r>
    </w:p>
    <w:p>
      <w:pPr>
        <w:spacing w:after="160"/>
        <w:ind w:firstLine="360"/>
      </w:pPr>
      <w:r>
        <w:t>Fig. 3c shows the encoder PCA visualization for three representative samples, namely a monocot test image (Rice, wox10-15 mutant), a dicot test image (Tomato, slmyb92 mutant), and a Zeiss zero-shot monocot image (Rice, Kittake), each rendered under two encoder states. The first column shows the pretrained DINOv3 encoder before any fine-tuning on our dataset, and the second column shows the fine-tuned Unified Model encoder. In the pretrained encoder, the PCA colours form diffuse and largely amorphous patterns within the root that do not align with the underlying anatomical tissue domains. In the Unified Model encoder, by contrast, the PCA colours form sharp, spatially coherent rings and regions that align directly with the epidermis, cortex, endodermis, exodermis, and vascular cylinder visible in the input image. Concentric ring structure emerges in the encoder feature space that mirrors the radial anatomical structure of the root, and aerenchyma regions are picked out as distinct colour patches embedded within the cortex. This pattern holds across all three rows, including the Zeiss zero-shot row in which the encoder had never seen confocal imaging optics during training.</w:t>
      </w:r>
    </w:p>
    <w:p>
      <w:pPr>
        <w:spacing w:after="160"/>
        <w:ind w:firstLine="360"/>
      </w:pPr>
      <w:r>
        <w:t>This comparison confirms that fine-tuning on our annotated root dataset successfully reshapes the encoder's representation. Before fine-tuning, the pretrained DINOv3 encoder produces a feature space whose dominant axes of variation do not correspond to root anatomical structure. After fine-tuning, the encoder learns a more structured feature space that is correlated with the radial anatomical organization of the root, with each tissue domain occupying a distinct region of the feature space. The encoder is therefore not merely supporting a downstream segmentation head, it is learning representations that are themselves anatomically meaningful.</w:t>
      </w:r>
    </w:p>
    <w:p>
      <w:pPr>
        <w:spacing w:before="280" w:after="120"/>
      </w:pPr>
      <w:r>
        <w:rPr>
          <w:b/>
          <w:sz w:val="24"/>
        </w:rPr>
        <w:t>Methods subsections relevant to Result 4</w:t>
      </w:r>
    </w:p>
    <w:p>
      <w:pPr>
        <w:spacing w:before="160" w:after="40"/>
      </w:pPr>
      <w:r>
        <w:rPr>
          <w:b/>
          <w:sz w:val="22"/>
        </w:rPr>
        <w:t>Specialist models (Monocot Specialist and Dicot Specialist)</w:t>
      </w:r>
    </w:p>
    <w:p>
      <w:pPr>
        <w:spacing w:after="160"/>
        <w:ind w:firstLine="360"/>
      </w:pPr>
      <w:r>
        <w:t>Two clade-specialist models were trained for the unified-versus-specialist comparison in Result 4. The Monocot Specialist was trained on the 856 training samples drawn from rice, sorghum, and pearl millet. The Dicot Specialist was trained on the 437 training samples drawn from tomato (including the cultivated Solanum lycopersicum and 13 wild Solanum species). The validation set was restricted to the matching clade for each specialist. Both specialists used the same DINOv3-S/16 encoder, Meta-style DPT decoder, four-component composite loss, augmentation pipeline, optimizer, learning-rate schedule, batch size, and epoch budget as the Unified Model, with the only difference being the training-set species composition. Specialists were evaluated on three cohorts. Each was evaluated on its own clade's in-distribution test split using the standard metrics_bio7.csv pipeline. Each was also evaluated on the off-clade test split (the Monocot Specialist on the 37 tomato test samples, the Dicot Specialist on the 148 cereal test samples) using a separate off-domain inference pass written to a metrics_bio7_offdomain.csv file. Finally, both specialists were applied zero-shot to the 35 Zeiss rice samples for direct comparison with the Unified Model on the zero-shot split.</w:t>
      </w:r>
    </w:p>
    <w:p>
      <w:pPr>
        <w:spacing w:before="160" w:after="40"/>
      </w:pPr>
      <w:r>
        <w:rPr>
          <w:b/>
          <w:sz w:val="22"/>
        </w:rPr>
        <w:t>Encoder feature visualization by principal component analysis</w:t>
      </w:r>
    </w:p>
    <w:p>
      <w:pPr>
        <w:spacing w:after="160"/>
        <w:ind w:firstLine="360"/>
      </w:pPr>
      <w:r>
        <w:t>To visualize the spatial organization of the encoder's learned representations on a per-sample basis, we used a two-pass principal component analysis (PCA) procedure adapted from the DINOv2 and DINOv3 feature-visualization conventions (Oquab et al. 2023, Siméoni et al. 2025). For each sample, we resampled the input image to 1,536 × 1,536 pixels (slightly above the standard 1,024 × 1,024 training resolution to give the visualization a finer patch grid), passed it through the chosen encoder (either the frozen pretrained DINOv3-S/16 or the fine-tuned Unified Model encoder), and extracted the patch-token output of the final transformer block. With a patch size of 16, this produced a 96 × 96 grid of 384-dimensional patch-token feature vectors per sample.</w:t>
      </w:r>
    </w:p>
    <w:p>
      <w:pPr>
        <w:spacing w:after="160"/>
        <w:ind w:firstLine="360"/>
      </w:pPr>
      <w:r>
        <w:t>The first PCA pass fit a one-component PCA on the patch tokens of a single image. The first principal component of self-supervised DINO-family features is known to separate foreground (object) from background (surroundings) without supervision. We thresholded the PC1 scores at their median to obtain a binary foreground mask, choosing the foreground side as the one with fewer image-corner patches under the assumption that the four corners of a cross-section image are background.</w:t>
      </w:r>
    </w:p>
    <w:p>
      <w:pPr>
        <w:spacing w:after="160"/>
        <w:ind w:firstLine="360"/>
      </w:pPr>
      <w:r>
        <w:t>The second PCA pass fit a three-component PCA on the union of foreground tokens pooled across all samples for the encoder being visualized, with each sample's foreground tokens mean-centered before pooling. The pretrained DINOv3 encoder and the fine-tuned Unified Model encoder used separate PCA bases, each fit only on its own foreground tokens, because the two encoders live in different feature spaces and a shared PCA basis would not be meaningful between them. For each (encoder, sample) pair, the three component scores at each foreground patch were clipped at their per-component 2nd and 98th percentile values (pooled across the fit), then linearly rescaled to the unit interval and assigned to the red (PC1), green (PC2), and blue (PC3) channels of an output image at the patch grid resolution. Background patches were rendered black. The result is a per-sample colour visualization in which patches with similar encoder representations appear in similar colours, so the spatial layout of those colours directly reflects the structure encoded in the encoder's feature space.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