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120F" w14:textId="77777777" w:rsidR="000010E9" w:rsidRDefault="00000000">
      <w:pPr>
        <w:jc w:val="center"/>
      </w:pPr>
      <w:r>
        <w:rPr>
          <w:b/>
          <w:sz w:val="28"/>
        </w:rPr>
        <w:t>Results 1, Results 2, and Methods (revised draft, 2026-05-09)</w:t>
      </w:r>
    </w:p>
    <w:p w14:paraId="1002C8FB" w14:textId="77777777" w:rsidR="000010E9" w:rsidRDefault="000010E9"/>
    <w:p w14:paraId="55E4FE81" w14:textId="77777777" w:rsidR="000010E9" w:rsidRDefault="00000000">
      <w:pPr>
        <w:spacing w:before="280" w:after="120"/>
      </w:pPr>
      <w:r>
        <w:rPr>
          <w:b/>
        </w:rPr>
        <w:t>A multi-species fluorescence microscopy dataset of cereal and dicot root cross-sections annotated for six anatomical tissue domains</w:t>
      </w:r>
    </w:p>
    <w:p w14:paraId="4D0472FA" w14:textId="77777777" w:rsidR="000010E9" w:rsidRDefault="00000000">
      <w:pPr>
        <w:spacing w:after="160"/>
        <w:ind w:firstLine="360"/>
      </w:pPr>
      <w:r>
        <w:t>Supervised semantic segmentation of plant root anatomy is bottlenecked by the scale and breadth of expert-annotated training data. Existing fluorescence microscopy datasets are typically restricted to a single species, a single imaging platform, or a single laboratory, which limits the generalization of models trained on them and forces each new study to retrain from scratch. To overcome this bottleneck, we assembled a benchmark dataset of 1,695 root cross-section images spanning four species and three fluorescence imaging platforms, annotated by plant biologists for six anatomical tissue domains (Fig. 1a). The dataset was designed not simply to be large, but to vary deliberately along the three axes that determine whether a trained model can be deployed beyond the laboratory in which it was trained. These axes are species, genotype, and imaging hardware.</w:t>
      </w:r>
    </w:p>
    <w:p w14:paraId="3EBBD20A" w14:textId="77777777" w:rsidR="000010E9" w:rsidRDefault="00000000">
      <w:pPr>
        <w:spacing w:after="160"/>
        <w:ind w:firstLine="360"/>
      </w:pPr>
      <w:r>
        <w:t>The dataset is dominated by monocot cereals, with 1,150 samples drawn from rice, sorghum, and pearl millet, and is balanced by 545 dicot tomato cross-sections that together provide both monocot and dicot anatomy and force the model to learn tissue features that generalize across the major anatomical division among flowering plants. Within each species, samples span multiple genotypes contributed by laboratories at several institutions and geographic regions (Fig. 1b), capturing biological variation in cell-wall composition, root diameter, and aerenchyma development. This breadth is essential. Models trained on a single genotype tend to overfit to that genotype's idiosyncratic anatomy, and a model that is to be useful across the cereal research community must recognize the same tissue domains across markedly different root morphologies.</w:t>
      </w:r>
    </w:p>
    <w:p w14:paraId="46758EB7" w14:textId="77777777" w:rsidR="000010E9" w:rsidRDefault="00000000">
      <w:pPr>
        <w:spacing w:after="160"/>
        <w:ind w:firstLine="360"/>
      </w:pPr>
      <w:r>
        <w:t>Each cross-section was stained with three fluorescent dyes that label distinct cell-wall constituents. DAPI provided a general cell-wall counterstain, FITC labelled lignin, and TRITC labelled suberin. To capture the optical and noise variation introduced by different imaging set-ups, samples were imaged on three platforms. The Olympus IX83 widefield microscope contributed 1,501 samples, the Cytation C10 plate-reader imager contributed 159 samples, and the Zeiss LSM 970 confocal microscope contributed 35 rice samples. All images were resampled to 1,024 × 1,024 pixels for model input but retained the platform-specific spatial resolution, signal-to-noise characteristics, and background features of the original acquisition (Fig. 1c). In practice, different research groups image their root sections on whatever microscope is locally available. Including three optical regimes within the dataset directly tests whether a single trained model can absorb that variation rather than requiring each user to retrain on their own platform.</w:t>
      </w:r>
    </w:p>
    <w:p w14:paraId="26F0EE74" w14:textId="77777777" w:rsidR="000010E9" w:rsidRDefault="00000000">
      <w:pPr>
        <w:spacing w:after="160"/>
        <w:ind w:firstLine="360"/>
      </w:pPr>
      <w:r>
        <w:t xml:space="preserve">Each sample was annotated by trained plant biologists with hand-drawn polygons in a custom interactive editor (full annotation protocol in the Supplementary Information). Polygons conformed to a fixed cell-wall-boundary convention, with ring tissues delineated along the outer edge of their respective cell walls, ensuring consistency across annotators, samples, and imaging platforms. Across the 1,695 samples, annotators drew a total of 31,595 polygons. These comprised 1,695 whole-root contours, 3,390 endodermal ring contours (one outer and one inner per sample), 3,390 exodermal ring contours, and 23,119 aerenchyma polygons. Aerenchyma counts ranged from zero per section in tomato (which lacks aerenchyma) to dozens of individual </w:t>
      </w:r>
      <w:r>
        <w:lastRenderedPageBreak/>
        <w:t>lacunae in mature cereal sections. These polygons jointly define the six anatomical tissue domains used as model targets, namely epidermis, cortex, endodermis, exodermis, vascular cylinder, and aerenchyma. To our knowledge, this represents the most extensive annotated fluorescence microscopy dataset of plant root cross-sections currently available, with the per-tissue resolution required to support quantitative trait analyses that go beyond simple region-of-interest detection.</w:t>
      </w:r>
    </w:p>
    <w:p w14:paraId="03F8A82B" w14:textId="77777777" w:rsidR="000010E9" w:rsidRDefault="00000000">
      <w:pPr>
        <w:spacing w:after="160"/>
        <w:ind w:firstLine="360"/>
      </w:pPr>
      <w:r>
        <w:t>We partitioned the dataset into four splits, each designed to probe a distinct facet of model robustness. The training set (1,293 samples) was used for parameter optimization, and the validation set (182 samples) was used for model selection and early stopping. The remaining samples were divided into two complementary test sets that target different generalization regimes. The first, an in-distribution test set (185 samples), contained cross-sections drawn from the same four species and the same two widefield platforms as the training data (Olympus IX83 and Cytation C10), but from biological experiments that were entirely held out from training. This split tests whether the model has learned the underlying anatomy of root tissues rather than memorizing experiment-specific cues such as a particular growth condition, lighting, or sectioning artifact, and it quantifies the performance a researcher should expect when applying the model to new samples acquired under their existing imaging conditions. The second, a zero-shot test set (35 rice samples), consisted of cross-sections imaged on an entirely different platform that the model never saw during training, the Zeiss LSM 970 confocal microscope. This split simulates the most demanding deployment scenario, in which a new laboratory adopts the model for use on its own microscopy hardware, and it quantifies the model's robustness to optical and acquisition variation that goes beyond the diversity sampled in the training set. Together, these two test sets bracket the failure modes that matter for real-world deployment. The in-distribution split reveals whether the model has overfit to specific experiments, and the zero-shot split reveals whether it has overfit to the specific imaging platforms it has seen. To prevent experiment-level information from leaking between training and testing, we required all samples from a single experiment to remain within a single split.</w:t>
      </w:r>
    </w:p>
    <w:p w14:paraId="75582CCB" w14:textId="77777777" w:rsidR="000010E9" w:rsidRDefault="00000000">
      <w:pPr>
        <w:spacing w:before="280" w:after="120"/>
      </w:pPr>
      <w:r>
        <w:rPr>
          <w:b/>
        </w:rPr>
        <w:t>RootSeg, a vision-transformer model, achieves expert-level segmentation of root anatomical tissues across species and imaging platforms</w:t>
      </w:r>
    </w:p>
    <w:p w14:paraId="52BB6A45" w14:textId="77777777" w:rsidR="000010E9" w:rsidRDefault="00000000">
      <w:pPr>
        <w:spacing w:after="160"/>
        <w:ind w:firstLine="360"/>
      </w:pPr>
      <w:r>
        <w:t>To establish a generalist baseline for automated root anatomy segmentation, we developed RootSeg, a deep-learning model that takes a three-channel fluorescence image as input and returns a per-pixel tissue identity map. The model has two components (Fig. 1d). The encoder is a vision transformer initialized from DINOv3, a self-supervised foundation model pretrained by Meta on the LVD-1.69B natural-image corpus. It compresses the image into a learned numerical representation that captures both local cellular detail and the global radial context of the root. The decoder is a dense prediction transformer (DPT), which expands that representation back into a tissue map at full image resolution by progressively fusing encoder features from multiple network depths. We chose this hybrid architecture because root tissue identity is determined as much by global radial position as by local cellular texture. The exodermis, for example, is operationally defined as the second cell layer from the outer surface, and a model that classifies regions from local appearance alone cannot recover the correct label in samples where the exodermis is unlignified and visually indistinguishable from the surrounding cortex. The vision transformer encoder, which can attend to features anywhere in the image at every layer of processing, provides exactly the long-range context required to resolve such ambiguities. Self-</w:t>
      </w:r>
      <w:r>
        <w:lastRenderedPageBreak/>
        <w:t>supervised pretraining on a large natural-image collection further allows the encoder to learn broadly useful visual features (texture, edge structure, spatial coherence) without those images needing to be labelled, and fine-tuning on our annotated root dataset adapts those features to the appearance of fluorescence microscopy.</w:t>
      </w:r>
    </w:p>
    <w:p w14:paraId="7AE8C2F0" w14:textId="77777777" w:rsidR="000010E9" w:rsidRDefault="00000000">
      <w:pPr>
        <w:spacing w:after="160"/>
        <w:ind w:firstLine="360"/>
      </w:pPr>
      <w:r>
        <w:t>We trained RootSeg jointly on all 1,293 training samples spanning the four species. Both encoder and decoder were updated during training. The pretrained encoder was fine-tuned at a deliberately low learning rate to preserve its general-purpose features, while the randomly initialized decoder was trained at a higher learning rate to allow rapid learning of the task-specific tissue-map output. The training objective combined four complementary loss terms designed to address the extreme class imbalance characteristic of root anatomy, where small structures such as aerenchyma can occupy as little as 0.5 percent of pixels in pearl millet. These were a region-overlap term (Dice loss) that emphasizes correctly shaped tissue regions regardless of class size, a difficulty-focused term (focal loss) that automatically upweights hard and rare regions, a per-pixel cross-entropy term, and a boundary-aware term (Lovász-softmax) that sharpens tissue edges. Geometric and intensity augmentations increased the effective dataset size, and channel-wise dropout promoted robustness to single-channel staining failures. Full hyperparameters and the exact architectural specification are reported in Methods.</w:t>
      </w:r>
    </w:p>
    <w:p w14:paraId="4E8B6447" w14:textId="77777777" w:rsidR="000010E9" w:rsidRDefault="00000000">
      <w:pPr>
        <w:spacing w:after="160"/>
        <w:ind w:firstLine="360"/>
      </w:pPr>
      <w:r>
        <w:t>On the in-distribution test set (185 samples spanning all four species and the two widefield platforms used during training), RootSeg achieved a mean intersection-over-union (mIoU) of 0.889 and a mean Dice coefficient of 0.929 across the seven tissue classes (Fig. 2a). Performance was high on the larger anatomical compartments. Whole root, cortex, and vascular cylinder each exceeded IoU 0.97, and the endodermal and exodermal rings reached IoU 0.91 and 0.88, respectively (Fig. 2b). The hardest class was aerenchyma (IoU 0.60). This reflected both the small per-pixel footprint of individual lacunae and the high inter-species variation in aerenchyma morphology, with sparse, micron-scale lacunae in pearl millet contributing most of the residual error. Visually, predicted segmentations recapitulated expert annotation across all four species (Fig. 2c).</w:t>
      </w:r>
    </w:p>
    <w:p w14:paraId="5492D1A2" w14:textId="77777777" w:rsidR="000010E9" w:rsidRDefault="00000000">
      <w:pPr>
        <w:spacing w:after="160"/>
        <w:ind w:firstLine="360"/>
      </w:pPr>
      <w:r>
        <w:t xml:space="preserve">To assess whether the choice of encoder and decoder mattered for this task, we trained six alternative architectures on the same dataset, with the same loss combination and the same augmentation pipeline. Two were convolutional baselines built on ResNet34 and ResNet50 encoders pretrained on ImageNet and paired with a UNet++ decoder, representing the standard convolutional segmentation approach used in most prior plant-imaging work. Three were foundation-model variants that probed which part of our architecture mattered most. One paired the same DPT decoder with DINOv2, an older self-supervised foundation model trained on a smaller image corpus, while two replaced the DPT decoder with simpler segmentation heads (a multi-scale linear head paired with DINOv2, and a small multi-layer perceptron paired with DINOv3). The sixth, YOLO26m-seg, was a state-of-the-art instance-segmentation model trained from a COCO-pretrained checkpoint, representing the per-object detection paradigm common in cell-segmentation packages. On the in-distribution test set, all seven models scored within a narrow range (mIoU 0.875 to 0.889), indicating that the dataset is rich enough that several modern architectures can fit the training distribution well (Fig. 2a). The picture changed dramatically on the zero-shot Zeiss confocal split, where mIoU spread widened from 0.805 to 0.888. RootSeg (DINOv3 plus DPT-meta) and the closely related DINOv2 plus DPT-meta variant both retained mIoU 0.888, with no measurable degradation relative to the in-distribution split. The convolutional ResNet baselines dropped to 0.851 (ResNet50) and 0.871 (ResNet34). </w:t>
      </w:r>
      <w:r>
        <w:lastRenderedPageBreak/>
        <w:t>The simpler decoder variants paired with foundation-model encoders dropped to 0.856 and 0.863. The YOLO instance-segmentation baseline dropped sharpest, to 0.805. These comparisons indicate that the combination of self-supervised foundation-model pretraining (which exposes the encoder to a far broader range of visual statistics than ImageNet alone) and multi-scale convolutional decoding (which preserves spatial detail at every resolution rather than only at the output) is what enables RootSeg to generalize across imaging platforms. Convolutional encoders pretrained on a smaller, less diverse image collection appear to learn platform-specific visual cues that fail to transfer, and instance-segmentation models, which classify each lacuna independently and lack a coherent global tissue-map representation, transfer worst of all.</w:t>
      </w:r>
    </w:p>
    <w:p w14:paraId="1F810587" w14:textId="77777777" w:rsidR="000010E9" w:rsidRDefault="00000000">
      <w:pPr>
        <w:spacing w:after="160"/>
        <w:ind w:firstLine="360"/>
      </w:pPr>
      <w:r>
        <w:t>Performance was consistent across species and imaging platforms within the in-distribution test set, indicating that a single unified model generalizes across the dataset's biological and optical heterogeneity. Per-species mean IoU was 0.945 for tomato, 0.898 for sorghum, 0.863 for rice, and 0.856 for pearl millet (Fig. 2d). Per-platform mean IoU was 0.918 on the Cytation C10 plate-reader imager and 0.885 on the Olympus IX83 widefield microscope (Fig. 2e). The slightly lower performance on monocots reflects the difficulty of the aerenchyma class, which is unique to monocots and contributes most of the residual classification error in those species.</w:t>
      </w:r>
    </w:p>
    <w:p w14:paraId="084A7920" w14:textId="77777777" w:rsidR="006D219C" w:rsidRDefault="006D219C">
      <w:pPr>
        <w:spacing w:after="160"/>
        <w:ind w:firstLine="360"/>
      </w:pPr>
    </w:p>
    <w:p w14:paraId="509D7DE4" w14:textId="0A8B5C93" w:rsidR="006D219C" w:rsidRDefault="006D219C" w:rsidP="006D219C">
      <w:pPr>
        <w:spacing w:after="160"/>
      </w:pPr>
      <w:r>
        <w:t xml:space="preserve">Results 4: Quantitative downstream analysis for suberin/lignin content and aerenchyma ratios </w:t>
      </w:r>
      <w:r>
        <w:t>quantification</w:t>
      </w:r>
      <w:r>
        <w:t>. (To be extended)</w:t>
      </w:r>
    </w:p>
    <w:p w14:paraId="3F0B73A9" w14:textId="3560F283" w:rsidR="006D219C" w:rsidRDefault="00000000" w:rsidP="006D219C">
      <w:pPr>
        <w:spacing w:after="160"/>
        <w:ind w:firstLine="360"/>
      </w:pPr>
      <w:r>
        <w:t>To assess whether predicted segmentations support the quantitative trait measurements that a plant biologist would derive from manual annotation, we computed seven biology-relevant per-sample readouts from each predicted tissue map. These included the aerenchyma area ratio (the fraction of root area occupied by lacunae) and the mean fluorescence intensity in the TRITC and FITC channels within each of the exodermis, endodermis, and vascular cylinder. Across the test set, predicted measurements correlated with expert measurements at R² ≥ 0.999 for endodermal and vascular intensities, R² ≥ 0.986 for exodermal intensities, and R² = 0.956 for aerenchyma area ratio (Fig. 2f). RootSeg therefore preserves the quantitative information that downstream phenotypic analysis depends on, and it can substitute for manual annotation in the trait-extraction pipelines that drive root-anatomy biology.</w:t>
      </w:r>
    </w:p>
    <w:p w14:paraId="1157E3C4" w14:textId="77777777" w:rsidR="000010E9" w:rsidRDefault="00000000">
      <w:pPr>
        <w:spacing w:before="280" w:after="120"/>
      </w:pPr>
      <w:r>
        <w:rPr>
          <w:b/>
        </w:rPr>
        <w:t>Methods</w:t>
      </w:r>
    </w:p>
    <w:p w14:paraId="73C9A1F4" w14:textId="77777777" w:rsidR="000010E9" w:rsidRDefault="00000000">
      <w:pPr>
        <w:spacing w:before="160" w:after="40"/>
      </w:pPr>
      <w:r>
        <w:rPr>
          <w:b/>
          <w:sz w:val="22"/>
        </w:rPr>
        <w:t>Plant materials and growth conditions</w:t>
      </w:r>
    </w:p>
    <w:p w14:paraId="1956FFFC" w14:textId="77777777" w:rsidR="000010E9" w:rsidRDefault="00000000">
      <w:pPr>
        <w:spacing w:after="160"/>
        <w:ind w:firstLine="360"/>
      </w:pPr>
      <w:r>
        <w:rPr>
          <w:i/>
          <w:color w:val="995533"/>
        </w:rPr>
        <w:t>[TBD by co-author. Should describe genotype list per species, growth substrate (e.g. agar plates, soil, hydroponics), growth conditions (temperature, photoperiod), and harvest stage and developmental window for each species and experiment.]</w:t>
      </w:r>
    </w:p>
    <w:p w14:paraId="39A72111" w14:textId="77777777" w:rsidR="000010E9" w:rsidRDefault="00000000">
      <w:pPr>
        <w:spacing w:before="160" w:after="40"/>
      </w:pPr>
      <w:r>
        <w:rPr>
          <w:b/>
          <w:sz w:val="22"/>
        </w:rPr>
        <w:t>Tissue preparation and fluorescent staining</w:t>
      </w:r>
    </w:p>
    <w:p w14:paraId="5BAC5DB2" w14:textId="77777777" w:rsidR="000010E9" w:rsidRDefault="00000000">
      <w:pPr>
        <w:spacing w:after="160"/>
        <w:ind w:firstLine="360"/>
      </w:pPr>
      <w:r>
        <w:rPr>
          <w:i/>
          <w:color w:val="995533"/>
        </w:rPr>
        <w:t>[TBD by co-author. Should describe root excision, fixation, sectioning method (vibratome thickness, blade), tissue clearing protocol (e.g. ClearSee), and the fluorescent staining recipe for each dye, including concentration and incubation conditions.]</w:t>
      </w:r>
    </w:p>
    <w:p w14:paraId="7E934B4E" w14:textId="77777777" w:rsidR="000010E9" w:rsidRDefault="00000000">
      <w:pPr>
        <w:spacing w:before="160" w:after="40"/>
      </w:pPr>
      <w:r>
        <w:rPr>
          <w:b/>
          <w:sz w:val="22"/>
        </w:rPr>
        <w:t>Image acquisition</w:t>
      </w:r>
    </w:p>
    <w:p w14:paraId="73BCE0C6" w14:textId="77777777" w:rsidR="000010E9" w:rsidRDefault="00000000">
      <w:pPr>
        <w:spacing w:after="160"/>
        <w:ind w:firstLine="360"/>
      </w:pPr>
      <w:r>
        <w:t>Cross-sections were imaged on three platforms. The Olympus IX83 widefield microscope was used for the majority of samples, with [objective, exposure, channel filter set TBD by co-</w:t>
      </w:r>
      <w:r>
        <w:lastRenderedPageBreak/>
        <w:t>author]. The Cytation C10 plate-reader imager (BioTek) was used for a subset of rice, sorghum, and tomato samples, with [imaging mode and channel settings TBD by co-author]. The Zeiss LSM 970 confocal microscope was used to acquire the held-out zero-shot test cohort of 35 rice samples, with [laser lines, excitation and emission ranges, pinhole, and z-stack handling TBD by co-author]. Across all platforms, three channels were collected per sample (DAPI, FITC, TRITC) and saved as separate single-channel grayscale TIFF files. Original pixel resolution and field of view varied across platforms, and platform-specific characteristics were preserved through to the model input (see Dataset construction and splits).</w:t>
      </w:r>
    </w:p>
    <w:p w14:paraId="30080C48" w14:textId="77777777" w:rsidR="000010E9" w:rsidRDefault="00000000">
      <w:pPr>
        <w:spacing w:before="160" w:after="40"/>
      </w:pPr>
      <w:r>
        <w:rPr>
          <w:b/>
          <w:sz w:val="22"/>
        </w:rPr>
        <w:t>Annotation protocol</w:t>
      </w:r>
    </w:p>
    <w:p w14:paraId="3FCC05D7" w14:textId="77777777" w:rsidR="000010E9" w:rsidRDefault="00000000">
      <w:pPr>
        <w:spacing w:after="160"/>
        <w:ind w:firstLine="360"/>
      </w:pPr>
      <w:r>
        <w:t>Each cross-section was annotated by a trained plant biologist using a custom polygon-editing tool implemented in PyQt5. The tool overlaid the three fluorescence channels with adjustable brightness and gamma controls and supported brush-mode region drawing, polygon vertex editing, and ring splitting. Annotators drew six classes of polygons. These were the whole root contour (one polygon per sample), aerenchyma regions (zero or more polygons per sample), the outer and inner contours of the endodermis (one each per sample), and the outer and inner contours of the exodermis (one each per sample, biologically meaningful only in tomato). Ring-tissue boundaries were placed along the outer edge of their respective cell walls, with the outer-minus-inner construction used to recover ring thickness downstream. All polygons were saved in YOLO normalized polygon format with a class identifier and (x, y) vertex coordinates. The total annotation effort across the dataset was 31,595 polygons across 1,695 samples. [TBD by co-author. Annotator headcount and approximate time investment.]</w:t>
      </w:r>
    </w:p>
    <w:p w14:paraId="1108E139" w14:textId="77777777" w:rsidR="000010E9" w:rsidRDefault="00000000">
      <w:pPr>
        <w:spacing w:before="160" w:after="40"/>
      </w:pPr>
      <w:r>
        <w:rPr>
          <w:b/>
          <w:sz w:val="22"/>
        </w:rPr>
        <w:t>Dataset construction and splits</w:t>
      </w:r>
    </w:p>
    <w:p w14:paraId="1CB51290" w14:textId="77777777" w:rsidR="000010E9" w:rsidRDefault="00000000">
      <w:pPr>
        <w:spacing w:after="160"/>
        <w:ind w:firstLine="360"/>
      </w:pPr>
      <w:r>
        <w:t>The 1,695 samples were partitioned into a training set (1,293 samples), a validation set (182 samples), an in-distribution test set (185 samples), and a zero-shot Zeiss test set (35 samples). Splits were assigned at the experiment level rather than at the sample level, ensuring that no two samples from a single biological experiment appeared in different splits. The training, validation, and in-distribution test sets together comprised samples from rice, sorghum, pearl millet, and tomato imaged on the Olympus IX83 and Cytation C10 platforms. The zero-shot test set comprised 35 rice cross-sections imaged on the Zeiss LSM 970 confocal microscope, a platform not represented in the training data. Each input image was constructed by stacking the three single-channel TIFF files (DAPI, FITC, TRITC) along the channel dimension and resampling to 1,024 × 1,024 pixels with bilinear interpolation. Channel intensities were normalized per image by clipping to the 1st and 99.5th percentile of pixel values within that channel and rescaling to the unit interval, producing a (3, 1024, 1024) float32 tensor per sample.</w:t>
      </w:r>
    </w:p>
    <w:p w14:paraId="6995E365" w14:textId="77777777" w:rsidR="000010E9" w:rsidRDefault="00000000">
      <w:pPr>
        <w:spacing w:before="160" w:after="40"/>
      </w:pPr>
      <w:r>
        <w:rPr>
          <w:b/>
          <w:sz w:val="22"/>
        </w:rPr>
        <w:t>Model architecture (RootSeg)</w:t>
      </w:r>
    </w:p>
    <w:p w14:paraId="364185AA" w14:textId="77777777" w:rsidR="000010E9" w:rsidRDefault="00000000">
      <w:pPr>
        <w:spacing w:after="160"/>
        <w:ind w:firstLine="360"/>
      </w:pPr>
      <w:r>
        <w:t xml:space="preserve">RootSeg comprised a self-supervised vision transformer encoder (DINOv3-S/16, Hugging Face checkpoint facebook/dinov3-vits16-pretrain-lvd1689m) and a custom Meta-style dense prediction transformer (DPT) decoder. The encoder accepted a (3, 1024, 1024) input tensor and partitioned the image into 16 × 16 non-overlapping patches, producing a token sequence of length 1 plus 4096 (one [CLS] token plus 64 × 64 spatial tokens). Each token had embedding dimension 384. The encoder applied 12 transformer blocks of self-attention and feed-forward MLP layers to the token sequence. The DPT decoder tapped the patch-token output of layers 3, 6, 9, and 12 of the encoder (four evenly spaced layers spanning shallow to deep features), discarded the [CLS] token, and reshaped the remaining tokens to a (384, 64, 64) feature map per tap. Each tap was projected to a multi-resolution pyramid using transposed-convolution upsampling and 1 </w:t>
      </w:r>
      <w:r>
        <w:lastRenderedPageBreak/>
        <w:t>× 1 convolutional projections, producing feature maps at strides 4, 8, 16, and 32 with channel widths 96, 192, 384, and 768, respectively. These four feature maps were progressively fused from deepest to shallowest through residual convolutional blocks at a unified width of 256 channels, with bilinear upsampling at each fusion step. The final fused feature map at stride 4 was passed through a final upsampling stage and a 1 × 1 convolutional segmentation head to produce a (7, 1024, 1024) class-probability tensor over the seven tissue classes. Argmax across the class dimension produced the discrete tissue map.</w:t>
      </w:r>
    </w:p>
    <w:p w14:paraId="0AB19AC9" w14:textId="77777777" w:rsidR="000010E9" w:rsidRDefault="00000000">
      <w:pPr>
        <w:spacing w:before="160" w:after="40"/>
      </w:pPr>
      <w:r>
        <w:rPr>
          <w:b/>
          <w:sz w:val="22"/>
        </w:rPr>
        <w:t>Training procedure</w:t>
      </w:r>
    </w:p>
    <w:p w14:paraId="5A8BC432" w14:textId="77777777" w:rsidR="000010E9" w:rsidRDefault="00000000">
      <w:pPr>
        <w:spacing w:after="160"/>
        <w:ind w:firstLine="360"/>
      </w:pPr>
      <w:r>
        <w:t>RootSeg was trained on a single NVIDIA H100 80 GB GPU using PyTorch 2 and PyTorch Lightning. Training used bfloat16 mixed-precision throughout, except for the Lovász-softmax loss term, which was computed in float32 within an explicit autocast(enabled=False) block to avoid a precision mismatch between the float16 logits and the float32 sub-gradient computation in segmentation_models_pytorch. The optimizer was AdamW with weight decay 0.01 and a differential learning rate. The encoder was fine-tuned at learning rate 1 × 10⁻⁵ and the randomly initialized decoder was trained at learning rate 1 × 10⁻⁴, both decayed via a cosine annealing schedule across the full training budget. Training used a per-GPU batch size of 16 samples, a maximum of 200 epochs, and early stopping on validation loss with patience 15 epochs. The composite training objective was a sum of four loss terms applied to the full 7-class softmax output. These were Dice loss (smp.losses.DiceLoss, multiclass mode), focal loss (smp.losses.FocalLoss, multiclass mode, default γ = 2), cross-entropy with equal class weights of 1.0 across all seven classes, and Lovász-softmax loss (smp.losses.LovaszLoss, multiclass mode), each contributing equally to the total. The random seed was fixed at 42.</w:t>
      </w:r>
    </w:p>
    <w:p w14:paraId="3EF28E54" w14:textId="77777777" w:rsidR="000010E9" w:rsidRDefault="00000000">
      <w:pPr>
        <w:spacing w:before="160" w:after="40"/>
      </w:pPr>
      <w:r>
        <w:rPr>
          <w:b/>
          <w:sz w:val="22"/>
        </w:rPr>
        <w:t>Augmentation pipeline</w:t>
      </w:r>
    </w:p>
    <w:p w14:paraId="7A4AF006" w14:textId="77777777" w:rsidR="000010E9" w:rsidRDefault="00000000">
      <w:pPr>
        <w:spacing w:after="160"/>
        <w:ind w:firstLine="360"/>
      </w:pPr>
      <w:r>
        <w:t>Augmentation was applied online during training using the albumentations library, with a single pipeline shared across all segmentation models compared in this study to keep architectural comparisons fair. The geometric augmentations were RandomRotate90 (p = 0.5), horizontal flip (p = 0.5), vertical flip (p = 0.5), an Affine transform combining translation, scaling, rotation, and shear (p = 0.5), and ElasticTransform (p = 0.3). The intensity augmentations were RandomBrightnessContrast (p = 0.5), RandomGamma (p = 0.5), GaussianBlur (p = 0.3), and GaussNoise (p = 0.3). To promote robustness to single-channel staining failures and to inter-platform channel intensity differences, ChannelDropout (p = 0.2, fill 0) and ChannelShuffle (p = 0.2) were applied to the three input channels. Hue and saturation jittering were not applied because the three fluorescence channels carry fixed biological meaning rather than perceptual color. After all augmentations, the image was resized to 1,024 × 1,024.</w:t>
      </w:r>
    </w:p>
    <w:p w14:paraId="27E70945" w14:textId="77777777" w:rsidR="000010E9" w:rsidRDefault="00000000">
      <w:pPr>
        <w:spacing w:before="160" w:after="40"/>
      </w:pPr>
      <w:r>
        <w:rPr>
          <w:b/>
          <w:sz w:val="22"/>
        </w:rPr>
        <w:t>Comparison architectures</w:t>
      </w:r>
    </w:p>
    <w:p w14:paraId="655B75E7" w14:textId="77777777" w:rsidR="000010E9" w:rsidRDefault="00000000">
      <w:pPr>
        <w:spacing w:after="160"/>
        <w:ind w:firstLine="360"/>
      </w:pPr>
      <w:r>
        <w:t xml:space="preserve">The six comparison architectures were trained with identical data, loss combination, optimizer, schedule, batch size, and epoch budget, with the only differences being the encoder, the decoder, and (where required by the architecture) the segmentation head. The convolutional baselines were two configurations of the segmentation_models_pytorch UNet++ decoder paired with ImageNet-pretrained ResNet34 (24.4 M parameters) and ResNet50 (32.5 M parameters) encoders. The two simpler-decoder variants paired DINOv2 (vit_small_patch14_dinov2 from timm, pretrained on LVD-142M) with a multi-scale linear segmentation head (Meta MS-Linear recipe, taps the last four transformer blocks) and DINOv3-S/16 with a small per-patch MLP segmentation head. The DINOv2-DPT variant used the same DPT-meta decoder as RootSeg paired with the DINOv2 encoder. The instance-segmentation baseline was YOLO26m </w:t>
      </w:r>
      <w:r>
        <w:lastRenderedPageBreak/>
        <w:t>(Ultralytics) trained from a COCO-pretrained checkpoint on the 6 raw classes (whole root, aerenchyma, outer and inner endodermis, outer and inner exodermis), with overlap_mask=False to ensure that nested polygons were not flattened into ring-only masks at training time. After inference, instance polygon predictions were merged into pixel-level semantic masks using the same outer-minus-inner ring construction described under Evaluation, allowing direct comparison with the semantic models on the same Bio-7 metric.</w:t>
      </w:r>
    </w:p>
    <w:p w14:paraId="00C716F5" w14:textId="77777777" w:rsidR="000010E9" w:rsidRDefault="00000000">
      <w:pPr>
        <w:spacing w:before="160" w:after="40"/>
      </w:pPr>
      <w:r>
        <w:rPr>
          <w:b/>
          <w:sz w:val="22"/>
        </w:rPr>
        <w:t>Evaluation</w:t>
      </w:r>
    </w:p>
    <w:p w14:paraId="70C86807" w14:textId="77777777" w:rsidR="000010E9" w:rsidRDefault="00000000">
      <w:pPr>
        <w:spacing w:after="160"/>
        <w:ind w:firstLine="360"/>
      </w:pPr>
      <w:r>
        <w:t>Performance was measured on the held-out in-distribution test set (185 samples) and the zero-shot Zeiss test set (35 samples). The primary metrics were per-class intersection-over-union (IoU) and Dice coefficient, computed on the raw model output without any post-processing or polygon round-tripping. For all models, the predicted output was mapped to seven biologically interpretable tissue domains (whole root, epidermis, exodermis, cortex, endodermis, vascular cylinder, aerenchyma) using a deterministic pixel-level rule. For the semantic models the model directly predicts these seven classes. For the YOLO instance-segmentation baseline, ring tissues were derived from the raw 6-class polygon predictions by computing pixel-level differences between outer and inner ring masks (the endodermis ring as outer-endodermis minus inner-endodermis, the exodermis ring analogously). The vascular cylinder was defined as the interior of the inner-endodermis polygon, and the cortex was defined as the whole-root mask minus the union of all other tissue masks. The same conversion was applied identically to ground-truth labels and predictions, so any conversion artifact would cancel out when comparing the two. Per-class IoU was averaged over samples in which the class was present. For aerenchyma in tomato, where the class is biologically absent, IoU was undefined and excluded from per-class averages. The mean IoU and mean Dice reported per sample were averaged across the seven Bio-7 classes for that sample.</w:t>
      </w:r>
    </w:p>
    <w:p w14:paraId="534BC922" w14:textId="77777777" w:rsidR="000010E9" w:rsidRDefault="00000000">
      <w:pPr>
        <w:spacing w:before="160" w:after="40"/>
      </w:pPr>
      <w:r>
        <w:rPr>
          <w:b/>
          <w:sz w:val="22"/>
        </w:rPr>
        <w:t>Downstream measurements</w:t>
      </w:r>
    </w:p>
    <w:p w14:paraId="1D6FF4A5" w14:textId="77777777" w:rsidR="000010E9" w:rsidRDefault="00000000">
      <w:pPr>
        <w:spacing w:after="160"/>
        <w:ind w:firstLine="360"/>
      </w:pPr>
      <w:r>
        <w:t>Seven biology-relevant per-sample measurements were computed from each predicted tissue map and from the corresponding ground-truth tissue map. The aerenchyma area ratio was computed as the total pixel count of the aerenchyma class divided by the pixel count of the whole-root mask. Mean intensity measurements were computed by masking the un-normalized TRITC channel image with the predicted (or ground-truth) tissue mask and taking the mean pixel intensity within the mask, then repeating the procedure with the FITC channel. This was done independently for the exodermis, endodermis, and vascular cylinder classes, yielding two intensity readouts per tissue. Predicted versus ground-truth measurements were compared by ordinary least-squares linear regression, reporting the coefficient of determination (R²) and the slope per measurement, computed both pooled across species and stratified by species.</w:t>
      </w:r>
    </w:p>
    <w:p w14:paraId="6B0928DE" w14:textId="77777777" w:rsidR="000010E9" w:rsidRDefault="00000000">
      <w:pPr>
        <w:spacing w:before="160" w:after="40"/>
      </w:pPr>
      <w:r>
        <w:rPr>
          <w:b/>
          <w:sz w:val="22"/>
        </w:rPr>
        <w:t>Code and data availability</w:t>
      </w:r>
    </w:p>
    <w:p w14:paraId="5971BF10" w14:textId="77777777" w:rsidR="000010E9" w:rsidRDefault="00000000">
      <w:pPr>
        <w:spacing w:after="160"/>
        <w:ind w:firstLine="360"/>
        <w:rPr>
          <w:i/>
          <w:color w:val="995533"/>
        </w:rPr>
      </w:pPr>
      <w:r>
        <w:rPr>
          <w:i/>
          <w:color w:val="995533"/>
        </w:rPr>
        <w:t>[TBD. Source code for training, evaluation, downstream analysis, and the polygon-editing tool is available at GitHub URL. The annotated dataset and pretrained model weights are deposited at data repository under DOI.]</w:t>
      </w:r>
    </w:p>
    <w:p w14:paraId="78CB54B7" w14:textId="77777777" w:rsidR="003A3C63" w:rsidRDefault="003A3C63">
      <w:pPr>
        <w:spacing w:after="160"/>
        <w:ind w:firstLine="360"/>
        <w:rPr>
          <w:i/>
          <w:color w:val="995533"/>
        </w:rPr>
      </w:pPr>
    </w:p>
    <w:p w14:paraId="1A9B2EE9" w14:textId="77777777" w:rsidR="003A3C63" w:rsidRDefault="003A3C63">
      <w:pPr>
        <w:spacing w:after="160"/>
        <w:ind w:firstLine="360"/>
        <w:rPr>
          <w:i/>
          <w:color w:val="995533"/>
        </w:rPr>
      </w:pPr>
    </w:p>
    <w:p w14:paraId="52CD2460" w14:textId="77777777" w:rsidR="003A3C63" w:rsidRDefault="003A3C63">
      <w:pPr>
        <w:spacing w:after="160"/>
        <w:ind w:firstLine="360"/>
        <w:rPr>
          <w:i/>
          <w:color w:val="995533"/>
        </w:rPr>
      </w:pPr>
    </w:p>
    <w:p w14:paraId="50A03967" w14:textId="77777777" w:rsidR="003A3C63" w:rsidRDefault="003A3C63">
      <w:pPr>
        <w:spacing w:after="160"/>
        <w:ind w:firstLine="360"/>
        <w:rPr>
          <w:i/>
          <w:color w:val="995533"/>
        </w:rPr>
      </w:pPr>
    </w:p>
    <w:p w14:paraId="48008589" w14:textId="77777777" w:rsidR="003A3C63" w:rsidRDefault="003A3C63">
      <w:pPr>
        <w:spacing w:after="160"/>
        <w:ind w:firstLine="360"/>
        <w:rPr>
          <w:i/>
          <w:color w:val="995533"/>
        </w:rPr>
      </w:pPr>
    </w:p>
    <w:p w14:paraId="0E135591" w14:textId="77777777" w:rsidR="003A3C63" w:rsidRDefault="003A3C63">
      <w:pPr>
        <w:spacing w:after="160"/>
        <w:ind w:firstLine="360"/>
        <w:rPr>
          <w:i/>
          <w:color w:val="995533"/>
        </w:rPr>
      </w:pPr>
    </w:p>
    <w:p w14:paraId="5078811B" w14:textId="77777777" w:rsidR="003A3C63" w:rsidRDefault="003A3C63">
      <w:pPr>
        <w:spacing w:after="160"/>
        <w:ind w:firstLine="360"/>
        <w:rPr>
          <w:i/>
          <w:color w:val="995533"/>
        </w:rPr>
      </w:pPr>
    </w:p>
    <w:p w14:paraId="5A31E8AB" w14:textId="77777777" w:rsidR="003A3C63" w:rsidRDefault="003A3C63">
      <w:pPr>
        <w:spacing w:after="160"/>
        <w:ind w:firstLine="360"/>
        <w:rPr>
          <w:i/>
          <w:color w:val="995533"/>
        </w:rPr>
      </w:pPr>
    </w:p>
    <w:p w14:paraId="73674032" w14:textId="77777777" w:rsidR="003A3C63" w:rsidRDefault="003A3C63">
      <w:pPr>
        <w:spacing w:after="160"/>
        <w:ind w:firstLine="360"/>
        <w:rPr>
          <w:i/>
          <w:color w:val="995533"/>
        </w:rPr>
      </w:pPr>
    </w:p>
    <w:p w14:paraId="101C6A25" w14:textId="77777777" w:rsidR="003A3C63" w:rsidRDefault="003A3C63">
      <w:pPr>
        <w:spacing w:after="160"/>
        <w:ind w:firstLine="360"/>
        <w:rPr>
          <w:i/>
          <w:color w:val="995533"/>
        </w:rPr>
      </w:pPr>
    </w:p>
    <w:p w14:paraId="5F89C707" w14:textId="77777777" w:rsidR="003A3C63" w:rsidRDefault="003A3C63">
      <w:pPr>
        <w:spacing w:after="160"/>
        <w:ind w:firstLine="360"/>
        <w:rPr>
          <w:i/>
          <w:color w:val="995533"/>
        </w:rPr>
      </w:pPr>
    </w:p>
    <w:p w14:paraId="379FFD85" w14:textId="77777777" w:rsidR="003A3C63" w:rsidRDefault="003A3C63">
      <w:pPr>
        <w:spacing w:after="160"/>
        <w:ind w:firstLine="360"/>
        <w:rPr>
          <w:i/>
          <w:color w:val="995533"/>
        </w:rPr>
      </w:pPr>
    </w:p>
    <w:p w14:paraId="64364AA5" w14:textId="77777777" w:rsidR="003A3C63" w:rsidRDefault="003A3C63" w:rsidP="003A3C63">
      <w:pPr>
        <w:pStyle w:val="NormalWeb"/>
        <w:spacing w:before="0" w:beforeAutospacing="0" w:after="160" w:afterAutospacing="0"/>
      </w:pPr>
      <w:r>
        <w:rPr>
          <w:rFonts w:ascii="Arial" w:hAnsi="Arial" w:cs="Arial"/>
          <w:color w:val="000000"/>
        </w:rPr>
        <w:t>To establish a generalist baseline for automated root anatomy segmentation, we developed RootSeg, a deep-learning model that takes a three-channel fluorescence image as input and returns a per-pixel tissue identity map. The model has two components (Fig. 1d). The encoder is a vision transformer initialized from DINOv3, a self-supervised foundation model pretrained by Meta on the LVD-1.69B natural-image corpus. It compresses the image into a learned numerical representation that captures both local cellular detail and the global radial context of the root. The decoder is a dense prediction transformer (DPT), which expands that representation back into a tissue map at full image resolution by progressively fusing encoder features from multiple network depths. We chose this hybrid architecture because root tissue identity is determined as much by global radial position as by local cellular texture. The exodermis, for example, is operationally defined as the second cell layer from the outer surface, and a model that classifies regions from local appearance alone cannot recover the correct label in samples where the exodermis is unlignified and visually indistinguishable from the surrounding cortex. The vision transformer encoder, which can attend to features anywhere in the image at every layer of processing, provides exactly the long-range context required to resolve such ambiguities. Self-supervised pretraining on a large natural-image collection further allows the encoder to learn broadly useful visual features (texture, edge structure, spatial coherence) without those images needing to be labelled, and fine-tuning on our annotated root dataset adapts those features to the appearance of fluorescence microscopy.</w:t>
      </w:r>
    </w:p>
    <w:p w14:paraId="11DA99F9" w14:textId="77777777" w:rsidR="003A3C63" w:rsidRDefault="003A3C63" w:rsidP="003A3C63">
      <w:pPr>
        <w:pStyle w:val="NormalWeb"/>
        <w:spacing w:before="0" w:beforeAutospacing="0" w:after="160" w:afterAutospacing="0"/>
      </w:pPr>
      <w:r>
        <w:rPr>
          <w:rFonts w:ascii="Arial" w:hAnsi="Arial" w:cs="Arial"/>
          <w:color w:val="000000"/>
        </w:rPr>
        <w:t xml:space="preserve">We trained RootSeg jointly on all 1,293 training samples spanning the four species. Both encoder and decoder were updated during training. The pretrained encoder was fine-tuned at a deliberately low learning rate to preserve its general-purpose features, while the randomly initialized decoder was trained at a higher learning rate to allow rapid learning of the task-specific tissue-map output. The training objective combined four complementary loss terms designed to address the extreme class imbalance characteristic of root anatomy, where small structures such as aerenchyma can occupy as little as 0.5 percent of pixels in pearl millet. These were a region-overlap term (Dice loss) that emphasizes correctly shaped cell types regardless of class size, a difficulty-focused term (focal loss) that automatically upweights hard and rare regions, a per-pixel cross-entropy term, and a boundary-aware term (Lovász-softmax) that sharpens tissue </w:t>
      </w:r>
      <w:r>
        <w:rPr>
          <w:rFonts w:ascii="Arial" w:hAnsi="Arial" w:cs="Arial"/>
          <w:color w:val="000000"/>
        </w:rPr>
        <w:lastRenderedPageBreak/>
        <w:t>edges. Geometric and intensity augmentations increased the effective dataset size, and channel-wise dropout promoted robustness to single-channel staining failures. Full hyperparameters and the exact architectural specification are reported in Methods.</w:t>
      </w:r>
    </w:p>
    <w:p w14:paraId="0A51ACDE" w14:textId="77777777" w:rsidR="003A3C63" w:rsidRDefault="003A3C63" w:rsidP="003A3C63">
      <w:pPr>
        <w:pStyle w:val="NormalWeb"/>
        <w:spacing w:before="0" w:beforeAutospacing="0" w:after="160" w:afterAutospacing="0"/>
      </w:pPr>
      <w:r>
        <w:rPr>
          <w:rFonts w:ascii="Arial" w:hAnsi="Arial" w:cs="Arial"/>
          <w:color w:val="000000"/>
        </w:rPr>
        <w:t>On the in-distribution test set (185 samples spanning all four species and the two widefield platforms used during training), RootSeg achieved a mean intersection-over-union (mIoU) of 0.889 and a mean Dice coefficient of 0.929 across the seven tissue classes (Fig. 2a). Performance was high on the larger anatomical compartments. Whole root, cortex, and vascular cylinder each exceeded IoU 0.97, and the endodermal and exodermal rings reached IoU 0.91 and 0.88, respectively (Fig. 2b). The hardest class was aerenchyma (IoU 0.60). This reflected both the small per-pixel footprint of individual lacunae and the high inter-species variation in aerenchyma morphology, with sparse, micron-scale lacunae in pearl millet contributing most of the residual error. Visually, predicted segmentations recapitulated expert annotation across all four species (Fig. 2c).</w:t>
      </w:r>
    </w:p>
    <w:p w14:paraId="7A617818" w14:textId="77777777" w:rsidR="003A3C63" w:rsidRDefault="003A3C63" w:rsidP="003A3C63">
      <w:pPr>
        <w:pStyle w:val="NormalWeb"/>
        <w:spacing w:before="0" w:beforeAutospacing="0" w:after="160" w:afterAutospacing="0"/>
      </w:pPr>
      <w:r>
        <w:rPr>
          <w:rFonts w:ascii="Arial" w:hAnsi="Arial" w:cs="Arial"/>
          <w:color w:val="000000"/>
        </w:rPr>
        <w:t>To assess whether the choice of encoder and decoder mattered for this task, we trained six alternative architectures on the same dataset, with the same loss combination and the same augmentation pipeline. Two were convolutional baselines built on ResNet34 and ResNet50 encoders pretrained on ImageNet and paired with a UNet++ decoder, representing the standard convolutional segmentation approach used in most prior plant-imaging work. Three were foundation-model variants that probed which part of our architecture mattered most. One paired the same DPT decoder with DINOv2, an older self-supervised foundation model trained on a smaller image corpus, while two replaced the DPT decoder with simpler segmentation heads (a multi-scale linear head paired with DINOv2, and a small multi-layer perceptron paired with DINOv3). The sixth, YOLO26m-seg, was a state-of-the-art instance-segmentation model trained from a COCO-pretrained checkpoint, representing the per-object detection paradigm common in cell-segmentation packages. On the in-distribution test set, all seven models scored within a narrow range (mIoU 0.875 to 0.889), indicating that the dataset is rich enough that several modern architectures can fit the training distribution well (Fig. 2a). The picture changed dramatically on the zero-shot Zeiss confocal split, where mIoU spread widened from 0.805 to 0.888. RootSeg (DINOv3 plus DPT-meta) and the closely related DINOv2 plus DPT-meta variant both retained mIoU 0.888, with no measurable degradation relative to the in-distribution split. The convolutional ResNet baselines dropped to 0.851 (ResNet50) and 0.871 (ResNet34). The simpler decoder variants paired with foundation-model encoders dropped to 0.856 and 0.863. The YOLO instance-segmentation baseline dropped sharpest, to 0.805. These comparisons indicate that the combination of self-supervised foundation-model pretraining (which exposes the encoder to a far broader range of visual statistics than ImageNet alone) and multi-scale convolutional decoding (which preserves spatial detail at every resolution rather than only at the output) is what enables RootSeg to generalize across imaging platforms. Convolutional encoders pretrained on a smaller, less diverse image collection appear to learn platform-specific visual cues that fail to transfer, and instance-segmentation models, which classify each lacuna independently and lack a coherent global tissue-map representation, transfer worst of all.</w:t>
      </w:r>
    </w:p>
    <w:p w14:paraId="08491A72" w14:textId="77777777" w:rsidR="003A3C63" w:rsidRDefault="003A3C63" w:rsidP="003A3C63">
      <w:pPr>
        <w:pStyle w:val="NormalWeb"/>
        <w:spacing w:before="0" w:beforeAutospacing="0" w:after="160" w:afterAutospacing="0"/>
      </w:pPr>
      <w:r>
        <w:rPr>
          <w:rFonts w:ascii="Arial" w:hAnsi="Arial" w:cs="Arial"/>
          <w:color w:val="000000"/>
        </w:rPr>
        <w:lastRenderedPageBreak/>
        <w:t>Performance was consistent across species and imaging platforms within the in-distribution test set, indicating that a single unified model generalizes across the dataset's biological and optical heterogeneity. Per-species mean IoU was 0.945 for tomato, 0.898 for sorghum, 0.863 for rice, and 0.856 for pearl millet (Fig. 2d). Per-platform mean IoU was 0.918 on the Cytation C10 plate-reader imager and 0.885 on the Olympus IX83 widefield microscope (Fig. 2e). The slightly lower performance on monocots reflects the difficulty of the aerenchyma class, which is unique to monocots and contributes most of the residual classification error in those species.</w:t>
      </w:r>
    </w:p>
    <w:p w14:paraId="77884647" w14:textId="77777777" w:rsidR="003A3C63" w:rsidRDefault="003A3C63" w:rsidP="003A3C63"/>
    <w:p w14:paraId="5E23DEF5" w14:textId="77777777" w:rsidR="003A3C63" w:rsidRDefault="003A3C63">
      <w:pPr>
        <w:spacing w:after="160"/>
        <w:ind w:firstLine="360"/>
      </w:pPr>
    </w:p>
    <w:sectPr w:rsidR="003A3C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823808">
    <w:abstractNumId w:val="8"/>
  </w:num>
  <w:num w:numId="2" w16cid:durableId="1597320384">
    <w:abstractNumId w:val="6"/>
  </w:num>
  <w:num w:numId="3" w16cid:durableId="1013799525">
    <w:abstractNumId w:val="5"/>
  </w:num>
  <w:num w:numId="4" w16cid:durableId="1129784606">
    <w:abstractNumId w:val="4"/>
  </w:num>
  <w:num w:numId="5" w16cid:durableId="1899588707">
    <w:abstractNumId w:val="7"/>
  </w:num>
  <w:num w:numId="6" w16cid:durableId="1022321806">
    <w:abstractNumId w:val="3"/>
  </w:num>
  <w:num w:numId="7" w16cid:durableId="1519734614">
    <w:abstractNumId w:val="2"/>
  </w:num>
  <w:num w:numId="8" w16cid:durableId="192574752">
    <w:abstractNumId w:val="1"/>
  </w:num>
  <w:num w:numId="9" w16cid:durableId="211053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E9"/>
    <w:rsid w:val="00034616"/>
    <w:rsid w:val="0006063C"/>
    <w:rsid w:val="0015074B"/>
    <w:rsid w:val="0029639D"/>
    <w:rsid w:val="00326F90"/>
    <w:rsid w:val="003A3C63"/>
    <w:rsid w:val="006D219C"/>
    <w:rsid w:val="00AA1D8D"/>
    <w:rsid w:val="00B47730"/>
    <w:rsid w:val="00B96E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9C6FC"/>
  <w14:defaultImageDpi w14:val="300"/>
  <w15:docId w15:val="{2A72ED6B-4424-2F4D-90C6-81C142A46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C63"/>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Helvetica" w:eastAsiaTheme="minorEastAsia" w:hAnsi="Helvetica" w:cstheme="minorBidi"/>
      <w:sz w:val="22"/>
      <w:szCs w:val="22"/>
      <w:lang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Helvetica" w:eastAsiaTheme="minorEastAsia" w:hAnsi="Helvetica" w:cstheme="minorBidi"/>
      <w:sz w:val="22"/>
      <w:szCs w:val="22"/>
      <w:lang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Helvetica" w:eastAsiaTheme="minorEastAsia" w:hAnsi="Helvetica" w:cstheme="minorBidi"/>
      <w:sz w:val="22"/>
      <w:szCs w:val="22"/>
      <w:lang w:eastAsia="en-US"/>
    </w:rPr>
  </w:style>
  <w:style w:type="paragraph" w:styleId="BodyText">
    <w:name w:val="Body Text"/>
    <w:basedOn w:val="Normal"/>
    <w:link w:val="BodyTextChar"/>
    <w:uiPriority w:val="99"/>
    <w:unhideWhenUsed/>
    <w:rsid w:val="00AA1D8D"/>
    <w:pPr>
      <w:spacing w:after="120" w:line="276" w:lineRule="auto"/>
    </w:pPr>
    <w:rPr>
      <w:rFonts w:ascii="Helvetica" w:eastAsiaTheme="minorEastAsia" w:hAnsi="Helvetica" w:cstheme="minorBidi"/>
      <w:sz w:val="22"/>
      <w:szCs w:val="22"/>
      <w:lang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Helvetica" w:eastAsiaTheme="minorEastAsia" w:hAnsi="Helvetica" w:cstheme="minorBidi"/>
      <w:sz w:val="22"/>
      <w:szCs w:val="22"/>
      <w:lang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Helvetica" w:eastAsiaTheme="minorEastAsia" w:hAnsi="Helvetica" w:cstheme="minorBidi"/>
      <w:sz w:val="16"/>
      <w:szCs w:val="16"/>
      <w:lang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Helvetica" w:eastAsiaTheme="minorEastAsia" w:hAnsi="Helvetica" w:cstheme="minorBidi"/>
      <w:sz w:val="22"/>
      <w:szCs w:val="22"/>
      <w:lang w:eastAsia="en-US"/>
    </w:rPr>
  </w:style>
  <w:style w:type="paragraph" w:styleId="List2">
    <w:name w:val="List 2"/>
    <w:basedOn w:val="Normal"/>
    <w:uiPriority w:val="99"/>
    <w:unhideWhenUsed/>
    <w:rsid w:val="00326F90"/>
    <w:pPr>
      <w:spacing w:after="200" w:line="276" w:lineRule="auto"/>
      <w:ind w:left="720" w:hanging="360"/>
      <w:contextualSpacing/>
    </w:pPr>
    <w:rPr>
      <w:rFonts w:ascii="Helvetica" w:eastAsiaTheme="minorEastAsia" w:hAnsi="Helvetica" w:cstheme="minorBidi"/>
      <w:sz w:val="22"/>
      <w:szCs w:val="22"/>
      <w:lang w:eastAsia="en-US"/>
    </w:rPr>
  </w:style>
  <w:style w:type="paragraph" w:styleId="List3">
    <w:name w:val="List 3"/>
    <w:basedOn w:val="Normal"/>
    <w:uiPriority w:val="99"/>
    <w:unhideWhenUsed/>
    <w:rsid w:val="00326F90"/>
    <w:pPr>
      <w:spacing w:after="200" w:line="276" w:lineRule="auto"/>
      <w:ind w:left="1080" w:hanging="360"/>
      <w:contextualSpacing/>
    </w:pPr>
    <w:rPr>
      <w:rFonts w:ascii="Helvetica" w:eastAsiaTheme="minorEastAsia" w:hAnsi="Helvetica" w:cstheme="minorBidi"/>
      <w:sz w:val="22"/>
      <w:szCs w:val="22"/>
      <w:lang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Helvetica" w:eastAsiaTheme="minorEastAsia" w:hAnsi="Helvetica" w:cstheme="minorBidi"/>
      <w:sz w:val="22"/>
      <w:szCs w:val="22"/>
      <w:lang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Helvetica" w:eastAsiaTheme="minorEastAsia" w:hAnsi="Helvetica" w:cstheme="minorBidi"/>
      <w:sz w:val="22"/>
      <w:szCs w:val="22"/>
      <w:lang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Helvetica" w:eastAsiaTheme="minorEastAsia" w:hAnsi="Helvetica" w:cstheme="minorBidi"/>
      <w:sz w:val="22"/>
      <w:szCs w:val="22"/>
      <w:lang w:eastAsia="en-US"/>
    </w:rPr>
  </w:style>
  <w:style w:type="paragraph" w:styleId="ListNumber">
    <w:name w:val="List Number"/>
    <w:basedOn w:val="Normal"/>
    <w:uiPriority w:val="99"/>
    <w:unhideWhenUsed/>
    <w:rsid w:val="00326F90"/>
    <w:pPr>
      <w:numPr>
        <w:numId w:val="5"/>
      </w:numPr>
      <w:spacing w:after="200" w:line="276" w:lineRule="auto"/>
      <w:contextualSpacing/>
    </w:pPr>
    <w:rPr>
      <w:rFonts w:ascii="Helvetica" w:eastAsiaTheme="minorEastAsia" w:hAnsi="Helvetica" w:cstheme="minorBidi"/>
      <w:sz w:val="22"/>
      <w:szCs w:val="22"/>
      <w:lang w:eastAsia="en-US"/>
    </w:rPr>
  </w:style>
  <w:style w:type="paragraph" w:styleId="ListNumber2">
    <w:name w:val="List Number 2"/>
    <w:basedOn w:val="Normal"/>
    <w:uiPriority w:val="99"/>
    <w:unhideWhenUsed/>
    <w:rsid w:val="0029639D"/>
    <w:pPr>
      <w:numPr>
        <w:numId w:val="6"/>
      </w:numPr>
      <w:spacing w:after="200" w:line="276" w:lineRule="auto"/>
      <w:contextualSpacing/>
    </w:pPr>
    <w:rPr>
      <w:rFonts w:ascii="Helvetica" w:eastAsiaTheme="minorEastAsia" w:hAnsi="Helvetica" w:cstheme="minorBidi"/>
      <w:sz w:val="22"/>
      <w:szCs w:val="22"/>
      <w:lang w:eastAsia="en-US"/>
    </w:rPr>
  </w:style>
  <w:style w:type="paragraph" w:styleId="ListNumber3">
    <w:name w:val="List Number 3"/>
    <w:basedOn w:val="Normal"/>
    <w:uiPriority w:val="99"/>
    <w:unhideWhenUsed/>
    <w:rsid w:val="0029639D"/>
    <w:pPr>
      <w:numPr>
        <w:numId w:val="7"/>
      </w:numPr>
      <w:spacing w:after="200" w:line="276" w:lineRule="auto"/>
      <w:contextualSpacing/>
    </w:pPr>
    <w:rPr>
      <w:rFonts w:ascii="Helvetica" w:eastAsiaTheme="minorEastAsia" w:hAnsi="Helvetica" w:cstheme="minorBidi"/>
      <w:sz w:val="22"/>
      <w:szCs w:val="22"/>
      <w:lang w:eastAsia="en-US"/>
    </w:rPr>
  </w:style>
  <w:style w:type="paragraph" w:styleId="ListContinue">
    <w:name w:val="List Continue"/>
    <w:basedOn w:val="Normal"/>
    <w:uiPriority w:val="99"/>
    <w:unhideWhenUsed/>
    <w:rsid w:val="0029639D"/>
    <w:pPr>
      <w:spacing w:after="120" w:line="276" w:lineRule="auto"/>
      <w:ind w:left="360"/>
      <w:contextualSpacing/>
    </w:pPr>
    <w:rPr>
      <w:rFonts w:ascii="Helvetica" w:eastAsiaTheme="minorEastAsia" w:hAnsi="Helvetica" w:cstheme="minorBidi"/>
      <w:sz w:val="22"/>
      <w:szCs w:val="22"/>
      <w:lang w:eastAsia="en-US"/>
    </w:rPr>
  </w:style>
  <w:style w:type="paragraph" w:styleId="ListContinue2">
    <w:name w:val="List Continue 2"/>
    <w:basedOn w:val="Normal"/>
    <w:uiPriority w:val="99"/>
    <w:unhideWhenUsed/>
    <w:rsid w:val="0029639D"/>
    <w:pPr>
      <w:spacing w:after="120" w:line="276" w:lineRule="auto"/>
      <w:ind w:left="720"/>
      <w:contextualSpacing/>
    </w:pPr>
    <w:rPr>
      <w:rFonts w:ascii="Helvetica" w:eastAsiaTheme="minorEastAsia" w:hAnsi="Helvetica" w:cstheme="minorBidi"/>
      <w:sz w:val="22"/>
      <w:szCs w:val="22"/>
      <w:lang w:eastAsia="en-US"/>
    </w:rPr>
  </w:style>
  <w:style w:type="paragraph" w:styleId="ListContinue3">
    <w:name w:val="List Continue 3"/>
    <w:basedOn w:val="Normal"/>
    <w:uiPriority w:val="99"/>
    <w:unhideWhenUsed/>
    <w:rsid w:val="0029639D"/>
    <w:pPr>
      <w:spacing w:after="120" w:line="276" w:lineRule="auto"/>
      <w:ind w:left="1080"/>
      <w:contextualSpacing/>
    </w:pPr>
    <w:rPr>
      <w:rFonts w:ascii="Helvetica" w:eastAsiaTheme="minorEastAsia" w:hAnsi="Helvetica" w:cstheme="minorBidi"/>
      <w:sz w:val="22"/>
      <w:szCs w:val="22"/>
      <w:lang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Helvetica" w:eastAsiaTheme="minorEastAsia" w:hAnsi="Helvetica" w:cstheme="minorBidi"/>
      <w:i/>
      <w:iCs/>
      <w:color w:val="000000" w:themeColor="text1"/>
      <w:sz w:val="22"/>
      <w:szCs w:val="22"/>
      <w:lang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Helvetica" w:eastAsiaTheme="minorEastAsia" w:hAnsi="Helvetica" w:cstheme="minorBidi"/>
      <w:b/>
      <w:bCs/>
      <w:i/>
      <w:iCs/>
      <w:color w:val="4F81BD" w:themeColor="accent1"/>
      <w:sz w:val="22"/>
      <w:szCs w:val="22"/>
      <w:lang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3C6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4911</Words>
  <Characters>27993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Yifei Gu</cp:lastModifiedBy>
  <cp:revision>3</cp:revision>
  <dcterms:created xsi:type="dcterms:W3CDTF">2013-12-23T23:15:00Z</dcterms:created>
  <dcterms:modified xsi:type="dcterms:W3CDTF">2026-05-10T18:14:00Z</dcterms:modified>
  <cp:category/>
</cp:coreProperties>
</file>