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E9" w:rsidRDefault="00B43C15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Inhaltsverzeichnis</w:t>
      </w:r>
    </w:p>
    <w:p w:rsidR="00B43C15" w:rsidRPr="00B43C15" w:rsidRDefault="00B43C15">
      <w:pPr>
        <w:rPr>
          <w:rFonts w:ascii="Arial" w:hAnsi="Arial" w:cs="Arial"/>
          <w:b/>
          <w:sz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1449"/>
      </w:tblGrid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Vorwort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I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GUI-Design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1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Integration der MMIX Funktionalitäten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2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Vorteile des Kommandozeilenaufrufs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Nachteile des Kommandozeilenaufrufs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Vorteile der internen/integrierten C-Variante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Nachteile der internen/integrierten C-Variante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Vorteile der internen Kommandozeile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Nachteile der internen Kommandozeile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Änderungen an den MMIX-Funktionen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5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Änderungen in MMIXAL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Änderungen in MMIX-</w:t>
            </w:r>
            <w:proofErr w:type="spellStart"/>
            <w:r w:rsidRPr="00EB6E21">
              <w:rPr>
                <w:rFonts w:ascii="Arial" w:hAnsi="Arial" w:cs="Arial"/>
                <w:b/>
                <w:sz w:val="24"/>
              </w:rPr>
              <w:t>sim</w:t>
            </w:r>
            <w:proofErr w:type="spellEnd"/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Integration der Scintilla-Komponente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7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Scintilla und </w:t>
            </w:r>
            <w:proofErr w:type="spellStart"/>
            <w:r w:rsidRPr="00EB6E21">
              <w:rPr>
                <w:rFonts w:ascii="Arial" w:hAnsi="Arial" w:cs="Arial"/>
                <w:b/>
                <w:sz w:val="24"/>
              </w:rPr>
              <w:t>Highlighting</w:t>
            </w:r>
            <w:proofErr w:type="spellEnd"/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Markieren von Zeilen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Markieren von Text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proofErr w:type="spellStart"/>
            <w:r w:rsidRPr="00EB6E21">
              <w:rPr>
                <w:rFonts w:ascii="Arial" w:hAnsi="Arial" w:cs="Arial"/>
                <w:b/>
                <w:sz w:val="24"/>
              </w:rPr>
              <w:t>Copy</w:t>
            </w:r>
            <w:proofErr w:type="spellEnd"/>
            <w:r w:rsidRPr="00EB6E21">
              <w:rPr>
                <w:rFonts w:ascii="Arial" w:hAnsi="Arial" w:cs="Arial"/>
                <w:b/>
                <w:sz w:val="24"/>
              </w:rPr>
              <w:t>, Cut, Paste, etc.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Fehler in Scintilla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White Space Formatierung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Veränderung des Cursors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Verändern des </w:t>
            </w:r>
            <w:proofErr w:type="spellStart"/>
            <w:r w:rsidRPr="00EB6E21">
              <w:rPr>
                <w:rFonts w:ascii="Arial" w:hAnsi="Arial" w:cs="Arial"/>
                <w:b/>
                <w:sz w:val="24"/>
              </w:rPr>
              <w:t>Caret</w:t>
            </w:r>
            <w:proofErr w:type="spellEnd"/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Rahmen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Autovervollständigung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proofErr w:type="spellStart"/>
            <w:r w:rsidRPr="00EB6E21">
              <w:rPr>
                <w:rFonts w:ascii="Arial" w:hAnsi="Arial" w:cs="Arial"/>
                <w:b/>
                <w:sz w:val="24"/>
              </w:rPr>
              <w:t>Tooltips</w:t>
            </w:r>
            <w:proofErr w:type="spellEnd"/>
            <w:r w:rsidRPr="00EB6E21">
              <w:rPr>
                <w:rFonts w:ascii="Arial" w:hAnsi="Arial" w:cs="Arial"/>
                <w:b/>
                <w:sz w:val="24"/>
              </w:rPr>
              <w:t xml:space="preserve"> im Code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Tastaturkommandos und </w:t>
            </w:r>
            <w:proofErr w:type="spellStart"/>
            <w:r w:rsidRPr="00EB6E21">
              <w:rPr>
                <w:rFonts w:ascii="Arial" w:hAnsi="Arial" w:cs="Arial"/>
                <w:b/>
                <w:sz w:val="24"/>
              </w:rPr>
              <w:t>Macros</w:t>
            </w:r>
            <w:proofErr w:type="spellEnd"/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Drucken des Codes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Direkter Funktionszugang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Line </w:t>
            </w:r>
            <w:proofErr w:type="spellStart"/>
            <w:r w:rsidRPr="00EB6E21">
              <w:rPr>
                <w:rFonts w:ascii="Arial" w:hAnsi="Arial" w:cs="Arial"/>
                <w:b/>
                <w:sz w:val="24"/>
              </w:rPr>
              <w:t>Wrapping</w:t>
            </w:r>
            <w:proofErr w:type="spellEnd"/>
            <w:r w:rsidRPr="00EB6E21">
              <w:rPr>
                <w:rFonts w:ascii="Arial" w:hAnsi="Arial" w:cs="Arial"/>
                <w:b/>
                <w:sz w:val="24"/>
              </w:rPr>
              <w:t xml:space="preserve"> und zu lange Zeilen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Weitere im Code verwendete Nachrichten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Sonstige interessante Nachrichten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 w:rsidP="00EB6E21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Aufbau einer einfachen Win32 Anwendung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19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Die Hauptfunktion des Programms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Die Hauptstruktur des Fensters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Das Registrieren von Fenstern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Die Erstellung von Fenstern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</w:tc>
      </w:tr>
      <w:tr w:rsidR="00B43C15" w:rsidTr="00EB6E21">
        <w:tc>
          <w:tcPr>
            <w:tcW w:w="7763" w:type="dxa"/>
          </w:tcPr>
          <w:p w:rsidR="00B43C15" w:rsidRPr="00EB6E21" w:rsidRDefault="00B43C15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Win32 Ressourcen</w:t>
            </w:r>
          </w:p>
        </w:tc>
        <w:tc>
          <w:tcPr>
            <w:tcW w:w="1449" w:type="dxa"/>
          </w:tcPr>
          <w:p w:rsidR="00B43C15" w:rsidRPr="00EB6E21" w:rsidRDefault="00B43C15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22</w:t>
            </w:r>
          </w:p>
        </w:tc>
      </w:tr>
      <w:tr w:rsidR="00AB1753" w:rsidTr="00EB6E21">
        <w:tc>
          <w:tcPr>
            <w:tcW w:w="7763" w:type="dxa"/>
          </w:tcPr>
          <w:p w:rsidR="00AB1753" w:rsidRPr="00AB1753" w:rsidRDefault="00AB1753">
            <w:pPr>
              <w:rPr>
                <w:rFonts w:ascii="Arial" w:hAnsi="Arial" w:cs="Arial"/>
                <w:sz w:val="24"/>
              </w:rPr>
            </w:pPr>
            <w:r w:rsidRPr="00AB1753">
              <w:rPr>
                <w:rFonts w:ascii="Arial" w:hAnsi="Arial" w:cs="Arial"/>
                <w:sz w:val="24"/>
              </w:rPr>
              <w:t xml:space="preserve">      Vorteile der Variante mit Methoden</w:t>
            </w:r>
          </w:p>
        </w:tc>
        <w:tc>
          <w:tcPr>
            <w:tcW w:w="1449" w:type="dxa"/>
          </w:tcPr>
          <w:p w:rsidR="00AB1753" w:rsidRPr="00AB1753" w:rsidRDefault="00AB1753" w:rsidP="00B43C1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AB1753"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AB1753" w:rsidTr="00EB6E21">
        <w:tc>
          <w:tcPr>
            <w:tcW w:w="7763" w:type="dxa"/>
          </w:tcPr>
          <w:p w:rsidR="00AB1753" w:rsidRPr="00AB1753" w:rsidRDefault="00EB6E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</w:t>
            </w:r>
            <w:r w:rsidR="00AB1753" w:rsidRPr="00AB1753">
              <w:rPr>
                <w:rFonts w:ascii="Arial" w:hAnsi="Arial" w:cs="Arial"/>
                <w:sz w:val="24"/>
              </w:rPr>
              <w:t>Nachteile der Variante mit Methoden</w:t>
            </w:r>
          </w:p>
        </w:tc>
        <w:tc>
          <w:tcPr>
            <w:tcW w:w="1449" w:type="dxa"/>
          </w:tcPr>
          <w:p w:rsidR="00AB1753" w:rsidRPr="00AB1753" w:rsidRDefault="00AB1753" w:rsidP="00B43C1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AB1753"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AB1753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      </w:t>
            </w:r>
            <w:r w:rsidR="00AB1753" w:rsidRPr="00EB6E21">
              <w:rPr>
                <w:rFonts w:ascii="Arial" w:hAnsi="Arial" w:cs="Arial"/>
                <w:sz w:val="24"/>
              </w:rPr>
              <w:t>Vorteile der Ressourcen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EB6E21">
              <w:rPr>
                <w:rFonts w:ascii="Times New Roman" w:hAnsi="Times New Roman" w:cs="Times New Roman"/>
                <w:sz w:val="24"/>
              </w:rPr>
              <w:t>23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</w:t>
            </w:r>
            <w:r w:rsidR="00AB1753" w:rsidRPr="00EB6E21">
              <w:rPr>
                <w:rFonts w:ascii="Arial" w:hAnsi="Arial" w:cs="Arial"/>
                <w:sz w:val="24"/>
              </w:rPr>
              <w:t>Nachteile der Ressourcen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EB6E21">
              <w:rPr>
                <w:rFonts w:ascii="Times New Roman" w:hAnsi="Times New Roman" w:cs="Times New Roman"/>
                <w:sz w:val="24"/>
              </w:rPr>
              <w:t>23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Das Erstellen von Dialogen aus Ressourcen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Menüs aus Ressourcen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24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proofErr w:type="spellStart"/>
            <w:r w:rsidR="00AB1753" w:rsidRPr="00EB6E21">
              <w:rPr>
                <w:rFonts w:ascii="Arial" w:hAnsi="Arial" w:cs="Arial"/>
                <w:b/>
                <w:sz w:val="24"/>
              </w:rPr>
              <w:t>Accelerator</w:t>
            </w:r>
            <w:proofErr w:type="spellEnd"/>
            <w:r w:rsidR="00AB1753" w:rsidRPr="00EB6E21">
              <w:rPr>
                <w:rFonts w:ascii="Arial" w:hAnsi="Arial" w:cs="Arial"/>
                <w:b/>
                <w:sz w:val="24"/>
              </w:rPr>
              <w:t xml:space="preserve"> und Tastenkombinationen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25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Das Positionieren und Skalieren von Fenstern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Das Anzeigen und Verbergen von Fenstern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Die Nachrichtenschleife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Das Erhalten von Nachrichten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Das Weiterleiten von Nachrichten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Die Verarbeitung von Nachrichten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28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Fehlerbehandlung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28</w:t>
            </w:r>
          </w:p>
        </w:tc>
      </w:tr>
      <w:tr w:rsidR="00EB6E21" w:rsidTr="00EB6E21">
        <w:tc>
          <w:tcPr>
            <w:tcW w:w="7763" w:type="dxa"/>
          </w:tcPr>
          <w:p w:rsidR="00EB6E21" w:rsidRPr="00EB6E21" w:rsidRDefault="00EB6E21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49" w:type="dxa"/>
          </w:tcPr>
          <w:p w:rsidR="00EB6E21" w:rsidRPr="00EB6E21" w:rsidRDefault="00EB6E21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AB1753" w:rsidTr="00EB6E21">
        <w:tc>
          <w:tcPr>
            <w:tcW w:w="7763" w:type="dxa"/>
          </w:tcPr>
          <w:p w:rsidR="00AB1753" w:rsidRPr="00EB6E21" w:rsidRDefault="00AB1753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Aufbau der MMIX-Edit IDE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30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AB1753" w:rsidP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Zusätzliche Hauptstruktur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AB1753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Zusätzliche Fenster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32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AB1753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Vereinfachung der </w:t>
            </w:r>
            <w:proofErr w:type="spellStart"/>
            <w:r w:rsidRPr="00EB6E21">
              <w:rPr>
                <w:rFonts w:ascii="Arial" w:hAnsi="Arial" w:cs="Arial"/>
                <w:b/>
                <w:sz w:val="24"/>
              </w:rPr>
              <w:t>SendMessage</w:t>
            </w:r>
            <w:proofErr w:type="spellEnd"/>
            <w:r w:rsidRPr="00EB6E21">
              <w:rPr>
                <w:rFonts w:ascii="Arial" w:hAnsi="Arial" w:cs="Arial"/>
                <w:b/>
                <w:sz w:val="24"/>
              </w:rPr>
              <w:t xml:space="preserve"> Funktion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32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Laden, Speichern und neu Erstellen einer Datei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32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proofErr w:type="spellStart"/>
            <w:r w:rsidR="00AB1753" w:rsidRPr="00EB6E21">
              <w:rPr>
                <w:rFonts w:ascii="Arial" w:hAnsi="Arial" w:cs="Arial"/>
                <w:b/>
                <w:sz w:val="24"/>
              </w:rPr>
              <w:t>Scintilla’s</w:t>
            </w:r>
            <w:proofErr w:type="spellEnd"/>
            <w:r w:rsidR="00AB1753" w:rsidRPr="00EB6E21">
              <w:rPr>
                <w:rFonts w:ascii="Arial" w:hAnsi="Arial" w:cs="Arial"/>
                <w:b/>
                <w:sz w:val="24"/>
              </w:rPr>
              <w:t xml:space="preserve"> eigene </w:t>
            </w:r>
            <w:proofErr w:type="spellStart"/>
            <w:r w:rsidR="00AB1753" w:rsidRPr="00EB6E21">
              <w:rPr>
                <w:rFonts w:ascii="Arial" w:hAnsi="Arial" w:cs="Arial"/>
                <w:b/>
                <w:sz w:val="24"/>
              </w:rPr>
              <w:t>WndProc</w:t>
            </w:r>
            <w:proofErr w:type="spellEnd"/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34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Aktivierung von Menüelementen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34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Das Stylen des Editors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35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Vom Füllen und Nutzen der Fehlerliste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35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Externe zur MMIX Integration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36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Interne Kommandozeile des Simulators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37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Das Aufrufen der MMIX-Komponenten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39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 xml:space="preserve">Die spezialisierte </w:t>
            </w:r>
            <w:proofErr w:type="spellStart"/>
            <w:r w:rsidR="00AB1753" w:rsidRPr="00EB6E21">
              <w:rPr>
                <w:rFonts w:ascii="Arial" w:hAnsi="Arial" w:cs="Arial"/>
                <w:b/>
                <w:sz w:val="24"/>
              </w:rPr>
              <w:t>WndProc</w:t>
            </w:r>
            <w:proofErr w:type="spellEnd"/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39</w:t>
            </w:r>
          </w:p>
        </w:tc>
      </w:tr>
      <w:tr w:rsidR="00AB1753" w:rsidRPr="00EB6E21" w:rsidTr="00EB6E21">
        <w:tc>
          <w:tcPr>
            <w:tcW w:w="7763" w:type="dxa"/>
          </w:tcPr>
          <w:p w:rsidR="00AB1753" w:rsidRPr="00EB6E21" w:rsidRDefault="00EB6E21">
            <w:pPr>
              <w:rPr>
                <w:rFonts w:ascii="Arial" w:hAnsi="Arial" w:cs="Arial"/>
                <w:b/>
                <w:sz w:val="24"/>
              </w:rPr>
            </w:pPr>
            <w:r w:rsidRPr="00EB6E21">
              <w:rPr>
                <w:rFonts w:ascii="Arial" w:hAnsi="Arial" w:cs="Arial"/>
                <w:b/>
                <w:sz w:val="24"/>
              </w:rPr>
              <w:t xml:space="preserve">   </w:t>
            </w:r>
            <w:r w:rsidR="00AB1753" w:rsidRPr="00EB6E21">
              <w:rPr>
                <w:rFonts w:ascii="Arial" w:hAnsi="Arial" w:cs="Arial"/>
                <w:b/>
                <w:sz w:val="24"/>
              </w:rPr>
              <w:t>Die Hauptroutine des „Über“-Fensters</w:t>
            </w:r>
          </w:p>
        </w:tc>
        <w:tc>
          <w:tcPr>
            <w:tcW w:w="1449" w:type="dxa"/>
          </w:tcPr>
          <w:p w:rsidR="00AB1753" w:rsidRPr="00EB6E21" w:rsidRDefault="00AB1753" w:rsidP="00B43C1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B6E21">
              <w:rPr>
                <w:rFonts w:ascii="Times New Roman" w:hAnsi="Times New Roman" w:cs="Times New Roman"/>
                <w:b/>
                <w:sz w:val="24"/>
              </w:rPr>
              <w:t>41</w:t>
            </w:r>
          </w:p>
        </w:tc>
      </w:tr>
      <w:tr w:rsidR="00EB6E21" w:rsidTr="00EB6E21">
        <w:tc>
          <w:tcPr>
            <w:tcW w:w="7763" w:type="dxa"/>
          </w:tcPr>
          <w:p w:rsidR="00EB6E21" w:rsidRPr="00EB6E21" w:rsidRDefault="00EB6E21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49" w:type="dxa"/>
          </w:tcPr>
          <w:p w:rsidR="00EB6E21" w:rsidRPr="00EB6E21" w:rsidRDefault="00EB6E21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EB6E21" w:rsidTr="00EB6E21">
        <w:tc>
          <w:tcPr>
            <w:tcW w:w="7763" w:type="dxa"/>
          </w:tcPr>
          <w:p w:rsidR="00EB6E21" w:rsidRPr="00EB6E21" w:rsidRDefault="00EB6E21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Fazit</w:t>
            </w:r>
          </w:p>
        </w:tc>
        <w:tc>
          <w:tcPr>
            <w:tcW w:w="1449" w:type="dxa"/>
          </w:tcPr>
          <w:p w:rsidR="00EB6E21" w:rsidRPr="00EB6E21" w:rsidRDefault="00EB6E21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II</w:t>
            </w:r>
          </w:p>
        </w:tc>
      </w:tr>
      <w:tr w:rsidR="00EB6E21" w:rsidTr="00EB6E21">
        <w:tc>
          <w:tcPr>
            <w:tcW w:w="7763" w:type="dxa"/>
          </w:tcPr>
          <w:p w:rsidR="00EB6E21" w:rsidRPr="00EB6E21" w:rsidRDefault="00EB6E21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49" w:type="dxa"/>
          </w:tcPr>
          <w:p w:rsidR="00EB6E21" w:rsidRPr="00EB6E21" w:rsidRDefault="00EB6E21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EB6E21" w:rsidTr="00EB6E21">
        <w:tc>
          <w:tcPr>
            <w:tcW w:w="7763" w:type="dxa"/>
          </w:tcPr>
          <w:p w:rsidR="00EB6E21" w:rsidRPr="00EB6E21" w:rsidRDefault="00EB6E21">
            <w:pPr>
              <w:rPr>
                <w:rFonts w:ascii="Arial" w:hAnsi="Arial" w:cs="Arial"/>
                <w:b/>
                <w:sz w:val="32"/>
              </w:rPr>
            </w:pPr>
            <w:r w:rsidRPr="00EB6E21">
              <w:rPr>
                <w:rFonts w:ascii="Arial" w:hAnsi="Arial" w:cs="Arial"/>
                <w:b/>
                <w:sz w:val="32"/>
              </w:rPr>
              <w:t>Quellen</w:t>
            </w:r>
          </w:p>
        </w:tc>
        <w:tc>
          <w:tcPr>
            <w:tcW w:w="1449" w:type="dxa"/>
          </w:tcPr>
          <w:p w:rsidR="00EB6E21" w:rsidRPr="00EB6E21" w:rsidRDefault="00EB6E21" w:rsidP="00B43C15">
            <w:pPr>
              <w:jc w:val="right"/>
              <w:rPr>
                <w:rFonts w:ascii="Times New Roman" w:hAnsi="Times New Roman" w:cs="Times New Roman"/>
                <w:b/>
                <w:sz w:val="32"/>
              </w:rPr>
            </w:pPr>
            <w:r w:rsidRPr="00EB6E21">
              <w:rPr>
                <w:rFonts w:ascii="Times New Roman" w:hAnsi="Times New Roman" w:cs="Times New Roman"/>
                <w:b/>
                <w:sz w:val="32"/>
              </w:rPr>
              <w:t>III</w:t>
            </w:r>
          </w:p>
        </w:tc>
      </w:tr>
    </w:tbl>
    <w:p w:rsidR="00B43C15" w:rsidRPr="00B43C15" w:rsidRDefault="00B43C15">
      <w:pPr>
        <w:rPr>
          <w:rFonts w:ascii="Arial" w:hAnsi="Arial" w:cs="Arial"/>
          <w:b/>
          <w:sz w:val="24"/>
        </w:rPr>
      </w:pPr>
    </w:p>
    <w:sectPr w:rsidR="00B43C15" w:rsidRPr="00B43C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625" w:rsidRDefault="00122625" w:rsidP="00EB6E21">
      <w:pPr>
        <w:spacing w:after="0" w:line="240" w:lineRule="auto"/>
      </w:pPr>
      <w:r>
        <w:separator/>
      </w:r>
    </w:p>
  </w:endnote>
  <w:endnote w:type="continuationSeparator" w:id="0">
    <w:p w:rsidR="00122625" w:rsidRDefault="00122625" w:rsidP="00EB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625" w:rsidRDefault="00122625" w:rsidP="00EB6E21">
      <w:pPr>
        <w:spacing w:after="0" w:line="240" w:lineRule="auto"/>
      </w:pPr>
      <w:r>
        <w:separator/>
      </w:r>
    </w:p>
  </w:footnote>
  <w:footnote w:type="continuationSeparator" w:id="0">
    <w:p w:rsidR="00122625" w:rsidRDefault="00122625" w:rsidP="00EB6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200"/>
    <w:rsid w:val="000B2DF1"/>
    <w:rsid w:val="00122625"/>
    <w:rsid w:val="005E6B49"/>
    <w:rsid w:val="00AB1753"/>
    <w:rsid w:val="00B42200"/>
    <w:rsid w:val="00B43C15"/>
    <w:rsid w:val="00EB6E21"/>
    <w:rsid w:val="00F4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43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B6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E21"/>
  </w:style>
  <w:style w:type="paragraph" w:styleId="Fuzeile">
    <w:name w:val="footer"/>
    <w:basedOn w:val="Standard"/>
    <w:link w:val="FuzeileZchn"/>
    <w:uiPriority w:val="99"/>
    <w:unhideWhenUsed/>
    <w:rsid w:val="00EB6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E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43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B6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E21"/>
  </w:style>
  <w:style w:type="paragraph" w:styleId="Fuzeile">
    <w:name w:val="footer"/>
    <w:basedOn w:val="Standard"/>
    <w:link w:val="FuzeileZchn"/>
    <w:uiPriority w:val="99"/>
    <w:unhideWhenUsed/>
    <w:rsid w:val="00EB6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3</cp:revision>
  <dcterms:created xsi:type="dcterms:W3CDTF">2013-07-09T15:54:00Z</dcterms:created>
  <dcterms:modified xsi:type="dcterms:W3CDTF">2013-07-09T16:32:00Z</dcterms:modified>
</cp:coreProperties>
</file>