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rPr>
          <w:rFonts w:ascii="Times New Roman" w:cs="Times New Roman" w:eastAsia="Times New Roman" w:hAnsi="Times New Roman"/>
          <w:b/>
          <w:bCs/>
          <w:sz w:val="32"/>
          <w:szCs w:val="32"/>
        </w:rPr>
        <w:t xml:space="preserve">Explainable Machine Learning for Cross-National Diabetes Risk Prediction:</w:t>
      </w:r>
    </w:p>
    <w:p>
      <w:pPr>
        <w:spacing w:after="400"/>
        <w:jc w:val="center"/>
      </w:pPr>
      <w:r>
        <w:rPr>
          <w:rFonts w:ascii="Times New Roman" w:cs="Times New Roman" w:eastAsia="Times New Roman" w:hAnsi="Times New Roman"/>
          <w:b/>
          <w:bCs/>
          <w:sz w:val="32"/>
          <w:szCs w:val="32"/>
        </w:rPr>
        <w:t xml:space="preserve">A Multi-Method Approach Integrating Survival Analysis, SHAP Interpretation, and Real-Time Clinical Dashboard</w:t>
      </w:r>
    </w:p>
    <w:p>
      <w:pPr>
        <w:spacing w:after="100"/>
        <w:jc w:val="center"/>
      </w:pPr>
      <w:r>
        <w:rPr>
          <w:rFonts w:ascii="Times New Roman" w:cs="Times New Roman" w:eastAsia="Times New Roman" w:hAnsi="Times New Roman"/>
          <w:sz w:val="22"/>
          <w:szCs w:val="22"/>
        </w:rPr>
        <w:t xml:space="preserve">Wansuk Choi</w:t>
      </w:r>
    </w:p>
    <w:p>
      <w:pPr>
        <w:spacing w:after="300"/>
        <w:jc w:val="center"/>
      </w:pPr>
      <w:r>
        <w:rPr>
          <w:rFonts w:ascii="Times New Roman" w:cs="Times New Roman" w:eastAsia="Times New Roman" w:hAnsi="Times New Roman"/>
          <w:i/>
          <w:iCs/>
          <w:sz w:val="20"/>
          <w:szCs w:val="20"/>
        </w:rPr>
        <w:t xml:space="preserve">Department of Physical Therapy, Kyungwoon University, Gumi, Republic of Korea</w:t>
      </w:r>
    </w:p>
    <w:p>
      <w:pPr>
        <w:spacing w:after="100"/>
        <w:jc w:val="center"/>
      </w:pPr>
      <w:r>
        <w:rPr>
          <w:rFonts w:ascii="Times New Roman" w:cs="Times New Roman" w:eastAsia="Times New Roman" w:hAnsi="Times New Roman"/>
          <w:sz w:val="20"/>
          <w:szCs w:val="20"/>
        </w:rPr>
        <w:t xml:space="preserve">Corresponding author: y3korea@gmail.com</w:t>
      </w:r>
    </w:p>
    <w:p>
      <w:r>
        <w:br w:type="page"/>
      </w:r>
    </w:p>
    <w:p>
      <w:pPr>
        <w:pStyle w:val="Heading1"/>
        <w:spacing w:after="200" w:before="360"/>
      </w:pPr>
      <w:r>
        <w:rPr>
          <w:rFonts w:ascii="Times New Roman" w:cs="Times New Roman" w:eastAsia="Times New Roman" w:hAnsi="Times New Roman"/>
          <w:b/>
          <w:bCs/>
          <w:sz w:val="28"/>
          <w:szCs w:val="28"/>
        </w:rPr>
        <w:t xml:space="preserve">Abstract</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sz w:val="22"/>
          <w:szCs w:val="22"/>
        </w:rPr>
        <w:t xml:space="preserve"> Type 2 diabetes mellitus (T2DM) remains a major global health burden, particularly in East Asian populations where prevalence has risen rapidly. While machine learning (ML) models show promise for diabetes risk prediction, most studies lack cross-national comparison of risk factors and interpretable clinical decision support tools. This study aimed to develop and validate a multi-method prediction framework integrating survival analysis, traditional ML, deep learning (DL), and explainable AI (XAI) for diabetes onset prediction across a multi-national East Asian cohort.</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sz w:val="22"/>
          <w:szCs w:val="22"/>
        </w:rPr>
        <w:t xml:space="preserve"> We analyzed a longitudinal cohort of 10,000 participants (Korean, Chinese, and Other East Asian nationalities) followed over 5 years with 35 clinical, lifestyle, genetic, and psychosocial variables. Our five-stage analytical pipeline comprised: (1) exploratory data analysis with cross-national comparisons; (2) Kaplan–Meier and Cox proportional hazards survival analysis; (3) Optuna-tuned ML models (logistic regression, random forest, XGBoost); (4) temporal DL models (LSTM+Attention, GRU+Attention, Transformer) with longitudinal sequences; and (5) SHAP-based cross-national interpretability analysis. A real-time web dashboard and mobile application were developed for clinical translation.</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The 5-year diabetes incidence was 7.91% (n=791). Cox regression identified BMI (HR=1.336, 95% CI: 1.246–1.432), family history (HR=1.704, 1.479–1.963), HbA1c (HR=1.253, 1.168–1.344), fasting glucose (HR=1.157, 1.075–1.244), and genetic risk score (HR=1.129, 1.052–1.211) as significant predictors (all p&lt;0.001). The Optuna-tuned XGBoost achieved the best discrimination (AUC=0.651, 95% CI: 0.631–0.670). Among DL models, GRU+Attention achieved AUC=0.637 (0.592–0.681). SHAP analysis revealed consistent cross-national risk factor rankings: BMI (mean |SHAP|=0.172), family history (0.137), and HbA1c (0.131) were the top three predictors across all nationality groups, with nationality-specific variables contributing minimally (SHAP&lt;0.001).</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sz w:val="22"/>
          <w:szCs w:val="22"/>
        </w:rPr>
        <w:t xml:space="preserve"> Our integrated multi-method framework demonstrates that diabetes risk factors are largely consistent across East Asian nationalities, with BMI, family history, and HbA1c being universally dominant predictors. The combination of SHAP-based cross-national interpretability with a translational clinical dashboard provides a practical, evidence-based decision support tool for multi-ethnic diabetes prevention programs.</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diabetes mellitus, machine learning, deep learning, SHAP, explainable AI, cross-national, survival analysis, clinical decision support, XGBoost, LSTM</w:t>
      </w:r>
    </w:p>
    <w:p>
      <w:r>
        <w:br w:type="page"/>
      </w:r>
    </w:p>
    <w:p>
      <w:pPr>
        <w:pStyle w:val="Heading1"/>
        <w:spacing w:after="200" w:before="360"/>
      </w:pPr>
      <w:r>
        <w:rPr>
          <w:rFonts w:ascii="Times New Roman" w:cs="Times New Roman" w:eastAsia="Times New Roman" w:hAnsi="Times New Roman"/>
          <w:b/>
          <w:bCs/>
          <w:sz w:val="28"/>
          <w:szCs w:val="28"/>
        </w:rPr>
        <w:t xml:space="preserve">Background</w:t>
      </w:r>
    </w:p>
    <w:p>
      <w:pPr>
        <w:spacing w:after="140" w:line="360"/>
        <w:ind w:firstLine="400"/>
        <w:jc w:val="both"/>
      </w:pPr>
      <w:r>
        <w:rPr>
          <w:rFonts w:ascii="Times New Roman" w:cs="Times New Roman" w:eastAsia="Times New Roman" w:hAnsi="Times New Roman"/>
          <w:sz w:val="22"/>
          <w:szCs w:val="22"/>
        </w:rPr>
        <w:t xml:space="preserve">Type 2 diabetes mellitus (T2DM) is one of the fastest-growing global health challenges, with the International Diabetes Federation (IDF) estimating over 530 million adults affected worldwide in 2021, projected to exceed 780 million by 2045 [1, 2]. The Western Pacific region, encompassing East Asian countries such as South Korea, China, and Japan, bears a disproportionately high burden, with unique pathophysiological features including lower BMI thresholds for diabetes onset and greater beta-cell dysfunction [3, 4].</w:t>
      </w:r>
    </w:p>
    <w:p>
      <w:pPr>
        <w:spacing w:after="140" w:line="360"/>
        <w:ind w:firstLine="400"/>
        <w:jc w:val="both"/>
      </w:pPr>
      <w:r>
        <w:rPr>
          <w:rFonts w:ascii="Times New Roman" w:cs="Times New Roman" w:eastAsia="Times New Roman" w:hAnsi="Times New Roman"/>
          <w:sz w:val="22"/>
          <w:szCs w:val="22"/>
        </w:rPr>
        <w:t xml:space="preserve">Early identification of individuals at high risk for diabetes is essential for implementing timely preventive interventions [5]. Traditional risk prediction tools, such as the Finnish Diabetes Risk Score (FINDRISC), rely on a limited set of clinical variables and may not capture the complex, nonlinear interactions among metabolic, genetic, behavioral, and psychosocial factors [6]. Machine learning (ML) approaches have emerged as powerful alternatives, with studies demonstrating improved predictive performance using algorithms such as XGBoost, random forest, and logistic regression [7, 8].</w:t>
      </w:r>
    </w:p>
    <w:p>
      <w:pPr>
        <w:spacing w:after="140" w:line="360"/>
        <w:ind w:firstLine="400"/>
        <w:jc w:val="both"/>
      </w:pPr>
      <w:r>
        <w:rPr>
          <w:rFonts w:ascii="Times New Roman" w:cs="Times New Roman" w:eastAsia="Times New Roman" w:hAnsi="Times New Roman"/>
          <w:sz w:val="22"/>
          <w:szCs w:val="22"/>
        </w:rPr>
        <w:t xml:space="preserve">More recently, deep learning (DL) architectures, particularly recurrent neural networks (RNNs) with attention mechanisms, have shown potential for leveraging longitudinal clinical data to capture temporal patterns in disease progression [9, 10, 11]. However, the “black-box” nature of these models has limited their clinical adoption. Explainable artificial intelligence (XAI) techniques, especially SHapley Additive exPlanations (SHAP), have gained increasing attention as methods to enhance model transparency and build clinician trust [12, 13, 14].</w:t>
      </w:r>
    </w:p>
    <w:p>
      <w:pPr>
        <w:spacing w:after="140" w:line="360"/>
        <w:ind w:firstLine="400"/>
        <w:jc w:val="both"/>
      </w:pPr>
      <w:r>
        <w:rPr>
          <w:rFonts w:ascii="Times New Roman" w:cs="Times New Roman" w:eastAsia="Times New Roman" w:hAnsi="Times New Roman"/>
          <w:sz w:val="22"/>
          <w:szCs w:val="22"/>
        </w:rPr>
        <w:t xml:space="preserve">Despite significant progress, several critical gaps remain in the diabetes prediction literature. First, most studies are conducted within single-nationality cohorts, limiting generalizability across diverse East Asian populations with potentially different risk factor profiles [15, 16]. Second, few studies integrate multiple analytical approaches (survival analysis, ML, DL, and XAI) within a unified framework, which could provide complementary insights [17]. Third, the translation of predictive models into practical clinical decision support tools—such as web dashboards or mobile applications—remains rare [18, 19].</w:t>
      </w:r>
    </w:p>
    <w:p>
      <w:pPr>
        <w:spacing w:after="140" w:line="360"/>
        <w:ind w:firstLine="400"/>
        <w:jc w:val="both"/>
      </w:pPr>
      <w:r>
        <w:rPr>
          <w:rFonts w:ascii="Times New Roman" w:cs="Times New Roman" w:eastAsia="Times New Roman" w:hAnsi="Times New Roman"/>
          <w:sz w:val="22"/>
          <w:szCs w:val="22"/>
        </w:rPr>
        <w:t xml:space="preserve">To address these gaps, we developed a comprehensive five-stage analytical pipeline applied to a multi-national East Asian cohort of 10,000 participants followed for 5 years. Our framework integrates: (1) exploratory epidemiological analysis with cross-national comparisons; (2) survival analysis using Kaplan–Meier and Cox proportional hazards models; (3) Optuna-tuned traditional ML models; (4) temporal DL models with attention mechanisms; and (5) SHAP-based cross-national interpretability analysis. Furthermore, we developed a real-time web dashboard deployed on Vercel and companion iOS/Android mobile applications to facilitate clinical translation. The primary objectives were to: (a) compare diabetes risk factor importance across nationalities using SHAP; (b) evaluate whether temporal DL models outperform snapshot-based ML; and (c) provide an accessible clinical decision support tool for multi-ethnic diabetes prevention.</w:t>
      </w:r>
    </w:p>
    <w:p>
      <w:r>
        <w:br w:type="page"/>
      </w:r>
    </w:p>
    <w:p>
      <w:pPr>
        <w:pStyle w:val="Heading1"/>
        <w:spacing w:after="200" w:before="360"/>
      </w:pPr>
      <w:r>
        <w:rPr>
          <w:rFonts w:ascii="Times New Roman" w:cs="Times New Roman" w:eastAsia="Times New Roman" w:hAnsi="Times New Roman"/>
          <w:b/>
          <w:bCs/>
          <w:sz w:val="28"/>
          <w:szCs w:val="28"/>
        </w:rPr>
        <w:t xml:space="preserve">Methods</w:t>
      </w:r>
    </w:p>
    <w:p>
      <w:pPr>
        <w:pStyle w:val="Heading2"/>
        <w:spacing w:after="160" w:before="280"/>
      </w:pPr>
      <w:r>
        <w:rPr>
          <w:rFonts w:ascii="Times New Roman" w:cs="Times New Roman" w:eastAsia="Times New Roman" w:hAnsi="Times New Roman"/>
          <w:b/>
          <w:bCs/>
          <w:i/>
          <w:iCs/>
          <w:sz w:val="24"/>
          <w:szCs w:val="24"/>
        </w:rPr>
        <w:t xml:space="preserve">Study population and data</w:t>
      </w:r>
    </w:p>
    <w:p>
      <w:pPr>
        <w:spacing w:after="140" w:line="360"/>
        <w:ind w:firstLine="400"/>
        <w:jc w:val="both"/>
      </w:pPr>
      <w:r>
        <w:rPr>
          <w:rFonts w:ascii="Times New Roman" w:cs="Times New Roman" w:eastAsia="Times New Roman" w:hAnsi="Times New Roman"/>
          <w:sz w:val="22"/>
          <w:szCs w:val="22"/>
        </w:rPr>
        <w:t xml:space="preserve">This retrospective cohort study analyzed longitudinal data from 10,000 participants of East Asian descent, comprising Korean, Chinese, and other East Asian nationalities. Participants were followed annually for 5 years (Year 0 through Year 5), yielding a total of 60,000 person-year observations across 40 clinical variables. The dataset included comprehensive measurements of demographic characteristics (age, sex, nationality), anthropometric measures (BMI, waist circumference, body fat percentage), metabolic biomarkers (fasting glucose, HbA1c, fasting insulin, HOMA-IR), lipid profiles (total cholesterol, LDL, HDL, triglycerides), cardiovascular measures (systolic and diastolic blood pressure), hepatic and renal markers (ALT, creatinine), inflammatory markers (CRP), lifestyle factors (sleep duration, physical activity in MET, sedentary hours, caloric intake, carbohydrate ratio), psychosocial measures (Perceived Stress Scale [PSS], Patient Health Questionnaire-9 [PHQ-9]), genetic factors (family history of diabetes, genetic risk score), and behavioral risk factors (smoking status, alcohol consumption). The primary outcome was new-onset diabetes diagnosed during the 5-year follow-up, with time-to-onset recorded in months.</w:t>
      </w:r>
    </w:p>
    <w:p>
      <w:pPr>
        <w:pStyle w:val="Heading2"/>
        <w:spacing w:after="160" w:before="280"/>
      </w:pPr>
      <w:r>
        <w:rPr>
          <w:rFonts w:ascii="Times New Roman" w:cs="Times New Roman" w:eastAsia="Times New Roman" w:hAnsi="Times New Roman"/>
          <w:b/>
          <w:bCs/>
          <w:i/>
          <w:iCs/>
          <w:sz w:val="24"/>
          <w:szCs w:val="24"/>
        </w:rPr>
        <w:t xml:space="preserve">Analytical framework</w:t>
      </w:r>
    </w:p>
    <w:p>
      <w:pPr>
        <w:spacing w:after="140" w:line="360"/>
        <w:ind w:firstLine="400"/>
        <w:jc w:val="both"/>
      </w:pPr>
      <w:r>
        <w:rPr>
          <w:rFonts w:ascii="Times New Roman" w:cs="Times New Roman" w:eastAsia="Times New Roman" w:hAnsi="Times New Roman"/>
          <w:sz w:val="22"/>
          <w:szCs w:val="22"/>
        </w:rPr>
        <w:t xml:space="preserve">We employed a five-stage analytical pipeline designed to provide complementary insights into diabetes risk prediction:</w:t>
      </w:r>
    </w:p>
    <w:p>
      <w:pPr>
        <w:pStyle w:val="Heading2"/>
        <w:spacing w:after="160" w:before="280"/>
      </w:pPr>
      <w:r>
        <w:rPr>
          <w:rFonts w:ascii="Times New Roman" w:cs="Times New Roman" w:eastAsia="Times New Roman" w:hAnsi="Times New Roman"/>
          <w:b/>
          <w:bCs/>
          <w:i/>
          <w:iCs/>
          <w:sz w:val="24"/>
          <w:szCs w:val="24"/>
        </w:rPr>
        <w:t xml:space="preserve">Stage 1: Exploratory data analysis</w:t>
      </w:r>
    </w:p>
    <w:p>
      <w:pPr>
        <w:spacing w:after="140" w:line="360"/>
        <w:ind w:firstLine="400"/>
        <w:jc w:val="both"/>
      </w:pPr>
      <w:r>
        <w:rPr>
          <w:rFonts w:ascii="Times New Roman" w:cs="Times New Roman" w:eastAsia="Times New Roman" w:hAnsi="Times New Roman"/>
          <w:sz w:val="22"/>
          <w:szCs w:val="22"/>
        </w:rPr>
        <w:t xml:space="preserve">Baseline characteristics were compared between diabetes and non-diabetes groups using Mann–Whitney U tests with Cohen’s d effect sizes. Cross-national differences were assessed using one-way ANOVA with Bonferroni-corrected post-hoc comparisons and eta-squared (η²) effect sizes. Longitudinal biomarker trajectories were visualized with 95% confidence intervals stratified by outcome status.</w:t>
      </w:r>
    </w:p>
    <w:p>
      <w:pPr>
        <w:pStyle w:val="Heading2"/>
        <w:spacing w:after="160" w:before="280"/>
      </w:pPr>
      <w:r>
        <w:rPr>
          <w:rFonts w:ascii="Times New Roman" w:cs="Times New Roman" w:eastAsia="Times New Roman" w:hAnsi="Times New Roman"/>
          <w:b/>
          <w:bCs/>
          <w:i/>
          <w:iCs/>
          <w:sz w:val="24"/>
          <w:szCs w:val="24"/>
        </w:rPr>
        <w:t xml:space="preserve">Stage 2: Survival analysis</w:t>
      </w:r>
    </w:p>
    <w:p>
      <w:pPr>
        <w:spacing w:after="140" w:line="360"/>
        <w:ind w:firstLine="400"/>
        <w:jc w:val="both"/>
      </w:pPr>
      <w:r>
        <w:rPr>
          <w:rFonts w:ascii="Times New Roman" w:cs="Times New Roman" w:eastAsia="Times New Roman" w:hAnsi="Times New Roman"/>
          <w:sz w:val="22"/>
          <w:szCs w:val="22"/>
        </w:rPr>
        <w:t xml:space="preserve">Kaplan–Meier survival curves were estimated for the overall cohort and stratified by nationality and BMI categories (&lt;23, 23–25, 25–30, ≥30 kg/m²). Log-rank tests assessed between-group differences. A multivariable Cox proportional hazards model with 18 covariates (continuous variables standardized to z-scores) was fitted to estimate hazard ratios (HRs) with 95% confidence intervals. The proportional hazards assumption was tested using Schoenfeld residuals. Subgroup Cox models were fitted separately for each nationality. Time-dependent AUC was calculated at 12, 24, 36, and 48-month landmarks to evaluate temporal discrimination [20].</w:t>
      </w:r>
    </w:p>
    <w:p>
      <w:pPr>
        <w:pStyle w:val="Heading2"/>
        <w:spacing w:after="160" w:before="280"/>
      </w:pPr>
      <w:r>
        <w:rPr>
          <w:rFonts w:ascii="Times New Roman" w:cs="Times New Roman" w:eastAsia="Times New Roman" w:hAnsi="Times New Roman"/>
          <w:b/>
          <w:bCs/>
          <w:i/>
          <w:iCs/>
          <w:sz w:val="24"/>
          <w:szCs w:val="24"/>
        </w:rPr>
        <w:t xml:space="preserve">Stage 3: Machine learning models</w:t>
      </w:r>
    </w:p>
    <w:p>
      <w:pPr>
        <w:spacing w:after="140" w:line="360"/>
        <w:ind w:firstLine="400"/>
        <w:jc w:val="both"/>
      </w:pPr>
      <w:r>
        <w:rPr>
          <w:rFonts w:ascii="Times New Roman" w:cs="Times New Roman" w:eastAsia="Times New Roman" w:hAnsi="Times New Roman"/>
          <w:sz w:val="22"/>
          <w:szCs w:val="22"/>
        </w:rPr>
        <w:t xml:space="preserve">Three ML algorithms were trained using 5-fold stratified cross-validation on baseline (Year 0) features with Year 5 diabetes onset as the binary outcome: (1) Logistic Regression with elastic net regularization; (2) Random Forest; and (3) XGBoost with class-weighted loss to address the imbalanced outcome (7.91% prevalence). Hyperparameters were optimized using Optuna (50 Bayesian optimization trials per model). Performance was evaluated using area under the receiver operating characteristic curve (AUC), average precision (AP), and Brier score. The feature set comprised 35 variables including three one-hot-encoded nationality indicators.</w:t>
      </w:r>
    </w:p>
    <w:p>
      <w:pPr>
        <w:pStyle w:val="Heading2"/>
        <w:spacing w:after="160" w:before="280"/>
      </w:pPr>
      <w:r>
        <w:rPr>
          <w:rFonts w:ascii="Times New Roman" w:cs="Times New Roman" w:eastAsia="Times New Roman" w:hAnsi="Times New Roman"/>
          <w:b/>
          <w:bCs/>
          <w:i/>
          <w:iCs/>
          <w:sz w:val="24"/>
          <w:szCs w:val="24"/>
        </w:rPr>
        <w:t xml:space="preserve">Stage 4: Deep learning models</w:t>
      </w:r>
    </w:p>
    <w:p>
      <w:pPr>
        <w:spacing w:after="140" w:line="360"/>
        <w:ind w:firstLine="400"/>
        <w:jc w:val="both"/>
      </w:pPr>
      <w:r>
        <w:rPr>
          <w:rFonts w:ascii="Times New Roman" w:cs="Times New Roman" w:eastAsia="Times New Roman" w:hAnsi="Times New Roman"/>
          <w:sz w:val="22"/>
          <w:szCs w:val="22"/>
        </w:rPr>
        <w:t xml:space="preserve">To leverage the longitudinal structure, we constructed temporal sequences from Years 0–4 (5 timepoints × 21 temporal features) augmented with year-to-year delta features (42 features per timepoint total). Three static features (age, family history, genetic risk score) were concatenated after temporal encoding. Three architectures were implemented:</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LSTM+Attention:</w:t>
      </w:r>
      <w:r>
        <w:rPr>
          <w:rFonts w:ascii="Times New Roman" w:cs="Times New Roman" w:eastAsia="Times New Roman" w:hAnsi="Times New Roman"/>
          <w:sz w:val="22"/>
          <w:szCs w:val="22"/>
        </w:rPr>
        <w:t xml:space="preserve"> Bidirectional LSTM (2 layers, hidden dimension 64–128) with a learned attention mechanism producing timepoint-level importance weights. The context vector was concatenated with static features and passed through a two-layer classifier (64→32→1 with ReLU and dropout).</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GRU+Attention:</w:t>
      </w:r>
      <w:r>
        <w:rPr>
          <w:rFonts w:ascii="Times New Roman" w:cs="Times New Roman" w:eastAsia="Times New Roman" w:hAnsi="Times New Roman"/>
          <w:sz w:val="22"/>
          <w:szCs w:val="22"/>
        </w:rPr>
        <w:t xml:space="preserve"> Same architecture with GRU replacing LSTM for reduced parameter count.</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Transformer:</w:t>
      </w:r>
      <w:r>
        <w:rPr>
          <w:rFonts w:ascii="Times New Roman" w:cs="Times New Roman" w:eastAsia="Times New Roman" w:hAnsi="Times New Roman"/>
          <w:sz w:val="22"/>
          <w:szCs w:val="22"/>
        </w:rPr>
        <w:t xml:space="preserve"> Sinusoidal positional encoding, TransformerEncoder (1–4 layers, d_model=64–192, 2–8 attention heads), CLS token pooling with attention, followed by a GELU-activated classifier.</w:t>
      </w:r>
    </w:p>
    <w:p>
      <w:pPr>
        <w:spacing w:after="140" w:line="360"/>
        <w:ind w:firstLine="400"/>
        <w:jc w:val="both"/>
      </w:pPr>
      <w:r>
        <w:rPr>
          <w:rFonts w:ascii="Times New Roman" w:cs="Times New Roman" w:eastAsia="Times New Roman" w:hAnsi="Times New Roman"/>
          <w:sz w:val="22"/>
          <w:szCs w:val="22"/>
        </w:rPr>
        <w:t xml:space="preserve">All models used BCEWithLogitsLoss with positive class weighting, AdamW optimizer with cosine annealing, and gradient clipping (max_norm=1.0). Hyperparameters were tuned via Optuna (20 trials, 30 epochs each), with final models trained for 80 epochs. An XGBoost snapshot model trained on Year 4 features served as the non-temporal baseline. A DL ensemble averaged predictions from all three architectures. Bootstrap 95% confidence intervals for AUC were computed from 1,000 resamples.</w:t>
      </w:r>
    </w:p>
    <w:p>
      <w:pPr>
        <w:pStyle w:val="Heading2"/>
        <w:spacing w:after="160" w:before="280"/>
      </w:pPr>
      <w:r>
        <w:rPr>
          <w:rFonts w:ascii="Times New Roman" w:cs="Times New Roman" w:eastAsia="Times New Roman" w:hAnsi="Times New Roman"/>
          <w:b/>
          <w:bCs/>
          <w:i/>
          <w:iCs/>
          <w:sz w:val="24"/>
          <w:szCs w:val="24"/>
        </w:rPr>
        <w:t xml:space="preserve">Stage 5: SHAP interpretability</w:t>
      </w:r>
    </w:p>
    <w:p>
      <w:pPr>
        <w:spacing w:after="140" w:line="360"/>
        <w:ind w:firstLine="400"/>
        <w:jc w:val="both"/>
      </w:pPr>
      <w:r>
        <w:rPr>
          <w:rFonts w:ascii="Times New Roman" w:cs="Times New Roman" w:eastAsia="Times New Roman" w:hAnsi="Times New Roman"/>
          <w:sz w:val="22"/>
          <w:szCs w:val="22"/>
        </w:rPr>
        <w:t xml:space="preserve">SHAP (SHapley Additive exPlanations) values were computed using TreeExplainer on the Optuna-tuned XGBoost model [21]. Global feature importance was assessed via mean absolute SHAP values. Cross-national comparison was performed by computing SHAP values separately for Korean, Chinese, and Other subgroups, enabling direct comparison of risk factor importance across nationalities. Individual-level waterfall plots were generated for representative high-risk and low-risk cases. SHAP dependence plots visualized nonlinear feature–outcome relationships, colored by nationality. SHAP interaction values identified the top feature–feature interaction pairs.</w:t>
      </w:r>
    </w:p>
    <w:p>
      <w:pPr>
        <w:pStyle w:val="Heading2"/>
        <w:spacing w:after="160" w:before="280"/>
      </w:pPr>
      <w:r>
        <w:rPr>
          <w:rFonts w:ascii="Times New Roman" w:cs="Times New Roman" w:eastAsia="Times New Roman" w:hAnsi="Times New Roman"/>
          <w:b/>
          <w:bCs/>
          <w:i/>
          <w:iCs/>
          <w:sz w:val="24"/>
          <w:szCs w:val="24"/>
        </w:rPr>
        <w:t xml:space="preserve">Clinical translation</w:t>
      </w:r>
    </w:p>
    <w:p>
      <w:pPr>
        <w:spacing w:after="140" w:line="360"/>
        <w:ind w:firstLine="400"/>
        <w:jc w:val="both"/>
      </w:pPr>
      <w:r>
        <w:rPr>
          <w:rFonts w:ascii="Times New Roman" w:cs="Times New Roman" w:eastAsia="Times New Roman" w:hAnsi="Times New Roman"/>
          <w:sz w:val="22"/>
          <w:szCs w:val="22"/>
        </w:rPr>
        <w:t xml:space="preserve">A real-time web-based clinical dashboard was developed using HTML5, JavaScript, Chart.js, and PapaParse, deployed on Vercel (https://ebp-diabetes-prediction.vercel.app). The dashboard allows clinicians to upload patient CSV data, view cohort-level summaries, individual risk scores, and interactive visualizations. Companion native mobile applications were developed for iOS (SwiftUI + WKWebView) and Android (Java + WebView) to enable point-of-care access.</w:t>
      </w:r>
    </w:p>
    <w:p>
      <w:pPr>
        <w:pStyle w:val="Heading2"/>
        <w:spacing w:after="160" w:before="280"/>
      </w:pPr>
      <w:r>
        <w:rPr>
          <w:rFonts w:ascii="Times New Roman" w:cs="Times New Roman" w:eastAsia="Times New Roman" w:hAnsi="Times New Roman"/>
          <w:b/>
          <w:bCs/>
          <w:i/>
          <w:iCs/>
          <w:sz w:val="24"/>
          <w:szCs w:val="24"/>
        </w:rPr>
        <w:t xml:space="preserve">Statistical software</w:t>
      </w:r>
    </w:p>
    <w:p>
      <w:pPr>
        <w:spacing w:after="140" w:line="360"/>
        <w:ind w:firstLine="400"/>
        <w:jc w:val="both"/>
      </w:pPr>
      <w:r>
        <w:rPr>
          <w:rFonts w:ascii="Times New Roman" w:cs="Times New Roman" w:eastAsia="Times New Roman" w:hAnsi="Times New Roman"/>
          <w:sz w:val="22"/>
          <w:szCs w:val="22"/>
        </w:rPr>
        <w:t xml:space="preserve">All analyses were performed using Python 3.10 with scikit-learn 1.3, XGBoost 2.0, PyTorch 2.1, lifelines 0.27, SHAP 0.43, Optuna 3.4, and SciPy 1.11. Statistical significance was set at p &lt; 0.05 (two-tailed).</w:t>
      </w:r>
    </w:p>
    <w:p>
      <w:r>
        <w:br w:type="page"/>
      </w:r>
    </w:p>
    <w:p>
      <w:pPr>
        <w:pStyle w:val="Heading1"/>
        <w:spacing w:after="200" w:before="360"/>
      </w:pPr>
      <w:r>
        <w:rPr>
          <w:rFonts w:ascii="Times New Roman" w:cs="Times New Roman" w:eastAsia="Times New Roman" w:hAnsi="Times New Roman"/>
          <w:b/>
          <w:bCs/>
          <w:sz w:val="28"/>
          <w:szCs w:val="28"/>
        </w:rPr>
        <w:t xml:space="preserve">Results</w:t>
      </w:r>
    </w:p>
    <w:p>
      <w:pPr>
        <w:pStyle w:val="Heading2"/>
        <w:spacing w:after="160" w:before="280"/>
      </w:pPr>
      <w:r>
        <w:rPr>
          <w:rFonts w:ascii="Times New Roman" w:cs="Times New Roman" w:eastAsia="Times New Roman" w:hAnsi="Times New Roman"/>
          <w:b/>
          <w:bCs/>
          <w:i/>
          <w:iCs/>
          <w:sz w:val="24"/>
          <w:szCs w:val="24"/>
        </w:rPr>
        <w:t xml:space="preserve">Cohort characteristics</w:t>
      </w:r>
    </w:p>
    <w:p>
      <w:pPr>
        <w:spacing w:after="140" w:line="360"/>
        <w:ind w:firstLine="400"/>
        <w:jc w:val="both"/>
      </w:pPr>
      <w:r>
        <w:rPr>
          <w:rFonts w:ascii="Times New Roman" w:cs="Times New Roman" w:eastAsia="Times New Roman" w:hAnsi="Times New Roman"/>
          <w:sz w:val="22"/>
          <w:szCs w:val="22"/>
        </w:rPr>
        <w:t xml:space="preserve">Among 10,000 participants, 791 (7.91%) developed diabetes during 5-year follow-up. Table 1 presents baseline characteristics stratified by diabetes status. Participants who developed diabetes had significantly higher baseline BMI (25.46 vs. 24.43, Cohen’s d=0.296, p&lt;0.001), HbA1c (5.48% vs. 5.39%, d=0.229, p&lt;0.001), fasting glucose (93.33 vs. 91.86 mg/dL, d=0.140, p&lt;0.001), genetic risk score (51.83 vs. 49.84, d=0.132, p&lt;0.001), and age (45.66 vs. 44.47, d=0.101, p=0.007). No significant cross-national differences were detected across any measured biomarkers by one-way ANOVA (all p&gt;0.05, all η²&lt;0.001), suggesting comparable baseline characteristics across nationality groups.</w:t>
      </w:r>
    </w:p>
    <w:p>
      <w:pPr>
        <w:spacing w:after="200"/>
      </w:pPr>
    </w:p>
    <w:p>
      <w:pPr>
        <w:spacing w:after="100"/>
      </w:pPr>
      <w:r>
        <w:rPr>
          <w:rFonts w:ascii="Times New Roman" w:cs="Times New Roman" w:eastAsia="Times New Roman" w:hAnsi="Times New Roman"/>
          <w:b/>
          <w:bCs/>
          <w:sz w:val="20"/>
          <w:szCs w:val="20"/>
        </w:rPr>
        <w:t xml:space="preserve">Table 1. Baseline characteristics by diabetes onset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200"/>
        <w:gridCol w:w="1100"/>
        <w:gridCol w:w="926"/>
      </w:tblGrid>
      <w:tr>
        <w:tc>
          <w:tcPr>
            <w:tcW w:type="dxa" w:w="2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Variable</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Non-DM (mean)</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DM (mean)</w:t>
            </w:r>
          </w:p>
        </w:tc>
        <w:tc>
          <w:tcPr>
            <w:tcW w:type="dxa" w:w="1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Cohen’s d</w:t>
            </w:r>
          </w:p>
        </w:tc>
        <w:tc>
          <w:tcPr>
            <w:tcW w:type="dxa" w:w="11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c>
          <w:tcPr>
            <w:tcW w:type="dxa" w:w="9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BMI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24.43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0.296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HbA1c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5.39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5.48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Fasting glucose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91.86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93.33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Genetic risk score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49.84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44.47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45.66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Waist circumference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81.32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0.904</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HOMA-IR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0.980</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Systolic BP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119.84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120.42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0.187</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ns</w:t>
            </w:r>
          </w:p>
        </w:tc>
      </w:tr>
    </w:tbl>
    <w:p>
      <w:pPr>
        <w:spacing w:after="80"/>
      </w:pPr>
      <w:r>
        <w:rPr>
          <w:rFonts w:ascii="Times New Roman" w:cs="Times New Roman" w:eastAsia="Times New Roman" w:hAnsi="Times New Roman"/>
          <w:i/>
          <w:iCs/>
          <w:sz w:val="18"/>
          <w:szCs w:val="18"/>
        </w:rPr>
        <w:t xml:space="preserve">DM = diabetes mellitus; ***p&lt;0.001, **p&lt;0.01, ns = not significant.</w:t>
      </w:r>
    </w:p>
    <w:p>
      <w:pPr>
        <w:spacing w:after="200"/>
      </w:pPr>
    </w:p>
    <w:p>
      <w:pPr>
        <w:pStyle w:val="Heading2"/>
        <w:spacing w:after="160" w:before="280"/>
      </w:pPr>
      <w:r>
        <w:rPr>
          <w:rFonts w:ascii="Times New Roman" w:cs="Times New Roman" w:eastAsia="Times New Roman" w:hAnsi="Times New Roman"/>
          <w:b/>
          <w:bCs/>
          <w:i/>
          <w:iCs/>
          <w:sz w:val="24"/>
          <w:szCs w:val="24"/>
        </w:rPr>
        <w:t xml:space="preserve">Survival analysis</w:t>
      </w:r>
    </w:p>
    <w:p>
      <w:pPr>
        <w:spacing w:after="140" w:line="360"/>
        <w:ind w:firstLine="400"/>
        <w:jc w:val="both"/>
      </w:pPr>
      <w:r>
        <w:rPr>
          <w:rFonts w:ascii="Times New Roman" w:cs="Times New Roman" w:eastAsia="Times New Roman" w:hAnsi="Times New Roman"/>
          <w:sz w:val="22"/>
          <w:szCs w:val="22"/>
        </w:rPr>
        <w:t xml:space="preserve">The Cox proportional hazards model demonstrated moderate discriminative ability (concordance index = 0.638). Table 2 presents the hazard ratios for significant predictors. Family history of diabetes was the strongest predictor (HR=1.704, 95% CI: 1.479–1.963, p&lt;0.001), followed by BMI (HR=1.336, 1.246–1.432, p&lt;0.001), HbA1c (HR=1.253, 1.168–1.344, p&lt;0.001), fasting glucose (HR=1.157, 1.075–1.244, p&lt;0.001), genetic risk score (HR=1.129, 1.052–1.211, p&lt;0.001), and age (HR=1.093, 1.020–1.172, p=0.012). Time-dependent AUC peaked at 24 months (0.672) and decreased to 0.647 at 48 months, suggesting optimal short-to-medium-term discrimination.</w:t>
      </w:r>
    </w:p>
    <w:p>
      <w:pPr>
        <w:spacing w:after="200"/>
      </w:pPr>
    </w:p>
    <w:p>
      <w:pPr>
        <w:spacing w:after="100"/>
      </w:pPr>
      <w:r>
        <w:rPr>
          <w:rFonts w:ascii="Times New Roman" w:cs="Times New Roman" w:eastAsia="Times New Roman" w:hAnsi="Times New Roman"/>
          <w:b/>
          <w:bCs/>
          <w:sz w:val="20"/>
          <w:szCs w:val="20"/>
        </w:rPr>
        <w:t xml:space="preserve">Table 2. Cox proportional hazards regression: significant predictors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400"/>
        <w:gridCol w:w="926"/>
        <w:gridCol w:w="900"/>
      </w:tblGrid>
      <w:tr>
        <w:tc>
          <w:tcPr>
            <w:tcW w:type="dxa" w:w="2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Covariate</w:t>
            </w:r>
          </w:p>
        </w:tc>
        <w:tc>
          <w:tcPr>
            <w:tcW w:type="dxa" w:w="1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Coef.</w:t>
            </w:r>
          </w:p>
        </w:tc>
        <w:tc>
          <w:tcPr>
            <w:tcW w:type="dxa" w:w="1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HR</w:t>
            </w:r>
          </w:p>
        </w:tc>
        <w:tc>
          <w:tcPr>
            <w:tcW w:type="dxa" w:w="2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 CI</w:t>
            </w:r>
          </w:p>
        </w:tc>
        <w:tc>
          <w:tcPr>
            <w:tcW w:type="dxa" w:w="9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c>
          <w:tcPr>
            <w:tcW w:type="dxa" w:w="9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Family history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[1.479–1.963]</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BMI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0.289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1.336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[1.246–1.432]</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HbA1c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1.253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[1.168–1.344]</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Fasting glucose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1.157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[1.075–1.244]</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Genetic 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[1.052–1.211]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1.093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[1.020–1.172]</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bl>
    <w:p>
      <w:pPr>
        <w:spacing w:after="80"/>
      </w:pPr>
      <w:r>
        <w:rPr>
          <w:rFonts w:ascii="Times New Roman" w:cs="Times New Roman" w:eastAsia="Times New Roman" w:hAnsi="Times New Roman"/>
          <w:i/>
          <w:iCs/>
          <w:sz w:val="18"/>
          <w:szCs w:val="18"/>
        </w:rPr>
        <w:t xml:space="preserve">HR = hazard ratio; CI = confidence interval; covariates standardized (z-score); ***p&lt;0.001, **p&lt;0.01.</w:t>
      </w:r>
    </w:p>
    <w:p>
      <w:pPr>
        <w:spacing w:after="200"/>
      </w:pPr>
    </w:p>
    <w:p>
      <w:pPr>
        <w:pStyle w:val="Heading2"/>
        <w:spacing w:after="160" w:before="280"/>
      </w:pPr>
      <w:r>
        <w:rPr>
          <w:rFonts w:ascii="Times New Roman" w:cs="Times New Roman" w:eastAsia="Times New Roman" w:hAnsi="Times New Roman"/>
          <w:b/>
          <w:bCs/>
          <w:i/>
          <w:iCs/>
          <w:sz w:val="24"/>
          <w:szCs w:val="24"/>
        </w:rPr>
        <w:t xml:space="preserve">Machine learning model performance</w:t>
      </w:r>
    </w:p>
    <w:p>
      <w:pPr>
        <w:spacing w:after="140" w:line="360"/>
        <w:ind w:firstLine="400"/>
        <w:jc w:val="both"/>
      </w:pPr>
      <w:r>
        <w:rPr>
          <w:rFonts w:ascii="Times New Roman" w:cs="Times New Roman" w:eastAsia="Times New Roman" w:hAnsi="Times New Roman"/>
          <w:sz w:val="22"/>
          <w:szCs w:val="22"/>
        </w:rPr>
        <w:t xml:space="preserve">Table 3 presents the performance of traditional ML models. The Optuna-tuned XGBoost achieved the highest AUC of 0.651 (95% CI: 0.631–0.670) and best calibration (Brier score=0.078). Random Forest achieved AUC=0.623 and Logistic Regression AUC=0.619. Hyperparameter optimization via Optuna improved XGBoost AUC from 0.614 (default) to 0.651 (+6.0% relative improvement). The XGBoost feature importance analysis identified HbA1c (importance=0.139), BMI (0.125), and family history of diabetes (0.114) as the top three predictors.</w:t>
      </w:r>
    </w:p>
    <w:p>
      <w:pPr>
        <w:spacing w:after="100"/>
      </w:pPr>
    </w:p>
    <w:p>
      <w:pPr>
        <w:spacing w:after="100"/>
      </w:pPr>
      <w:r>
        <w:rPr>
          <w:rFonts w:ascii="Times New Roman" w:cs="Times New Roman" w:eastAsia="Times New Roman" w:hAnsi="Times New Roman"/>
          <w:b/>
          <w:bCs/>
          <w:sz w:val="20"/>
          <w:szCs w:val="20"/>
        </w:rPr>
        <w:t xml:space="preserve">Table 3. Machine learning model performance (5-fold stratified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20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AUC</w:t>
            </w:r>
          </w:p>
        </w:tc>
        <w:tc>
          <w:tcPr>
            <w:tcW w:type="dxa" w:w="20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AP</w:t>
            </w:r>
          </w:p>
        </w:tc>
        <w:tc>
          <w:tcPr>
            <w:tcW w:type="dxa" w:w="20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Brier Score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Logistic Regression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0.123</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0.235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Random Forest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0.119</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XGBoost (default)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0.114</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XGBoost (Optuna-tuned)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0.651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0.078</w:t>
            </w:r>
          </w:p>
        </w:tc>
      </w:tr>
    </w:tbl>
    <w:p>
      <w:pPr>
        <w:spacing w:after="80"/>
      </w:pPr>
      <w:r>
        <w:rPr>
          <w:rFonts w:ascii="Times New Roman" w:cs="Times New Roman" w:eastAsia="Times New Roman" w:hAnsi="Times New Roman"/>
          <w:i/>
          <w:iCs/>
          <w:sz w:val="18"/>
          <w:szCs w:val="18"/>
        </w:rPr>
        <w:t xml:space="preserve">AUC = area under ROC curve; AP = average precision; lower Brier score indicates better calibration.</w:t>
      </w:r>
    </w:p>
    <w:p>
      <w:pPr>
        <w:spacing w:after="200"/>
      </w:pPr>
    </w:p>
    <w:p>
      <w:pPr>
        <w:pStyle w:val="Heading2"/>
        <w:spacing w:after="160" w:before="280"/>
      </w:pPr>
      <w:r>
        <w:rPr>
          <w:rFonts w:ascii="Times New Roman" w:cs="Times New Roman" w:eastAsia="Times New Roman" w:hAnsi="Times New Roman"/>
          <w:b/>
          <w:bCs/>
          <w:i/>
          <w:iCs/>
          <w:sz w:val="24"/>
          <w:szCs w:val="24"/>
        </w:rPr>
        <w:t xml:space="preserve">Deep learning model performance</w:t>
      </w:r>
    </w:p>
    <w:p>
      <w:pPr>
        <w:spacing w:after="140" w:line="360"/>
        <w:ind w:firstLine="400"/>
        <w:jc w:val="both"/>
      </w:pPr>
      <w:r>
        <w:rPr>
          <w:rFonts w:ascii="Times New Roman" w:cs="Times New Roman" w:eastAsia="Times New Roman" w:hAnsi="Times New Roman"/>
          <w:sz w:val="22"/>
          <w:szCs w:val="22"/>
        </w:rPr>
        <w:t xml:space="preserve">Table 4 presents DL model performance on the held-out test set. The XGBoost snapshot baseline (using Year 4 features only) achieved the highest AUC of 0.661 (95% CI: 0.615–0.705). Among temporal DL models, GRU+Attention achieved AUC=0.637 (0.592–0.681), followed by LSTM+Attention (0.631, 0.587–0.674) and Transformer (0.621, 0.576–0.666). The DL ensemble (averaging three DL models) achieved AUC=0.641. Temporal DL models did not significantly outperform the snapshot XGBoost baseline, suggesting that cross-sectional risk factors captured at a single timepoint are the dominant predictors in this cohort.</w:t>
      </w:r>
    </w:p>
    <w:p>
      <w:pPr>
        <w:spacing w:after="100"/>
      </w:pPr>
    </w:p>
    <w:p>
      <w:pPr>
        <w:spacing w:after="100"/>
      </w:pPr>
      <w:r>
        <w:rPr>
          <w:rFonts w:ascii="Times New Roman" w:cs="Times New Roman" w:eastAsia="Times New Roman" w:hAnsi="Times New Roman"/>
          <w:b/>
          <w:bCs/>
          <w:sz w:val="20"/>
          <w:szCs w:val="20"/>
        </w:rPr>
        <w:t xml:space="preserve">Table 4. Deep learning model performance (test set with bootstrap 95%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426"/>
      </w:tblGrid>
      <w:tr>
        <w:tc>
          <w:tcPr>
            <w:tcW w:type="dxa" w:w="2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AUC</w:t>
            </w:r>
          </w:p>
        </w:tc>
        <w:tc>
          <w:tcPr>
            <w:tcW w:type="dxa" w:w="28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 CI</w:t>
            </w:r>
          </w:p>
        </w:tc>
        <w:tc>
          <w:tcPr>
            <w:tcW w:type="dxa" w:w="24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XGBoost-snapshot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0.661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[0.615–0.705]</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DL-Ensemble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[0.597–0.685]</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GRU+Attention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[0.592–0.681]</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LSTM+Attention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[0.587–0.674]</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Transformer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[0.576–0.666]</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r>
    </w:tbl>
    <w:p>
      <w:pPr>
        <w:spacing w:after="200"/>
      </w:pPr>
    </w:p>
    <w:p>
      <w:pPr>
        <w:pStyle w:val="Heading2"/>
        <w:spacing w:after="160" w:before="280"/>
      </w:pPr>
      <w:r>
        <w:rPr>
          <w:rFonts w:ascii="Times New Roman" w:cs="Times New Roman" w:eastAsia="Times New Roman" w:hAnsi="Times New Roman"/>
          <w:b/>
          <w:bCs/>
          <w:i/>
          <w:iCs/>
          <w:sz w:val="24"/>
          <w:szCs w:val="24"/>
        </w:rPr>
        <w:t xml:space="preserve">SHAP-based cross-national interpretability</w:t>
      </w:r>
    </w:p>
    <w:p>
      <w:pPr>
        <w:spacing w:after="140" w:line="360"/>
        <w:ind w:firstLine="400"/>
        <w:jc w:val="both"/>
      </w:pPr>
      <w:r>
        <w:rPr>
          <w:rFonts w:ascii="Times New Roman" w:cs="Times New Roman" w:eastAsia="Times New Roman" w:hAnsi="Times New Roman"/>
          <w:sz w:val="22"/>
          <w:szCs w:val="22"/>
        </w:rPr>
        <w:t xml:space="preserve">SHAP analysis of the Optuna-tuned XGBoost model revealed remarkably consistent risk factor rankings across nationalities (Table 5). BMI was the dominant predictor across all groups (Korean: 0.173, Chinese: 0.172, Other: 0.172), followed by family history of diabetes (Korean: 0.137, Chinese: 0.136, Other: 0.138) and HbA1c (Korean: 0.130, Chinese: 0.134, Other: 0.130). The nationality indicator variables themselves contributed minimally (nat_Korean SHAP=0.0009, nat_Chinese=0.0007), confirming that individual-level clinical risk factors—rather than nationality per se—drive diabetes prediction in this multi-ethnic cohort.</w:t>
      </w:r>
    </w:p>
    <w:p>
      <w:pPr>
        <w:spacing w:after="100"/>
      </w:pPr>
    </w:p>
    <w:p>
      <w:pPr>
        <w:spacing w:after="100"/>
      </w:pPr>
      <w:r>
        <w:rPr>
          <w:rFonts w:ascii="Times New Roman" w:cs="Times New Roman" w:eastAsia="Times New Roman" w:hAnsi="Times New Roman"/>
          <w:b/>
          <w:bCs/>
          <w:sz w:val="20"/>
          <w:szCs w:val="20"/>
        </w:rPr>
        <w:t xml:space="preserve">Table 5. Cross-national SHAP feature importance comparison (mean |SHAP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1400"/>
        <w:gridCol w:w="1400"/>
        <w:gridCol w:w="1026"/>
      </w:tblGrid>
      <w:tr>
        <w:tc>
          <w:tcPr>
            <w:tcW w:type="dxa" w:w="10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Rank</w:t>
            </w:r>
          </w:p>
        </w:tc>
        <w:tc>
          <w:tcPr>
            <w:tcW w:type="dxa" w:w="28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Feature</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Korean</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Chinese</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Other</w:t>
            </w:r>
          </w:p>
        </w:tc>
        <w:tc>
          <w:tcPr>
            <w:tcW w:type="dxa" w:w="10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BMI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0.172</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Family history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0.138</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0.137</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HbA1c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Fasting glucose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bCs/>
                <w:sz w:val="20"/>
                <w:szCs w:val="20"/>
              </w:rPr>
              <w:t xml:space="preserve">Genetic risk 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0.042</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Diastolic BP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0.020</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0.019</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Physical activity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0.012</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0.012</w:t>
            </w:r>
          </w:p>
        </w:tc>
      </w:tr>
    </w:tbl>
    <w:p>
      <w:r>
        <w:br w:type="page"/>
      </w:r>
    </w:p>
    <w:p>
      <w:pPr>
        <w:pStyle w:val="Heading1"/>
        <w:spacing w:after="200" w:before="360"/>
      </w:pPr>
      <w:r>
        <w:rPr>
          <w:rFonts w:ascii="Times New Roman" w:cs="Times New Roman" w:eastAsia="Times New Roman" w:hAnsi="Times New Roman"/>
          <w:b/>
          <w:bCs/>
          <w:sz w:val="28"/>
          <w:szCs w:val="28"/>
        </w:rPr>
        <w:t xml:space="preserve">Discussion</w:t>
      </w:r>
    </w:p>
    <w:p>
      <w:pPr>
        <w:pStyle w:val="Heading2"/>
        <w:spacing w:after="160" w:before="280"/>
      </w:pPr>
      <w:r>
        <w:rPr>
          <w:rFonts w:ascii="Times New Roman" w:cs="Times New Roman" w:eastAsia="Times New Roman" w:hAnsi="Times New Roman"/>
          <w:b/>
          <w:bCs/>
          <w:i/>
          <w:iCs/>
          <w:sz w:val="24"/>
          <w:szCs w:val="24"/>
        </w:rPr>
        <w:t xml:space="preserve">Principal findings</w:t>
      </w:r>
    </w:p>
    <w:p>
      <w:pPr>
        <w:spacing w:after="140" w:line="360"/>
        <w:ind w:firstLine="400"/>
        <w:jc w:val="both"/>
      </w:pPr>
      <w:r>
        <w:rPr>
          <w:rFonts w:ascii="Times New Roman" w:cs="Times New Roman" w:eastAsia="Times New Roman" w:hAnsi="Times New Roman"/>
          <w:sz w:val="22"/>
          <w:szCs w:val="22"/>
        </w:rPr>
        <w:t xml:space="preserve">This study presents a comprehensive, multi-method framework for cross-national diabetes risk prediction in East Asian populations. Our key findings are threefold. First, SHAP-based interpretability analysis revealed remarkably consistent risk factor rankings across Korean, Chinese, and Other East Asian populations, with BMI, family history, and HbA1c emerging as universally dominant predictors. Second, the Optuna-tuned XGBoost model achieved moderate but clinically informative discrimination (AUC=0.651), comparable to existing diabetes risk prediction tools [22, 23]. Third, temporal DL models did not significantly outperform snapshot-based ML approaches, suggesting that cross-sectional risk profiles adequately capture diabetes risk in this cohort.</w:t>
      </w:r>
    </w:p>
    <w:p>
      <w:pPr>
        <w:pStyle w:val="Heading2"/>
        <w:spacing w:after="160" w:before="280"/>
      </w:pPr>
      <w:r>
        <w:rPr>
          <w:rFonts w:ascii="Times New Roman" w:cs="Times New Roman" w:eastAsia="Times New Roman" w:hAnsi="Times New Roman"/>
          <w:b/>
          <w:bCs/>
          <w:i/>
          <w:iCs/>
          <w:sz w:val="24"/>
          <w:szCs w:val="24"/>
        </w:rPr>
        <w:t xml:space="preserve">Comparison with existing literature</w:t>
      </w:r>
    </w:p>
    <w:p>
      <w:pPr>
        <w:spacing w:after="140" w:line="360"/>
        <w:ind w:firstLine="400"/>
        <w:jc w:val="both"/>
      </w:pPr>
      <w:r>
        <w:rPr>
          <w:rFonts w:ascii="Times New Roman" w:cs="Times New Roman" w:eastAsia="Times New Roman" w:hAnsi="Times New Roman"/>
          <w:sz w:val="22"/>
          <w:szCs w:val="22"/>
        </w:rPr>
        <w:t xml:space="preserve">Our finding that BMI is the strongest individual predictor (SHAP=0.172) is consistent with extensive epidemiological evidence linking adiposity to T2DM, particularly in East Asian populations where diabetes risk increases at lower BMI thresholds compared to Western populations [4, 20]. The strong predictive role of family history (HR=1.704) aligns with previous genetic epidemiology studies estimating a 2–3-fold increased risk among first-degree relatives of diabetic individuals [3].</w:t>
      </w:r>
    </w:p>
    <w:p>
      <w:pPr>
        <w:spacing w:after="140" w:line="360"/>
        <w:ind w:firstLine="400"/>
        <w:jc w:val="both"/>
      </w:pPr>
      <w:r>
        <w:rPr>
          <w:rFonts w:ascii="Times New Roman" w:cs="Times New Roman" w:eastAsia="Times New Roman" w:hAnsi="Times New Roman"/>
          <w:sz w:val="22"/>
          <w:szCs w:val="22"/>
        </w:rPr>
        <w:t xml:space="preserve">The moderate AUC values observed (0.62–0.66) are consistent with recent meta-analyses of ML-based diabetes prediction models. Zhang et al. [26] reported pooled AUC values of 0.82 for gestational diabetes prediction, though general T2DM prediction from baseline clinical features typically yields AUC values in the 0.60–0.75 range, particularly in population-based cohorts with low event rates [7, 24]. Our 7.91% diabetes incidence rate, while clinically realistic, poses challenges for discriminative models, as reflected in the low average precision scores (AP=0.12–0.16).</w:t>
      </w:r>
    </w:p>
    <w:p>
      <w:pPr>
        <w:spacing w:after="140" w:line="360"/>
        <w:ind w:firstLine="400"/>
        <w:jc w:val="both"/>
      </w:pPr>
      <w:r>
        <w:rPr>
          <w:rFonts w:ascii="Times New Roman" w:cs="Times New Roman" w:eastAsia="Times New Roman" w:hAnsi="Times New Roman"/>
          <w:sz w:val="22"/>
          <w:szCs w:val="22"/>
        </w:rPr>
        <w:t xml:space="preserve">The observation that temporal DL models (LSTM, GRU, Transformer) did not outperform snapshot XGBoost is noteworthy. While Rabby et al. [9] demonstrated strong LSTM performance for continuous glucose prediction, our setting differs fundamentally: we predict a binary outcome from annually-spaced measurements. Soltanizadeh and Naghibi [12] noted similar findings in their review, suggesting that RNN advantages manifest primarily with high-frequency temporal data. In our cohort, year-to-year biomarker changes may be too gradual to provide temporal DL models with an advantage over well-calibrated cross-sectional models.</w:t>
      </w:r>
    </w:p>
    <w:p>
      <w:pPr>
        <w:pStyle w:val="Heading2"/>
        <w:spacing w:after="160" w:before="280"/>
      </w:pPr>
      <w:r>
        <w:rPr>
          <w:rFonts w:ascii="Times New Roman" w:cs="Times New Roman" w:eastAsia="Times New Roman" w:hAnsi="Times New Roman"/>
          <w:b/>
          <w:bCs/>
          <w:i/>
          <w:iCs/>
          <w:sz w:val="24"/>
          <w:szCs w:val="24"/>
        </w:rPr>
        <w:t xml:space="preserve">Cross-national consistency of risk factors</w:t>
      </w:r>
    </w:p>
    <w:p>
      <w:pPr>
        <w:spacing w:after="140" w:line="360"/>
        <w:ind w:firstLine="400"/>
        <w:jc w:val="both"/>
      </w:pPr>
      <w:r>
        <w:rPr>
          <w:rFonts w:ascii="Times New Roman" w:cs="Times New Roman" w:eastAsia="Times New Roman" w:hAnsi="Times New Roman"/>
          <w:sz w:val="22"/>
          <w:szCs w:val="22"/>
        </w:rPr>
        <w:t xml:space="preserve">A central contribution of this study is the systematic cross-national SHAP comparison. The near-identical SHAP rankings across Korean, Chinese, and Other populations (Table 5) are notable, particularly given that prior studies have reported heterogeneity in diabetes risk factor profiles across Asian ethnicities [15, 16]. The negligible SHAP contributions of nationality indicator variables (SHAP&lt;0.001) suggest that, within this East Asian cohort, individual-level metabolic and genetic factors—rather than nationality—are the primary determinants of diabetes risk. This finding has important implications for the development of unified, ethnicity-agnostic prediction tools for multi-ethnic East Asian healthcare settings [25].</w:t>
      </w:r>
    </w:p>
    <w:p>
      <w:pPr>
        <w:pStyle w:val="Heading2"/>
        <w:spacing w:after="160" w:before="280"/>
      </w:pPr>
      <w:r>
        <w:rPr>
          <w:rFonts w:ascii="Times New Roman" w:cs="Times New Roman" w:eastAsia="Times New Roman" w:hAnsi="Times New Roman"/>
          <w:b/>
          <w:bCs/>
          <w:i/>
          <w:iCs/>
          <w:sz w:val="24"/>
          <w:szCs w:val="24"/>
        </w:rPr>
        <w:t xml:space="preserve">Clinical translation and decision support</w:t>
      </w:r>
    </w:p>
    <w:p>
      <w:pPr>
        <w:spacing w:after="140" w:line="360"/>
        <w:ind w:firstLine="400"/>
        <w:jc w:val="both"/>
      </w:pPr>
      <w:r>
        <w:rPr>
          <w:rFonts w:ascii="Times New Roman" w:cs="Times New Roman" w:eastAsia="Times New Roman" w:hAnsi="Times New Roman"/>
          <w:sz w:val="22"/>
          <w:szCs w:val="22"/>
        </w:rPr>
        <w:t xml:space="preserve">The development of a web-based dashboard and companion mobile applications represents an important step toward translational implementation. Previous studies have highlighted the gap between ML model development and clinical deployment [18, 19, 22]. Our dashboard enables clinicians to upload patient data, view population-level summaries, and obtain individual risk assessments in real time. Du et al. [23] demonstrated similar approaches for gestational diabetes, and our work extends this paradigm to longitudinal multi-ethnic T2DM prediction. The mobile applications (iOS/Android) further enhance accessibility for point-of-care use in diverse clinical environments.</w:t>
      </w:r>
    </w:p>
    <w:p>
      <w:pPr>
        <w:pStyle w:val="Heading2"/>
        <w:spacing w:after="160" w:before="280"/>
      </w:pPr>
      <w:r>
        <w:rPr>
          <w:rFonts w:ascii="Times New Roman" w:cs="Times New Roman" w:eastAsia="Times New Roman" w:hAnsi="Times New Roman"/>
          <w:b/>
          <w:bCs/>
          <w:i/>
          <w:iCs/>
          <w:sz w:val="24"/>
          <w:szCs w:val="24"/>
        </w:rPr>
        <w:t xml:space="preserve">Strengths and limitations</w:t>
      </w:r>
    </w:p>
    <w:p>
      <w:pPr>
        <w:spacing w:after="140" w:line="360"/>
        <w:ind w:firstLine="400"/>
        <w:jc w:val="both"/>
      </w:pPr>
      <w:r>
        <w:rPr>
          <w:rFonts w:ascii="Times New Roman" w:cs="Times New Roman" w:eastAsia="Times New Roman" w:hAnsi="Times New Roman"/>
          <w:sz w:val="22"/>
          <w:szCs w:val="22"/>
        </w:rPr>
        <w:t xml:space="preserve">This study has several strengths: (1) a large, multi-national cohort with 5-year longitudinal follow-up; (2) a comprehensive 35-variable feature set spanning metabolic, genetic, lifestyle, and psychosocial domains; (3) a five-stage analytical pipeline providing complementary statistical, ML, DL, and interpretability insights; (4) systematic SHAP-based cross-national comparison; and (5) practical translation into web and mobile clinical decision support tools.</w:t>
      </w:r>
    </w:p>
    <w:p>
      <w:pPr>
        <w:spacing w:after="140" w:line="360"/>
        <w:ind w:firstLine="400"/>
        <w:jc w:val="both"/>
      </w:pPr>
      <w:r>
        <w:rPr>
          <w:rFonts w:ascii="Times New Roman" w:cs="Times New Roman" w:eastAsia="Times New Roman" w:hAnsi="Times New Roman"/>
          <w:sz w:val="22"/>
          <w:szCs w:val="22"/>
        </w:rPr>
        <w:t xml:space="preserve">However, several limitations should be acknowledged. First, the moderate model performance (AUC=0.65) limits clinical utility for individual-level screening, though the models may be more appropriate for population-level risk stratification. Second, the absence of statistically significant cross-national biomarker differences (ANOVA all p&gt;0.05) may reflect the cohort’s composition. Third, external validation on independent cohorts from different geographic regions and healthcare systems is needed to establish generalizability [28]. Fourth, the 7.91% event rate creates class imbalance challenges, reflected in the low precision and average precision scores. Future work should investigate ensemble approaches, cost-sensitive learning, or threshold optimization strategies for deployment in clinical settings [27, 29].</w:t>
      </w:r>
    </w:p>
    <w:p>
      <w:r>
        <w:br w:type="page"/>
      </w:r>
    </w:p>
    <w:p>
      <w:pPr>
        <w:pStyle w:val="Heading1"/>
        <w:spacing w:after="200" w:before="360"/>
      </w:pPr>
      <w:r>
        <w:rPr>
          <w:rFonts w:ascii="Times New Roman" w:cs="Times New Roman" w:eastAsia="Times New Roman" w:hAnsi="Times New Roman"/>
          <w:b/>
          <w:bCs/>
          <w:sz w:val="28"/>
          <w:szCs w:val="28"/>
        </w:rPr>
        <w:t xml:space="preserve">Conclusions</w:t>
      </w:r>
    </w:p>
    <w:p>
      <w:pPr>
        <w:spacing w:after="140" w:line="360"/>
        <w:ind w:firstLine="400"/>
        <w:jc w:val="both"/>
      </w:pPr>
      <w:r>
        <w:rPr>
          <w:rFonts w:ascii="Times New Roman" w:cs="Times New Roman" w:eastAsia="Times New Roman" w:hAnsi="Times New Roman"/>
          <w:sz w:val="22"/>
          <w:szCs w:val="22"/>
        </w:rPr>
        <w:t xml:space="preserve">This study developed and validated a comprehensive multi-method framework for cross-national diabetes risk prediction in East Asian populations. The SHAP-based cross-national analysis demonstrated that diabetes risk factors are largely consistent across Korean, Chinese, and Other East Asian nationalities, with BMI, family history, and HbA1c serving as universally dominant predictors. The Optuna-tuned XGBoost model achieved the best overall performance (AUC=0.651), while temporal DL models provided complementary but not superior discrimination. The integration of interpretable ML with practical clinical tools (web dashboard and mobile applications) supports evidence-based diabetes prevention in multi-ethnic healthcare settings. Future directions include external validation, prospective deployment evaluation, and integration of additional data modalities such as continuous glucose monitoring and electronic health records.</w:t>
      </w:r>
    </w:p>
    <w:p>
      <w:pPr>
        <w:spacing w:after="200"/>
      </w:pPr>
    </w:p>
    <w:p>
      <w:pPr>
        <w:pStyle w:val="Heading1"/>
        <w:spacing w:after="200" w:before="360"/>
      </w:pPr>
      <w:r>
        <w:rPr>
          <w:rFonts w:ascii="Times New Roman" w:cs="Times New Roman" w:eastAsia="Times New Roman" w:hAnsi="Times New Roman"/>
          <w:b/>
          <w:bCs/>
          <w:sz w:val="28"/>
          <w:szCs w:val="28"/>
        </w:rPr>
        <w:t xml:space="preserve">Abbreviations</w:t>
      </w:r>
    </w:p>
    <w:p>
      <w:pPr>
        <w:spacing w:after="140" w:line="360"/>
        <w:jc w:val="both"/>
      </w:pPr>
      <w:r>
        <w:rPr>
          <w:rFonts w:ascii="Times New Roman" w:cs="Times New Roman" w:eastAsia="Times New Roman" w:hAnsi="Times New Roman"/>
          <w:sz w:val="22"/>
          <w:szCs w:val="22"/>
        </w:rPr>
        <w:t xml:space="preserve">AUC: area under the receiver operating characteristic curve; AP: average precision; BMI: body mass index; CI: confidence interval; CRP: C-reactive protein; DL: deep learning; DM: diabetes mellitus; EDA: exploratory data analysis; GRU: gated recurrent unit; HbA1c: glycated hemoglobin; HDL: high-density lipoprotein; HOMA-IR: homeostatic model assessment for insulin resistance; HR: hazard ratio; LDL: low-density lipoprotein; LSTM: long short-term memory; MET: metabolic equivalent of task; ML: machine learning; PHQ-9: Patient Health Questionnaire-9; PSS: Perceived Stress Scale; SHAP: SHapley Additive exPlanations; T2DM: type 2 diabetes mellitus; XAI: explainable artificial intelligence</w:t>
      </w:r>
    </w:p>
    <w:p>
      <w:pPr>
        <w:spacing w:after="200"/>
      </w:pPr>
    </w:p>
    <w:p>
      <w:pPr>
        <w:pStyle w:val="Heading1"/>
        <w:spacing w:after="200" w:before="360"/>
      </w:pPr>
      <w:r>
        <w:rPr>
          <w:rFonts w:ascii="Times New Roman" w:cs="Times New Roman" w:eastAsia="Times New Roman" w:hAnsi="Times New Roman"/>
          <w:b/>
          <w:bCs/>
          <w:sz w:val="28"/>
          <w:szCs w:val="28"/>
        </w:rPr>
        <w:t xml:space="preserve">Availability of data and materials</w:t>
      </w:r>
    </w:p>
    <w:p>
      <w:pPr>
        <w:spacing w:after="140" w:line="360"/>
        <w:jc w:val="both"/>
      </w:pPr>
      <w:r>
        <w:rPr>
          <w:rFonts w:ascii="Times New Roman" w:cs="Times New Roman" w:eastAsia="Times New Roman" w:hAnsi="Times New Roman"/>
          <w:sz w:val="22"/>
          <w:szCs w:val="22"/>
        </w:rPr>
        <w:t xml:space="preserve">The web dashboard is publicly accessible at https://ebp-diabetes-prediction.vercel.app. Source code for the analysis pipeline and mobile applications is available from the corresponding author upon reasonable request.</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00" w:line="320"/>
        <w:ind w:left="400" w:hanging="400"/>
      </w:pPr>
      <w:r>
        <w:rPr>
          <w:rFonts w:ascii="Times New Roman" w:cs="Times New Roman" w:eastAsia="Times New Roman" w:hAnsi="Times New Roman"/>
          <w:sz w:val="20"/>
          <w:szCs w:val="20"/>
        </w:rPr>
        <w:t xml:space="preserve">1. Oikonomou EK, Khera R. Machine learning in precision diabetes care and cardiovascular risk prediction. Cardiovasc Diabetol. 2023;22:259. https://doi.org/10.1186/s12933-023-01985-3</w:t>
      </w:r>
    </w:p>
    <w:p>
      <w:pPr>
        <w:spacing w:after="100" w:line="320"/>
        <w:ind w:left="400" w:hanging="400"/>
      </w:pPr>
      <w:r>
        <w:rPr>
          <w:rFonts w:ascii="Times New Roman" w:cs="Times New Roman" w:eastAsia="Times New Roman" w:hAnsi="Times New Roman"/>
          <w:sz w:val="20"/>
          <w:szCs w:val="20"/>
        </w:rPr>
        <w:t xml:space="preserve">2. Green A, Hede SM, Patterson CC, et al. Type 1 diabetes in 2017: global estimates of incident and prevalent cases in children and adults. Diabetologia. 2021;64(12):2741–2750. https://doi.org/10.1007/s00125-021-05571-8</w:t>
      </w:r>
    </w:p>
    <w:p>
      <w:pPr>
        <w:spacing w:after="100" w:line="320"/>
        <w:ind w:left="400" w:hanging="400"/>
      </w:pPr>
      <w:r>
        <w:rPr>
          <w:rFonts w:ascii="Times New Roman" w:cs="Times New Roman" w:eastAsia="Times New Roman" w:hAnsi="Times New Roman"/>
          <w:sz w:val="20"/>
          <w:szCs w:val="20"/>
        </w:rPr>
        <w:t xml:space="preserve">3. Nomura A, Noguchi M, Kometani M, et al. Artificial Intelligence in Current Diabetes Management and Prediction. Curr Diabetes Rep. 2021;21:61. https://doi.org/10.1007/s11892-021-01423-2</w:t>
      </w:r>
    </w:p>
    <w:p>
      <w:pPr>
        <w:spacing w:after="100" w:line="320"/>
        <w:ind w:left="400" w:hanging="400"/>
      </w:pPr>
      <w:r>
        <w:rPr>
          <w:rFonts w:ascii="Times New Roman" w:cs="Times New Roman" w:eastAsia="Times New Roman" w:hAnsi="Times New Roman"/>
          <w:sz w:val="20"/>
          <w:szCs w:val="20"/>
        </w:rPr>
        <w:t xml:space="preserve">4. GBD 2021 Adult BMI Collaborators. Global, regional, and national prevalence of adult overweight and obesity, 1990–2021. Lancet. 2025;405(10481):813–838. https://doi.org/10.1016/S0140-6736(25)00355-1</w:t>
      </w:r>
    </w:p>
    <w:p>
      <w:pPr>
        <w:spacing w:after="100" w:line="320"/>
        <w:ind w:left="400" w:hanging="400"/>
      </w:pPr>
      <w:r>
        <w:rPr>
          <w:rFonts w:ascii="Times New Roman" w:cs="Times New Roman" w:eastAsia="Times New Roman" w:hAnsi="Times New Roman"/>
          <w:sz w:val="20"/>
          <w:szCs w:val="20"/>
        </w:rPr>
        <w:t xml:space="preserve">5. Ellahham S. Artificial Intelligence: The Future for Diabetes Care. Am J Med. 2020;133(8):895–900. https://doi.org/10.1016/j.amjmed.2020.03.033</w:t>
      </w:r>
    </w:p>
    <w:p>
      <w:pPr>
        <w:spacing w:after="100" w:line="320"/>
        <w:ind w:left="400" w:hanging="400"/>
      </w:pPr>
      <w:r>
        <w:rPr>
          <w:rFonts w:ascii="Times New Roman" w:cs="Times New Roman" w:eastAsia="Times New Roman" w:hAnsi="Times New Roman"/>
          <w:sz w:val="20"/>
          <w:szCs w:val="20"/>
        </w:rPr>
        <w:t xml:space="preserve">6. Tasin I, Nabil TU, Islam S, Khan R. Diabetes prediction using machine learning and explainable AI techniques. Healthc Technol Lett. 2023;10(1–2):1–10. https://doi.org/10.1049/htl2.12039</w:t>
      </w:r>
    </w:p>
    <w:p>
      <w:pPr>
        <w:spacing w:after="100" w:line="320"/>
        <w:ind w:left="400" w:hanging="400"/>
      </w:pPr>
      <w:r>
        <w:rPr>
          <w:rFonts w:ascii="Times New Roman" w:cs="Times New Roman" w:eastAsia="Times New Roman" w:hAnsi="Times New Roman"/>
          <w:sz w:val="20"/>
          <w:szCs w:val="20"/>
        </w:rPr>
        <w:t xml:space="preserve">7. Khokhar PB, Gravino C, Palomba F. Advances in artificial intelligence for diabetes prediction: insights from a systematic literature review. Artif Intell Med. 2025;164:103132. https://doi.org/10.1016/j.artmed.2025.103132</w:t>
      </w:r>
    </w:p>
    <w:p>
      <w:pPr>
        <w:spacing w:after="100" w:line="320"/>
        <w:ind w:left="400" w:hanging="400"/>
      </w:pPr>
      <w:r>
        <w:rPr>
          <w:rFonts w:ascii="Times New Roman" w:cs="Times New Roman" w:eastAsia="Times New Roman" w:hAnsi="Times New Roman"/>
          <w:sz w:val="20"/>
          <w:szCs w:val="20"/>
        </w:rPr>
        <w:t xml:space="preserve">8. Kibria HB, Nahiduzzaman M, Goni MOF, et al. An Ensemble Approach for the Prediction of Diabetes Mellitus Using a Soft Voting Classifier with an Explainable AI. Sensors. 2022;22(19):7268. https://doi.org/10.3390/s22197268</w:t>
      </w:r>
    </w:p>
    <w:p>
      <w:pPr>
        <w:spacing w:after="100" w:line="320"/>
        <w:ind w:left="400" w:hanging="400"/>
      </w:pPr>
      <w:r>
        <w:rPr>
          <w:rFonts w:ascii="Times New Roman" w:cs="Times New Roman" w:eastAsia="Times New Roman" w:hAnsi="Times New Roman"/>
          <w:sz w:val="20"/>
          <w:szCs w:val="20"/>
        </w:rPr>
        <w:t xml:space="preserve">9. Rabby MF, Tu Y, Hossen MI, et al. Stacked LSTM based deep recurrent neural network with kalman smoothing for blood glucose prediction. BMC Med Inform Decis Mak. 2021;21:101. https://doi.org/10.1186/s12911-021-01462-5</w:t>
      </w:r>
    </w:p>
    <w:p>
      <w:pPr>
        <w:spacing w:after="100" w:line="320"/>
        <w:ind w:left="400" w:hanging="400"/>
      </w:pPr>
      <w:r>
        <w:rPr>
          <w:rFonts w:ascii="Times New Roman" w:cs="Times New Roman" w:eastAsia="Times New Roman" w:hAnsi="Times New Roman"/>
          <w:sz w:val="20"/>
          <w:szCs w:val="20"/>
        </w:rPr>
        <w:t xml:space="preserve">10. Toledo-Marin JQ, Ali T, van Rooij T, et al. Prediction of Blood Risk Score in Diabetes Using Deep Neural Networks. J Clin Med. 2023;12(4):1695. https://doi.org/10.3390/jcm12041695</w:t>
      </w:r>
    </w:p>
    <w:p>
      <w:pPr>
        <w:spacing w:after="100" w:line="320"/>
        <w:ind w:left="400" w:hanging="400"/>
      </w:pPr>
      <w:r>
        <w:rPr>
          <w:rFonts w:ascii="Times New Roman" w:cs="Times New Roman" w:eastAsia="Times New Roman" w:hAnsi="Times New Roman"/>
          <w:sz w:val="20"/>
          <w:szCs w:val="20"/>
        </w:rPr>
        <w:t xml:space="preserve">11. Srinivasu PN, Shafi J, Krishna TB, et al. Using Recurrent Neural Networks for Predicting Type-2 Diabetes from Genomic and Tabular Data. Diagnostics. 2022;12(12):3067. https://doi.org/10.3390/diagnostics12123067</w:t>
      </w:r>
    </w:p>
    <w:p>
      <w:pPr>
        <w:spacing w:after="100" w:line="320"/>
        <w:ind w:left="400" w:hanging="400"/>
      </w:pPr>
      <w:r>
        <w:rPr>
          <w:rFonts w:ascii="Times New Roman" w:cs="Times New Roman" w:eastAsia="Times New Roman" w:hAnsi="Times New Roman"/>
          <w:sz w:val="20"/>
          <w:szCs w:val="20"/>
        </w:rPr>
        <w:t xml:space="preserve">12. Soltanizadeh S, Naghibi SS. Hybrid CNN-LSTM for Predicting Diabetes: A Review. Curr Diabetes Rev. 2024;20(7):e201023222410. https://doi.org/10.2174/0115733998261151230925062430</w:t>
      </w:r>
    </w:p>
    <w:p>
      <w:pPr>
        <w:spacing w:after="100" w:line="320"/>
        <w:ind w:left="400" w:hanging="400"/>
      </w:pPr>
      <w:r>
        <w:rPr>
          <w:rFonts w:ascii="Times New Roman" w:cs="Times New Roman" w:eastAsia="Times New Roman" w:hAnsi="Times New Roman"/>
          <w:sz w:val="20"/>
          <w:szCs w:val="20"/>
        </w:rPr>
        <w:t xml:space="preserve">13. Rafie Z, Sedaghat Talab M, Ebrahim Zadeh Koor B, et al. Leveraging XGBoost and explainable AI for accurate prediction of type 2 diabetes. BMC Public Health. 2025;25(1):3688. https://doi.org/10.1186/s12889-025-24953-w</w:t>
      </w:r>
    </w:p>
    <w:p>
      <w:pPr>
        <w:spacing w:after="100" w:line="320"/>
        <w:ind w:left="400" w:hanging="400"/>
      </w:pPr>
      <w:r>
        <w:rPr>
          <w:rFonts w:ascii="Times New Roman" w:cs="Times New Roman" w:eastAsia="Times New Roman" w:hAnsi="Times New Roman"/>
          <w:sz w:val="20"/>
          <w:szCs w:val="20"/>
        </w:rPr>
        <w:t xml:space="preserve">14. Polevikov S. Advancing AI in healthcare: A comprehensive review of best practices. Clin Chim Acta. 2023;548:117519. https://doi.org/10.1016/j.cca.2023.117519</w:t>
      </w:r>
    </w:p>
    <w:p>
      <w:pPr>
        <w:spacing w:after="100" w:line="320"/>
        <w:ind w:left="400" w:hanging="400"/>
      </w:pPr>
      <w:r>
        <w:rPr>
          <w:rFonts w:ascii="Times New Roman" w:cs="Times New Roman" w:eastAsia="Times New Roman" w:hAnsi="Times New Roman"/>
          <w:sz w:val="20"/>
          <w:szCs w:val="20"/>
        </w:rPr>
        <w:t xml:space="preserve">15. Chivese T, Hoegfeldt CA, Werfalli M, et al. IDF Diabetes Atlas: The prevalence of pre-existing diabetes in pregnancy. Diabetes Res Clin Pract. 2022;183:109049. https://doi.org/10.1016/j.diabres.2021.109049</w:t>
      </w:r>
    </w:p>
    <w:p>
      <w:pPr>
        <w:spacing w:after="100" w:line="320"/>
        <w:ind w:left="400" w:hanging="400"/>
      </w:pPr>
      <w:r>
        <w:rPr>
          <w:rFonts w:ascii="Times New Roman" w:cs="Times New Roman" w:eastAsia="Times New Roman" w:hAnsi="Times New Roman"/>
          <w:sz w:val="20"/>
          <w:szCs w:val="20"/>
        </w:rPr>
        <w:t xml:space="preserve">16. Yusufi FNK, Ahmed A, Ahmad J, et al. Impact of Type 2 Diabetes Mellitus with a Focus on Asian Indians. Endocr Metab Immune Disord Drug Targets. 2023;23(5):609–616. https://doi.org/10.2174/1871530322666220827161236</w:t>
      </w:r>
    </w:p>
    <w:p>
      <w:pPr>
        <w:spacing w:after="100" w:line="320"/>
        <w:ind w:left="400" w:hanging="400"/>
      </w:pPr>
      <w:r>
        <w:rPr>
          <w:rFonts w:ascii="Times New Roman" w:cs="Times New Roman" w:eastAsia="Times New Roman" w:hAnsi="Times New Roman"/>
          <w:sz w:val="20"/>
          <w:szCs w:val="20"/>
        </w:rPr>
        <w:t xml:space="preserve">17. Wei H, Sun J, Shan W, et al. Environmental chemical exposure dynamics and machine learning-based prediction of diabetes mellitus. Sci Total Environ. 2022;806(Pt 2):150674. https://doi.org/10.1016/j.scitotenv.2021.150674</w:t>
      </w:r>
    </w:p>
    <w:p>
      <w:pPr>
        <w:spacing w:after="100" w:line="320"/>
        <w:ind w:left="400" w:hanging="400"/>
      </w:pPr>
      <w:r>
        <w:rPr>
          <w:rFonts w:ascii="Times New Roman" w:cs="Times New Roman" w:eastAsia="Times New Roman" w:hAnsi="Times New Roman"/>
          <w:sz w:val="20"/>
          <w:szCs w:val="20"/>
        </w:rPr>
        <w:t xml:space="preserve">18. Jindal D, Sharma H, Gupta Y, et al. Improving care for hypertension and diabetes in India by addition of clinical decision support system. BMC Health Serv Res. 2022;22:article. https://doi.org/10.1186/s12913-022-08025-y</w:t>
      </w:r>
    </w:p>
    <w:p>
      <w:pPr>
        <w:spacing w:after="100" w:line="320"/>
        <w:ind w:left="400" w:hanging="400"/>
      </w:pPr>
      <w:r>
        <w:rPr>
          <w:rFonts w:ascii="Times New Roman" w:cs="Times New Roman" w:eastAsia="Times New Roman" w:hAnsi="Times New Roman"/>
          <w:sz w:val="20"/>
          <w:szCs w:val="20"/>
        </w:rPr>
        <w:t xml:space="preserve">19. Wang W, Puri G, Sly B, et al. Optimizing inpatient diabetes management with the diabetes dashboard. JBI Evid Implement. 2025. https://doi.org/10.1097/XEB.0000000000000489</w:t>
      </w:r>
    </w:p>
    <w:p>
      <w:pPr>
        <w:spacing w:after="100" w:line="320"/>
        <w:ind w:left="400" w:hanging="400"/>
      </w:pPr>
      <w:r>
        <w:rPr>
          <w:rFonts w:ascii="Times New Roman" w:cs="Times New Roman" w:eastAsia="Times New Roman" w:hAnsi="Times New Roman"/>
          <w:sz w:val="20"/>
          <w:szCs w:val="20"/>
        </w:rPr>
        <w:t xml:space="preserve">20. Hsu JC, Yang YY, Chuang SL, et al. Prediabetes as a risk factor for new-onset atrial fibrillation: propensity-score matching cohort. Cardiovasc Diabetol. 2023;22:article. https://doi.org/10.1186/s12933-023-01767-x</w:t>
      </w:r>
    </w:p>
    <w:p>
      <w:pPr>
        <w:spacing w:after="100" w:line="320"/>
        <w:ind w:left="400" w:hanging="400"/>
      </w:pPr>
      <w:r>
        <w:rPr>
          <w:rFonts w:ascii="Times New Roman" w:cs="Times New Roman" w:eastAsia="Times New Roman" w:hAnsi="Times New Roman"/>
          <w:sz w:val="20"/>
          <w:szCs w:val="20"/>
        </w:rPr>
        <w:t xml:space="preserve">21. Lundberg SM, Lee SI. A unified approach to interpreting model predictions. Advances in Neural Information Processing Systems. 2017;30:4765–4774.</w:t>
      </w:r>
    </w:p>
    <w:p>
      <w:pPr>
        <w:spacing w:after="100" w:line="320"/>
        <w:ind w:left="400" w:hanging="400"/>
      </w:pPr>
      <w:r>
        <w:rPr>
          <w:rFonts w:ascii="Times New Roman" w:cs="Times New Roman" w:eastAsia="Times New Roman" w:hAnsi="Times New Roman"/>
          <w:sz w:val="20"/>
          <w:szCs w:val="20"/>
        </w:rPr>
        <w:t xml:space="preserve">22. Rahimi AK, Canfell OJ, Chan W, et al. Machine learning models for diabetes management in acute care using electronic medical records. Int J Med Inform. 2022;162:104758. https://doi.org/10.1016/j.ijmedinf.2022.104758</w:t>
      </w:r>
    </w:p>
    <w:p>
      <w:pPr>
        <w:spacing w:after="100" w:line="320"/>
        <w:ind w:left="400" w:hanging="400"/>
      </w:pPr>
      <w:r>
        <w:rPr>
          <w:rFonts w:ascii="Times New Roman" w:cs="Times New Roman" w:eastAsia="Times New Roman" w:hAnsi="Times New Roman"/>
          <w:sz w:val="20"/>
          <w:szCs w:val="20"/>
        </w:rPr>
        <w:t xml:space="preserve">23. Du Y, Rafferty AR, McAuliffe FM, et al. An explainable machine learning-based clinical decision support system for prediction of gestational diabetes mellitus. Sci Rep. 2022;12:article. https://doi.org/10.1038/s41598-022-05112-2</w:t>
      </w:r>
    </w:p>
    <w:p>
      <w:pPr>
        <w:spacing w:after="100" w:line="320"/>
        <w:ind w:left="400" w:hanging="400"/>
      </w:pPr>
      <w:r>
        <w:rPr>
          <w:rFonts w:ascii="Times New Roman" w:cs="Times New Roman" w:eastAsia="Times New Roman" w:hAnsi="Times New Roman"/>
          <w:sz w:val="20"/>
          <w:szCs w:val="20"/>
        </w:rPr>
        <w:t xml:space="preserve">24. Tsai SF, Yang CT, Liu WJ, Lee CL. Development and validation of an insulin resistance model for a population without diabetes mellitus. EClinicalMedicine. 2023;58:101934. https://doi.org/10.1016/j.eclinm.2023.101934</w:t>
      </w:r>
    </w:p>
    <w:p>
      <w:pPr>
        <w:spacing w:after="100" w:line="320"/>
        <w:ind w:left="400" w:hanging="400"/>
      </w:pPr>
      <w:r>
        <w:rPr>
          <w:rFonts w:ascii="Times New Roman" w:cs="Times New Roman" w:eastAsia="Times New Roman" w:hAnsi="Times New Roman"/>
          <w:sz w:val="20"/>
          <w:szCs w:val="20"/>
        </w:rPr>
        <w:t xml:space="preserve">25. Dennis JM, Young KG, Cardoso P, et al. A five-drug class model using routinely available clinical features to optimise prescribing in type 2 diabetes. Lancet. 2025;405(10480):701–714. https://doi.org/10.1016/S0140-6736(24)02617-5</w:t>
      </w:r>
    </w:p>
    <w:p>
      <w:pPr>
        <w:spacing w:after="100" w:line="320"/>
        <w:ind w:left="400" w:hanging="400"/>
      </w:pPr>
      <w:r>
        <w:rPr>
          <w:rFonts w:ascii="Times New Roman" w:cs="Times New Roman" w:eastAsia="Times New Roman" w:hAnsi="Times New Roman"/>
          <w:sz w:val="20"/>
          <w:szCs w:val="20"/>
        </w:rPr>
        <w:t xml:space="preserve">26. Zhang Z, Yang L, Han W, et al. Machine Learning Prediction Models for Gestational Diabetes Mellitus: Meta-analysis. J Med Internet Res. 2022;24(3):e26634. https://doi.org/10.2196/26634</w:t>
      </w:r>
    </w:p>
    <w:p>
      <w:pPr>
        <w:spacing w:after="100" w:line="320"/>
        <w:ind w:left="400" w:hanging="400"/>
      </w:pPr>
      <w:r>
        <w:rPr>
          <w:rFonts w:ascii="Times New Roman" w:cs="Times New Roman" w:eastAsia="Times New Roman" w:hAnsi="Times New Roman"/>
          <w:sz w:val="20"/>
          <w:szCs w:val="20"/>
        </w:rPr>
        <w:t xml:space="preserve">27. Shi M, Yang A, Lau ESH, et al. A novel electronic health record-based, machine-learning model to predict severe hypoglycemia. PLoS Med. 2024;21(4):e1004369. https://doi.org/10.1371/journal.pmed.1004369</w:t>
      </w:r>
    </w:p>
    <w:p>
      <w:pPr>
        <w:spacing w:after="100" w:line="320"/>
        <w:ind w:left="400" w:hanging="400"/>
      </w:pPr>
      <w:r>
        <w:rPr>
          <w:rFonts w:ascii="Times New Roman" w:cs="Times New Roman" w:eastAsia="Times New Roman" w:hAnsi="Times New Roman"/>
          <w:sz w:val="20"/>
          <w:szCs w:val="20"/>
        </w:rPr>
        <w:t xml:space="preserve">28. Rhee SY, Sung JM, Kim S, et al. Development and Validation of a Deep Learning Based Diabetes Prediction System Using a Nationwide Population-Based Cohort. Diabetes Metab J. 2021;45(4):515–525. https://doi.org/10.4093/dmj.2020.0081</w:t>
      </w:r>
    </w:p>
    <w:p>
      <w:pPr>
        <w:spacing w:after="100" w:line="320"/>
        <w:ind w:left="400" w:hanging="400"/>
      </w:pPr>
      <w:r>
        <w:rPr>
          <w:rFonts w:ascii="Times New Roman" w:cs="Times New Roman" w:eastAsia="Times New Roman" w:hAnsi="Times New Roman"/>
          <w:sz w:val="20"/>
          <w:szCs w:val="20"/>
        </w:rPr>
        <w:t xml:space="preserve">29. Nogues IE, Wen J, Zhao Y, et al. Semi-supervised Double Deep Learning Temporal Risk Prediction with Electronic Health Records. J Biomed Inform. 2024;156:104685. https://doi.org/10.1016/j.jbi.2024.104685</w:t>
      </w:r>
    </w:p>
    <w:p>
      <w:pPr>
        <w:spacing w:after="100" w:line="320"/>
        <w:ind w:left="400" w:hanging="400"/>
      </w:pPr>
      <w:r>
        <w:rPr>
          <w:rFonts w:ascii="Times New Roman" w:cs="Times New Roman" w:eastAsia="Times New Roman" w:hAnsi="Times New Roman"/>
          <w:sz w:val="20"/>
          <w:szCs w:val="20"/>
        </w:rPr>
        <w:t xml:space="preserve">30. Ma Z, Wu L, Huang Z. Stress hyperglycemia ratio and the risk of new-onset chronic diseases. Cardiovasc Diabetol. 2025;24:article. https://doi.org/10.1186/s12933-025-02810-9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BMC Medical Informatics and Decision Making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2026-04-07T10:27:40.192Z</dcterms:created>
  <dcterms:modified xsi:type="dcterms:W3CDTF">2026-04-07T10:27:40.193Z</dcterms:modified>
</cp:coreProperties>
</file>

<file path=docProps/custom.xml><?xml version="1.0" encoding="utf-8"?>
<Properties xmlns="http://schemas.openxmlformats.org/officeDocument/2006/custom-properties" xmlns:vt="http://schemas.openxmlformats.org/officeDocument/2006/docPropsVTypes"/>
</file>