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Times New Roman" w:cs="Times New Roman" w:eastAsia="Times New Roman" w:hAnsi="Times New Roman"/>
          <w:b/>
          <w:bCs/>
          <w:sz w:val="32"/>
          <w:szCs w:val="32"/>
        </w:rPr>
        <w:t xml:space="preserve">Explainable Machine Learning for Cross-National Diabetes Risk Prediction:</w:t>
      </w:r>
    </w:p>
    <w:p>
      <w:pPr>
        <w:spacing w:after="400"/>
        <w:jc w:val="center"/>
      </w:pPr>
      <w:r>
        <w:rPr>
          <w:rFonts w:ascii="Times New Roman" w:cs="Times New Roman" w:eastAsia="Times New Roman" w:hAnsi="Times New Roman"/>
          <w:b/>
          <w:bCs/>
          <w:sz w:val="32"/>
          <w:szCs w:val="32"/>
        </w:rPr>
        <w:t xml:space="preserve">A Multi-Method Approach Integrating Survival Analysis, SHAP Interpretation, Algorithmic Fairness Assessment, and Real-Time Clinical Dashboard</w:t>
      </w:r>
    </w:p>
    <w:p>
      <w:pPr>
        <w:spacing w:after="100"/>
        <w:jc w:val="center"/>
      </w:pPr>
      <w:r>
        <w:rPr>
          <w:rFonts w:ascii="Times New Roman" w:cs="Times New Roman" w:eastAsia="Times New Roman" w:hAnsi="Times New Roman"/>
          <w:sz w:val="22"/>
          <w:szCs w:val="22"/>
        </w:rPr>
        <w:t xml:space="preserve">Wansuk Choi</w:t>
      </w:r>
    </w:p>
    <w:p>
      <w:pPr>
        <w:spacing w:after="300"/>
        <w:jc w:val="center"/>
      </w:pPr>
      <w:r>
        <w:rPr>
          <w:rFonts w:ascii="Times New Roman" w:cs="Times New Roman" w:eastAsia="Times New Roman" w:hAnsi="Times New Roman"/>
          <w:i/>
          <w:iCs/>
          <w:sz w:val="20"/>
          <w:szCs w:val="20"/>
        </w:rPr>
        <w:t xml:space="preserve">Department of Physical Therapy, Kyungwoon University, Gumi, Republic of Korea</w:t>
      </w:r>
    </w:p>
    <w:p>
      <w:pPr>
        <w:spacing w:after="100"/>
        <w:jc w:val="center"/>
      </w:pPr>
      <w:r>
        <w:rPr>
          <w:rFonts w:ascii="Times New Roman" w:cs="Times New Roman" w:eastAsia="Times New Roman" w:hAnsi="Times New Roman"/>
          <w:sz w:val="20"/>
          <w:szCs w:val="20"/>
        </w:rPr>
        <w:t xml:space="preserve">Corresponding author: y3korea@gmail.com</w:t>
      </w:r>
    </w:p>
    <w:p>
      <w:r>
        <w:br w:type="page"/>
      </w:r>
    </w:p>
    <w:p>
      <w:pPr>
        <w:pStyle w:val="Heading1"/>
        <w:spacing w:after="200" w:before="360"/>
      </w:pPr>
      <w:r>
        <w:rPr>
          <w:rFonts w:ascii="Times New Roman" w:cs="Times New Roman" w:eastAsia="Times New Roman" w:hAnsi="Times New Roman"/>
          <w:b/>
          <w:bCs/>
          <w:sz w:val="28"/>
          <w:szCs w:val="28"/>
        </w:rPr>
        <w:t xml:space="preserve">Abstract</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Type 2 diabetes mellitus (T2DM) is a major global health burden, particularly in East Asian populations. While machine learning (ML) models show promise for diabetes risk prediction, most studies lack cross-national comparison, algorithmic fairness assessment, and interpretable clinical decision support tools. This study aimed to develop a multi-method prediction framework integrating survival analysis, ML, deep learning (DL), explainable AI (XAI), and fairness evaluation for diabetes onset prediction across a multi-national East Asian cohort, reported in accordance with the TRIPOD+AI guidelines.</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analyzed a longitudinal cohort of 10,000 participants (Korean, Chinese, and Other East Asian nationalities) followed for 5 years with 35 clinical, lifestyle, genetic, and psychosocial variables. Our analytical pipeline comprised: (1) exploratory data analysis with cross-national comparisons; (2) Kaplan–Meier and Cox proportional hazards survival analysis; (3) Optuna-tuned ML models (logistic regression, random forest, XGBoost); (4) temporal DL models (LSTM+Attention, GRU+Attention, Transformer); (5) SHAP-based cross-national interpretability with interaction analysis; and (6) algorithmic fairness assessment across nationality and sex subgroups. A web dashboard and mobile applications were developed for clinical translation.</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The 5-year diabetes incidence was 7.91% (n=791). Cox regression identified BMI (HR=1.336, 95% CI: 1.246–1.432), family history (HR=1.704, 1.479–1.963), HbA1c (HR=1.253, 1.168–1.344), fasting glucose (HR=1.157, 1.075–1.244), and genetic risk score (HR=1.129, 1.052–1.211) as significant predictors. The Optuna-tuned XGBoost achieved AUC=0.651 (95% CI: 0.631–0.670) with well-calibrated predictions (Brier score=0.078). SHAP analysis revealed consistent risk factor rankings across nationalities: BMI (mean |SHAP|=0.172), family history (0.137), and HbA1c (0.131). The top SHAP interaction was identified between BMI and HbA1c. Fairness analysis demonstrated equitable model performance across nationality subgroups (ΔAUC&lt;0.02) and sex groups, meeting demographic parity criteria.</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Our TRIPOD+AI-compliant framework demonstrates consistent diabetes risk factors across East Asian nationalities with equitable model performance. The integration of SHAP interpretability, fairness assessment, and a translational clinical dashboard provides a practical, responsible AI tool for multi-ethnic diabetes prevention.</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diabetes mellitus, machine learning, SHAP, explainable AI, algorithmic fairness, TRIPOD+AI, cross-national, clinical decision support, XGBoost, deep learning, survival analysis</w:t>
      </w:r>
    </w:p>
    <w:p>
      <w:r>
        <w:br w:type="page"/>
      </w:r>
    </w:p>
    <w:p>
      <w:pPr>
        <w:pStyle w:val="Heading1"/>
        <w:spacing w:after="200" w:before="360"/>
      </w:pPr>
      <w:r>
        <w:rPr>
          <w:rFonts w:ascii="Times New Roman" w:cs="Times New Roman" w:eastAsia="Times New Roman" w:hAnsi="Times New Roman"/>
          <w:b/>
          <w:bCs/>
          <w:sz w:val="28"/>
          <w:szCs w:val="28"/>
        </w:rPr>
        <w:t xml:space="preserve">Background</w:t>
      </w:r>
    </w:p>
    <w:p>
      <w:pPr>
        <w:spacing w:after="140" w:line="360"/>
        <w:ind w:firstLine="400"/>
        <w:jc w:val="both"/>
      </w:pPr>
      <w:r>
        <w:rPr>
          <w:rFonts w:ascii="Times New Roman" w:cs="Times New Roman" w:eastAsia="Times New Roman" w:hAnsi="Times New Roman"/>
          <w:sz w:val="22"/>
          <w:szCs w:val="22"/>
        </w:rPr>
        <w:t xml:space="preserve">Type 2 diabetes mellitus (T2DM) is among the fastest-growing global health challenges, with the International Diabetes Federation estimating over 530 million adults affected worldwide, projected to exceed 780 million by 2045 [1, 2]. The Western Pacific region, encompassing East Asian countries, bears a disproportionately high burden with unique pathophysiological features including lower BMI thresholds for diabetes onset and greater beta-cell dysfunction [3, 4].</w:t>
      </w:r>
    </w:p>
    <w:p>
      <w:pPr>
        <w:spacing w:after="140" w:line="360"/>
        <w:ind w:firstLine="400"/>
        <w:jc w:val="both"/>
      </w:pPr>
      <w:r>
        <w:rPr>
          <w:rFonts w:ascii="Times New Roman" w:cs="Times New Roman" w:eastAsia="Times New Roman" w:hAnsi="Times New Roman"/>
          <w:sz w:val="22"/>
          <w:szCs w:val="22"/>
        </w:rPr>
        <w:t xml:space="preserve">Machine learning (ML) approaches have emerged as powerful tools for diabetes risk prediction, with studies demonstrating improved performance using algorithms such as XGBoost, random forest, and ensemble methods [5, 6, 7]. More recently, deep learning (DL) architectures with attention mechanisms have shown potential for leveraging longitudinal clinical data [8, 9, 10]. However, the “black-box” nature of these models has limited clinical adoption, prompting the development of explainable AI (XAI) techniques, particularly SHAP (SHapley Additive exPlanations), to enhance transparency [11, 12, 13].</w:t>
      </w:r>
    </w:p>
    <w:p>
      <w:pPr>
        <w:spacing w:after="140" w:line="360"/>
        <w:ind w:firstLine="400"/>
        <w:jc w:val="both"/>
      </w:pPr>
      <w:r>
        <w:rPr>
          <w:rFonts w:ascii="Times New Roman" w:cs="Times New Roman" w:eastAsia="Times New Roman" w:hAnsi="Times New Roman"/>
          <w:sz w:val="22"/>
          <w:szCs w:val="22"/>
        </w:rPr>
        <w:t xml:space="preserve">Despite significant progress, several critical gaps remain. First, most studies employ single-nationality cohorts, limiting cross-population generalizability [14, 15]. Second, few studies integrate multiple analytical approaches within a unified framework [16]. Third, algorithmic fairness—ensuring equitable model performance across demographic subgroups—has received insufficient attention in diabetes prediction, despite growing recognition of its importance in responsible AI deployment [17, 18]. The TRIPOD+AI statement (2024) now mandates transparent reporting of AI-based prediction models, including fairness and calibration assessments, setting a new standard for clinical ML research [19]. Fourth, translation of predictive models into practical clinical tools remains rare [20, 21].</w:t>
      </w:r>
    </w:p>
    <w:p>
      <w:pPr>
        <w:spacing w:after="140" w:line="360"/>
        <w:ind w:firstLine="400"/>
        <w:jc w:val="both"/>
      </w:pPr>
      <w:r>
        <w:rPr>
          <w:rFonts w:ascii="Times New Roman" w:cs="Times New Roman" w:eastAsia="Times New Roman" w:hAnsi="Times New Roman"/>
          <w:sz w:val="22"/>
          <w:szCs w:val="22"/>
        </w:rPr>
        <w:t xml:space="preserve">To address these gaps, we developed a comprehensive framework applied to a multi-national East Asian cohort (N=10,000, 5-year follow-up). Our contributions include: (1) a five-stage analytical pipeline integrating EDA, survival analysis, ML, DL, and XAI; (2) systematic SHAP-based cross-national comparison with interaction analysis; (3) algorithmic fairness assessment across nationality and sex subgroups; (4) TRIPOD+AI-compliant reporting; and (5) translational deployment via web dashboard and mobile applications.</w:t>
      </w:r>
    </w:p>
    <w:p>
      <w:r>
        <w:br w:type="page"/>
      </w:r>
    </w:p>
    <w:p>
      <w:pPr>
        <w:pStyle w:val="Heading1"/>
        <w:spacing w:after="200" w:before="360"/>
      </w:pPr>
      <w:r>
        <w:rPr>
          <w:rFonts w:ascii="Times New Roman" w:cs="Times New Roman" w:eastAsia="Times New Roman" w:hAnsi="Times New Roman"/>
          <w:b/>
          <w:bCs/>
          <w:sz w:val="28"/>
          <w:szCs w:val="28"/>
        </w:rPr>
        <w:t xml:space="preserve">Methods</w:t>
      </w:r>
    </w:p>
    <w:p>
      <w:pPr>
        <w:pStyle w:val="Heading2"/>
        <w:spacing w:after="160" w:before="280"/>
      </w:pPr>
      <w:r>
        <w:rPr>
          <w:rFonts w:ascii="Times New Roman" w:cs="Times New Roman" w:eastAsia="Times New Roman" w:hAnsi="Times New Roman"/>
          <w:b/>
          <w:bCs/>
          <w:i/>
          <w:iCs/>
          <w:sz w:val="24"/>
          <w:szCs w:val="24"/>
        </w:rPr>
        <w:t xml:space="preserve">Reporting guideline</w:t>
      </w:r>
    </w:p>
    <w:p>
      <w:pPr>
        <w:spacing w:after="140" w:line="360"/>
        <w:ind w:firstLine="400"/>
        <w:jc w:val="both"/>
      </w:pPr>
      <w:r>
        <w:rPr>
          <w:rFonts w:ascii="Times New Roman" w:cs="Times New Roman" w:eastAsia="Times New Roman" w:hAnsi="Times New Roman"/>
          <w:sz w:val="22"/>
          <w:szCs w:val="22"/>
        </w:rPr>
        <w:t xml:space="preserve">This study was reported following the Transparent Reporting of a multivariable prediction model for Individual Prognosis or Diagnosis—Artificial Intelligence (TRIPOD+AI) guidelines [19]. A completed TRIPOD+AI checklist is provided in Additional File 1.</w:t>
      </w:r>
    </w:p>
    <w:p>
      <w:pPr>
        <w:pStyle w:val="Heading2"/>
        <w:spacing w:after="160" w:before="280"/>
      </w:pPr>
      <w:r>
        <w:rPr>
          <w:rFonts w:ascii="Times New Roman" w:cs="Times New Roman" w:eastAsia="Times New Roman" w:hAnsi="Times New Roman"/>
          <w:b/>
          <w:bCs/>
          <w:i/>
          <w:iCs/>
          <w:sz w:val="24"/>
          <w:szCs w:val="24"/>
        </w:rPr>
        <w:t xml:space="preserve">Study population and data</w:t>
      </w:r>
    </w:p>
    <w:p>
      <w:pPr>
        <w:spacing w:after="140" w:line="360"/>
        <w:ind w:firstLine="400"/>
        <w:jc w:val="both"/>
      </w:pPr>
      <w:r>
        <w:rPr>
          <w:rFonts w:ascii="Times New Roman" w:cs="Times New Roman" w:eastAsia="Times New Roman" w:hAnsi="Times New Roman"/>
          <w:sz w:val="22"/>
          <w:szCs w:val="22"/>
        </w:rPr>
        <w:t xml:space="preserve">This retrospective cohort study analyzed longitudinal data from 10,000 participants of East Asian descent (Korean, Chinese, and Other nationalities), followed annually for 5 years (Year 0–5), yielding 60,000 person-year observations across 40 variables. The dataset comprised demographics (age, sex, nationality), anthropometrics (BMI, waist circumference, body fat percentage), metabolic biomarkers (fasting glucose, HbA1c, fasting insulin, HOMA-IR), lipid profiles (total cholesterol, LDL, HDL, triglycerides), cardiovascular measures (systolic/diastolic BP), hepatic and renal markers (ALT, creatinine), inflammatory markers (CRP), lifestyle factors (sleep, physical activity, sedentary time, caloric intake, carbohydrate ratio), psychosocial measures (PSS, PHQ-9), genetic factors (family history, genetic risk score), and behavioral risk factors (smoking, alcohol). The primary outcome was new-onset diabetes during 5-year follow-up, with time-to-onset in months.</w:t>
      </w:r>
    </w:p>
    <w:p>
      <w:pPr>
        <w:pStyle w:val="Heading2"/>
        <w:spacing w:after="160" w:before="280"/>
      </w:pPr>
      <w:r>
        <w:rPr>
          <w:rFonts w:ascii="Times New Roman" w:cs="Times New Roman" w:eastAsia="Times New Roman" w:hAnsi="Times New Roman"/>
          <w:b/>
          <w:bCs/>
          <w:i/>
          <w:iCs/>
          <w:sz w:val="24"/>
          <w:szCs w:val="24"/>
        </w:rPr>
        <w:t xml:space="preserve">Stage 1: Exploratory data analysis</w:t>
      </w:r>
    </w:p>
    <w:p>
      <w:pPr>
        <w:spacing w:after="140" w:line="360"/>
        <w:ind w:firstLine="400"/>
        <w:jc w:val="both"/>
      </w:pPr>
      <w:r>
        <w:rPr>
          <w:rFonts w:ascii="Times New Roman" w:cs="Times New Roman" w:eastAsia="Times New Roman" w:hAnsi="Times New Roman"/>
          <w:sz w:val="22"/>
          <w:szCs w:val="22"/>
        </w:rPr>
        <w:t xml:space="preserve">Baseline characteristics were compared between diabetes and non-diabetes groups using Mann–Whitney U tests with Cohen’s d effect sizes. Cross-national differences were assessed using one-way ANOVA with Bonferroni-corrected post-hoc comparisons and eta-squared (η²) effect sizes. Longitudinal biomarker trajectories were visualized with 95% confidence intervals stratified by outcome.</w:t>
      </w:r>
    </w:p>
    <w:p>
      <w:pPr>
        <w:pStyle w:val="Heading2"/>
        <w:spacing w:after="160" w:before="280"/>
      </w:pPr>
      <w:r>
        <w:rPr>
          <w:rFonts w:ascii="Times New Roman" w:cs="Times New Roman" w:eastAsia="Times New Roman" w:hAnsi="Times New Roman"/>
          <w:b/>
          <w:bCs/>
          <w:i/>
          <w:iCs/>
          <w:sz w:val="24"/>
          <w:szCs w:val="24"/>
        </w:rPr>
        <w:t xml:space="preserve">Stage 2: Survival analysis</w:t>
      </w:r>
    </w:p>
    <w:p>
      <w:pPr>
        <w:spacing w:after="140" w:line="360"/>
        <w:ind w:firstLine="400"/>
        <w:jc w:val="both"/>
      </w:pPr>
      <w:r>
        <w:rPr>
          <w:rFonts w:ascii="Times New Roman" w:cs="Times New Roman" w:eastAsia="Times New Roman" w:hAnsi="Times New Roman"/>
          <w:sz w:val="22"/>
          <w:szCs w:val="22"/>
        </w:rPr>
        <w:t xml:space="preserve">Kaplan–Meier survival curves were estimated for the overall cohort and stratified by nationality and BMI categories (&lt;23, 23–25, 25–30, ≥30 kg/m²). Log-rank tests assessed between-group differences. A multivariable Cox proportional hazards model with 18 standardized covariates was fitted to estimate hazard ratios. The proportional hazards assumption was tested via Schoenfeld residuals. Subgroup Cox models were fitted per nationality. Time-dependent AUC was calculated at 12, 24, 36, and 48-month landmarks [22].</w:t>
      </w:r>
    </w:p>
    <w:p>
      <w:pPr>
        <w:pStyle w:val="Heading2"/>
        <w:spacing w:after="160" w:before="280"/>
      </w:pPr>
      <w:r>
        <w:rPr>
          <w:rFonts w:ascii="Times New Roman" w:cs="Times New Roman" w:eastAsia="Times New Roman" w:hAnsi="Times New Roman"/>
          <w:b/>
          <w:bCs/>
          <w:i/>
          <w:iCs/>
          <w:sz w:val="24"/>
          <w:szCs w:val="24"/>
        </w:rPr>
        <w:t xml:space="preserve">Stage 3: Machine learning with Bayesian optimization</w:t>
      </w:r>
    </w:p>
    <w:p>
      <w:pPr>
        <w:spacing w:after="140" w:line="360"/>
        <w:ind w:firstLine="400"/>
        <w:jc w:val="both"/>
      </w:pPr>
      <w:r>
        <w:rPr>
          <w:rFonts w:ascii="Times New Roman" w:cs="Times New Roman" w:eastAsia="Times New Roman" w:hAnsi="Times New Roman"/>
          <w:sz w:val="22"/>
          <w:szCs w:val="22"/>
        </w:rPr>
        <w:t xml:space="preserve">Three ML algorithms were trained using 5-fold stratified cross-validation on baseline features with Year 5 diabetes onset as the outcome: (1) Logistic Regression with elastic net; (2) Random Forest; and (3) XGBoost with class-weighted loss. Hyperparameters were optimized via Optuna (50 Bayesian optimization trials per model) [23]. Performance was evaluated using AUC, average precision (AP), and Brier score. </w:t>
      </w:r>
      <w:r>
        <w:rPr>
          <w:rFonts w:ascii="Times New Roman" w:cs="Times New Roman" w:eastAsia="Times New Roman" w:hAnsi="Times New Roman"/>
          <w:b/>
          <w:bCs/>
          <w:sz w:val="22"/>
          <w:szCs w:val="22"/>
        </w:rPr>
        <w:t xml:space="preserve">Calibration was assessed using calibration curves (predicted vs. observed probability in decile bins)</w:t>
      </w:r>
      <w:r>
        <w:rPr>
          <w:rFonts w:ascii="Times New Roman" w:cs="Times New Roman" w:eastAsia="Times New Roman" w:hAnsi="Times New Roman"/>
          <w:sz w:val="22"/>
          <w:szCs w:val="22"/>
        </w:rPr>
        <w:t xml:space="preserve">, recognizing that well-calibrated probabilities are essential for clinical decision-making beyond mere discrimination [24].</w:t>
      </w:r>
    </w:p>
    <w:p>
      <w:pPr>
        <w:pStyle w:val="Heading2"/>
        <w:spacing w:after="160" w:before="280"/>
      </w:pPr>
      <w:r>
        <w:rPr>
          <w:rFonts w:ascii="Times New Roman" w:cs="Times New Roman" w:eastAsia="Times New Roman" w:hAnsi="Times New Roman"/>
          <w:b/>
          <w:bCs/>
          <w:i/>
          <w:iCs/>
          <w:sz w:val="24"/>
          <w:szCs w:val="24"/>
        </w:rPr>
        <w:t xml:space="preserve">Stage 4: Deep learning with temporal modeling</w:t>
      </w:r>
    </w:p>
    <w:p>
      <w:pPr>
        <w:spacing w:after="140" w:line="360"/>
        <w:ind w:firstLine="400"/>
        <w:jc w:val="both"/>
      </w:pPr>
      <w:r>
        <w:rPr>
          <w:rFonts w:ascii="Times New Roman" w:cs="Times New Roman" w:eastAsia="Times New Roman" w:hAnsi="Times New Roman"/>
          <w:sz w:val="22"/>
          <w:szCs w:val="22"/>
        </w:rPr>
        <w:t xml:space="preserve">Temporal sequences from Years 0–4 (5 timepoints × 21 features) were augmented with delta features (42 features/timepoint). Three static features (age, family history, genetic risk) were concatenated post-encoding. Architectures included:</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(1) LSTM+Attention:</w:t>
      </w:r>
      <w:r>
        <w:rPr>
          <w:rFonts w:ascii="Times New Roman" w:cs="Times New Roman" w:eastAsia="Times New Roman" w:hAnsi="Times New Roman"/>
          <w:sz w:val="22"/>
          <w:szCs w:val="22"/>
        </w:rPr>
        <w:t xml:space="preserve"> Bidirectional LSTM (2 layers, hidden=64–128) with learned attention weights, two-layer classifier (64→32→1).</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(2) GRU+Attention:</w:t>
      </w:r>
      <w:r>
        <w:rPr>
          <w:rFonts w:ascii="Times New Roman" w:cs="Times New Roman" w:eastAsia="Times New Roman" w:hAnsi="Times New Roman"/>
          <w:sz w:val="22"/>
          <w:szCs w:val="22"/>
        </w:rPr>
        <w:t xml:space="preserve"> Identical architecture with GRU cells.</w:t>
      </w:r>
    </w:p>
    <w:p>
      <w:pPr>
        <w:spacing w:after="140" w:line="36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(3) Transformer:</w:t>
      </w:r>
      <w:r>
        <w:rPr>
          <w:rFonts w:ascii="Times New Roman" w:cs="Times New Roman" w:eastAsia="Times New Roman" w:hAnsi="Times New Roman"/>
          <w:sz w:val="22"/>
          <w:szCs w:val="22"/>
        </w:rPr>
        <w:t xml:space="preserve"> Sinusoidal positional encoding, TransformerEncoder (1–4 layers, d_model=64–192), CLS token pooling, GELU-activated classifier.</w:t>
      </w:r>
    </w:p>
    <w:p>
      <w:pPr>
        <w:spacing w:after="140" w:line="360"/>
        <w:ind w:firstLine="400"/>
        <w:jc w:val="both"/>
      </w:pPr>
      <w:r>
        <w:rPr>
          <w:rFonts w:ascii="Times New Roman" w:cs="Times New Roman" w:eastAsia="Times New Roman" w:hAnsi="Times New Roman"/>
          <w:sz w:val="22"/>
          <w:szCs w:val="22"/>
        </w:rPr>
        <w:t xml:space="preserve">All models used BCEWithLogitsLoss with positive class weighting, AdamW with cosine annealing, gradient clipping (max_norm=1.0), and Optuna tuning (20 trials). Bootstrap 95% CIs from 1,000 resamples.</w:t>
      </w:r>
    </w:p>
    <w:p>
      <w:pPr>
        <w:pStyle w:val="Heading2"/>
        <w:spacing w:after="160" w:before="280"/>
      </w:pPr>
      <w:r>
        <w:rPr>
          <w:rFonts w:ascii="Times New Roman" w:cs="Times New Roman" w:eastAsia="Times New Roman" w:hAnsi="Times New Roman"/>
          <w:b/>
          <w:bCs/>
          <w:i/>
          <w:iCs/>
          <w:sz w:val="24"/>
          <w:szCs w:val="24"/>
        </w:rPr>
        <w:t xml:space="preserve">Stage 5: SHAP interpretability with interaction analysis</w:t>
      </w:r>
    </w:p>
    <w:p>
      <w:pPr>
        <w:spacing w:after="140" w:line="360"/>
        <w:ind w:firstLine="400"/>
        <w:jc w:val="both"/>
      </w:pPr>
      <w:r>
        <w:rPr>
          <w:rFonts w:ascii="Times New Roman" w:cs="Times New Roman" w:eastAsia="Times New Roman" w:hAnsi="Times New Roman"/>
          <w:sz w:val="22"/>
          <w:szCs w:val="22"/>
        </w:rPr>
        <w:t xml:space="preserve">SHAP values were computed using TreeExplainer on the tuned XGBoost [25]. Global importance was assessed via mean |SHAP|. Cross-national comparison computed SHAP values separately per nationality. </w:t>
      </w:r>
      <w:r>
        <w:rPr>
          <w:rFonts w:ascii="Times New Roman" w:cs="Times New Roman" w:eastAsia="Times New Roman" w:hAnsi="Times New Roman"/>
          <w:b/>
          <w:bCs/>
          <w:sz w:val="22"/>
          <w:szCs w:val="22"/>
        </w:rPr>
        <w:t xml:space="preserve">SHAP interaction values were calculated to identify the top feature–feature interaction pairs</w:t>
      </w:r>
      <w:r>
        <w:rPr>
          <w:rFonts w:ascii="Times New Roman" w:cs="Times New Roman" w:eastAsia="Times New Roman" w:hAnsi="Times New Roman"/>
          <w:sz w:val="22"/>
          <w:szCs w:val="22"/>
        </w:rPr>
        <w:t xml:space="preserve">, providing deeper mechanistic insights beyond individual feature importance. Waterfall plots illustrated individual-level prediction decomposition for representative cases. Dependence plots visualized nonlinear feature–outcome relationships colored by nationality.</w:t>
      </w:r>
    </w:p>
    <w:p>
      <w:pPr>
        <w:pStyle w:val="Heading2"/>
        <w:spacing w:after="160" w:before="280"/>
      </w:pPr>
      <w:r>
        <w:rPr>
          <w:rFonts w:ascii="Times New Roman" w:cs="Times New Roman" w:eastAsia="Times New Roman" w:hAnsi="Times New Roman"/>
          <w:b/>
          <w:bCs/>
          <w:i/>
          <w:iCs/>
          <w:sz w:val="24"/>
          <w:szCs w:val="24"/>
        </w:rPr>
        <w:t xml:space="preserve">Stage 6: Algorithmic fairness assessment</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To evaluate model equity across demographic subgroups, we conducted a comprehensive fairness analysis following the framework recommended by Rajkomar et al. [17] and the TRIPOD+AI guidelines [19].</w:t>
      </w:r>
      <w:r>
        <w:rPr>
          <w:rFonts w:ascii="Times New Roman" w:cs="Times New Roman" w:eastAsia="Times New Roman" w:hAnsi="Times New Roman"/>
          <w:sz w:val="22"/>
          <w:szCs w:val="22"/>
        </w:rPr>
        <w:t xml:space="preserve"> Fairness was assessed along two protected attributes: nationality (Korean, Chinese, Other) and sex (male, female). The following metrics were computed per subgroup:</w:t>
      </w:r>
    </w:p>
    <w:p>
      <w:pPr>
        <w:spacing w:after="140" w:line="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Equalized Odds:</w:t>
      </w:r>
      <w:r>
        <w:rPr>
          <w:rFonts w:ascii="Times New Roman" w:cs="Times New Roman" w:eastAsia="Times New Roman" w:hAnsi="Times New Roman"/>
          <w:sz w:val="22"/>
          <w:szCs w:val="22"/>
        </w:rPr>
        <w:t xml:space="preserve"> Difference in true positive rate (TPR) and false positive rate (FPR) across groups.</w:t>
      </w:r>
    </w:p>
    <w:p>
      <w:pPr>
        <w:spacing w:after="140" w:line="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Calibration Equity:</w:t>
      </w:r>
      <w:r>
        <w:rPr>
          <w:rFonts w:ascii="Times New Roman" w:cs="Times New Roman" w:eastAsia="Times New Roman" w:hAnsi="Times New Roman"/>
          <w:sz w:val="22"/>
          <w:szCs w:val="22"/>
        </w:rPr>
        <w:t xml:space="preserve"> Comparison of calibration curves across subgroups to ensure predicted probabilities reflect observed outcomes equally.</w:t>
      </w:r>
    </w:p>
    <w:p>
      <w:pPr>
        <w:spacing w:after="140" w:line="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Performance Parity:</w:t>
      </w:r>
      <w:r>
        <w:rPr>
          <w:rFonts w:ascii="Times New Roman" w:cs="Times New Roman" w:eastAsia="Times New Roman" w:hAnsi="Times New Roman"/>
          <w:sz w:val="22"/>
          <w:szCs w:val="22"/>
        </w:rPr>
        <w:t xml:space="preserve"> Subgroup-specific AUC, sensitivity, specificity, and positive predictive value (PPV).</w:t>
      </w:r>
    </w:p>
    <w:p>
      <w:pPr>
        <w:spacing w:after="140" w:line="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SHAP Fairness:</w:t>
      </w:r>
      <w:r>
        <w:rPr>
          <w:rFonts w:ascii="Times New Roman" w:cs="Times New Roman" w:eastAsia="Times New Roman" w:hAnsi="Times New Roman"/>
          <w:sz w:val="22"/>
          <w:szCs w:val="22"/>
        </w:rPr>
        <w:t xml:space="preserve"> Comparison of mean SHAP contributions of protected attributes (nationality indicators) to ensure they do not disproportionately influence predictions.</w:t>
      </w:r>
    </w:p>
    <w:p>
      <w:pPr>
        <w:spacing w:after="140" w:line="360"/>
        <w:ind w:firstLine="400"/>
        <w:jc w:val="both"/>
      </w:pPr>
      <w:r>
        <w:rPr>
          <w:rFonts w:ascii="Times New Roman" w:cs="Times New Roman" w:eastAsia="Times New Roman" w:hAnsi="Times New Roman"/>
          <w:sz w:val="22"/>
          <w:szCs w:val="22"/>
        </w:rPr>
        <w:t xml:space="preserve">A model was deemed fair if the maximum inter-group AUC difference (ΔAUC) was less than 0.05 and nationality SHAP contributions were below the 5th percentile of all features [18].</w:t>
      </w:r>
    </w:p>
    <w:p>
      <w:pPr>
        <w:pStyle w:val="Heading2"/>
        <w:spacing w:after="160" w:before="280"/>
      </w:pPr>
      <w:r>
        <w:rPr>
          <w:rFonts w:ascii="Times New Roman" w:cs="Times New Roman" w:eastAsia="Times New Roman" w:hAnsi="Times New Roman"/>
          <w:b/>
          <w:bCs/>
          <w:i/>
          <w:iCs/>
          <w:sz w:val="24"/>
          <w:szCs w:val="24"/>
        </w:rPr>
        <w:t xml:space="preserve">Clinical translation</w:t>
      </w:r>
    </w:p>
    <w:p>
      <w:pPr>
        <w:spacing w:after="140" w:line="360"/>
        <w:ind w:firstLine="400"/>
        <w:jc w:val="both"/>
      </w:pPr>
      <w:r>
        <w:rPr>
          <w:rFonts w:ascii="Times New Roman" w:cs="Times New Roman" w:eastAsia="Times New Roman" w:hAnsi="Times New Roman"/>
          <w:sz w:val="22"/>
          <w:szCs w:val="22"/>
        </w:rPr>
        <w:t xml:space="preserve">A web dashboard was deployed on Vercel (https://ebp-diabetes-prediction.vercel.app) with iOS (SwiftUI/WKWebView) and Android (Java/WebView) companion apps for point-of-care access. The dashboard supports CSV upload, cohort summaries, individual risk scores, and interactive visualizations. The complete source code repository is publicly available at https://github.com/y3korea/ebp-diabetes-prediction-paper.</w:t>
      </w:r>
    </w:p>
    <w:p>
      <w:pPr>
        <w:pStyle w:val="Heading2"/>
        <w:spacing w:after="160" w:before="280"/>
      </w:pPr>
      <w:r>
        <w:rPr>
          <w:rFonts w:ascii="Times New Roman" w:cs="Times New Roman" w:eastAsia="Times New Roman" w:hAnsi="Times New Roman"/>
          <w:b/>
          <w:bCs/>
          <w:i/>
          <w:iCs/>
          <w:sz w:val="24"/>
          <w:szCs w:val="24"/>
        </w:rPr>
        <w:t xml:space="preserve">Ethical considerations and responsible AI statement</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This study adheres to responsible AI principles as outlined by Polevikov [26].</w:t>
      </w:r>
      <w:r>
        <w:rPr>
          <w:rFonts w:ascii="Times New Roman" w:cs="Times New Roman" w:eastAsia="Times New Roman" w:hAnsi="Times New Roman"/>
          <w:sz w:val="22"/>
          <w:szCs w:val="22"/>
        </w:rPr>
        <w:t xml:space="preserve"> The model was developed with transparency (SHAP explanations), fairness (demographic parity assessment), and accountability (TRIPOD+AI compliance) as core design principles. No individual-level decisions are automated; the dashboard is intended as a clinical decision </w:t>
      </w:r>
      <w:r>
        <w:rPr>
          <w:rFonts w:ascii="Times New Roman" w:cs="Times New Roman" w:eastAsia="Times New Roman" w:hAnsi="Times New Roman"/>
          <w:i/>
          <w:iCs/>
          <w:sz w:val="22"/>
          <w:szCs w:val="22"/>
        </w:rPr>
        <w:t xml:space="preserve">support</w:t>
      </w:r>
      <w:r>
        <w:rPr>
          <w:rFonts w:ascii="Times New Roman" w:cs="Times New Roman" w:eastAsia="Times New Roman" w:hAnsi="Times New Roman"/>
          <w:sz w:val="22"/>
          <w:szCs w:val="22"/>
        </w:rPr>
        <w:t xml:space="preserve"> tool, with final judgment resting with healthcare professionals. Data privacy was maintained throughout. All analysis code is publicly available (https://github.com/y3korea/ebp-diabetes-prediction-paper) to support reproducibility and transparency.</w:t>
      </w:r>
    </w:p>
    <w:p>
      <w:pPr>
        <w:pStyle w:val="Heading2"/>
        <w:spacing w:after="160" w:before="280"/>
      </w:pPr>
      <w:r>
        <w:rPr>
          <w:rFonts w:ascii="Times New Roman" w:cs="Times New Roman" w:eastAsia="Times New Roman" w:hAnsi="Times New Roman"/>
          <w:b/>
          <w:bCs/>
          <w:i/>
          <w:iCs/>
          <w:sz w:val="24"/>
          <w:szCs w:val="24"/>
        </w:rPr>
        <w:t xml:space="preserve">Statistical software</w:t>
      </w:r>
    </w:p>
    <w:p>
      <w:pPr>
        <w:spacing w:after="140" w:line="360"/>
        <w:ind w:firstLine="400"/>
        <w:jc w:val="both"/>
      </w:pPr>
      <w:r>
        <w:rPr>
          <w:rFonts w:ascii="Times New Roman" w:cs="Times New Roman" w:eastAsia="Times New Roman" w:hAnsi="Times New Roman"/>
          <w:sz w:val="22"/>
          <w:szCs w:val="22"/>
        </w:rPr>
        <w:t xml:space="preserve">Analyses used Python 3.10 with scikit-learn 1.3, XGBoost 2.0, PyTorch 2.1, lifelines 0.27, SHAP 0.43, Optuna 3.4, and SciPy 1.11. Significance was set at p&lt;0.05 (two-tailed).</w:t>
      </w:r>
    </w:p>
    <w:p>
      <w:r>
        <w:br w:type="page"/>
      </w:r>
    </w:p>
    <w:p>
      <w:pPr>
        <w:pStyle w:val="Heading1"/>
        <w:spacing w:after="200" w:before="360"/>
      </w:pPr>
      <w:r>
        <w:rPr>
          <w:rFonts w:ascii="Times New Roman" w:cs="Times New Roman" w:eastAsia="Times New Roman" w:hAnsi="Times New Roman"/>
          <w:b/>
          <w:bCs/>
          <w:sz w:val="28"/>
          <w:szCs w:val="28"/>
        </w:rPr>
        <w:t xml:space="preserve">Results</w:t>
      </w:r>
    </w:p>
    <w:p>
      <w:pPr>
        <w:pStyle w:val="Heading2"/>
        <w:spacing w:after="160" w:before="280"/>
      </w:pPr>
      <w:r>
        <w:rPr>
          <w:rFonts w:ascii="Times New Roman" w:cs="Times New Roman" w:eastAsia="Times New Roman" w:hAnsi="Times New Roman"/>
          <w:b/>
          <w:bCs/>
          <w:i/>
          <w:iCs/>
          <w:sz w:val="24"/>
          <w:szCs w:val="24"/>
        </w:rPr>
        <w:t xml:space="preserve">Cohort characteristics</w:t>
      </w:r>
    </w:p>
    <w:p>
      <w:pPr>
        <w:spacing w:after="140" w:line="360"/>
        <w:ind w:firstLine="400"/>
        <w:jc w:val="both"/>
      </w:pPr>
      <w:r>
        <w:rPr>
          <w:rFonts w:ascii="Times New Roman" w:cs="Times New Roman" w:eastAsia="Times New Roman" w:hAnsi="Times New Roman"/>
          <w:sz w:val="22"/>
          <w:szCs w:val="22"/>
        </w:rPr>
        <w:t xml:space="preserve">Among 10,000 participants, 791 (7.91%) developed diabetes during 5-year follow-up. Table 1 presents baseline characteristics. Participants who developed diabetes had significantly higher BMI (25.46 vs. 24.43, Cohen’s d=0.296, p&lt;0.001), HbA1c (5.48% vs. 5.39%, d=0.229, p&lt;0.001), fasting glucose (93.33 vs. 91.86, d=0.140, p&lt;0.001), genetic risk score (51.83 vs. 49.84, d=0.132, p&lt;0.001), and age (45.66 vs. 44.47, d=0.101, p=0.007). No significant cross-national differences were detected (all ANOVA p&gt;0.05, η²&lt;0.001).</w:t>
      </w:r>
    </w:p>
    <w:p>
      <w:pPr>
        <w:spacing w:after="100"/>
      </w:pPr>
    </w:p>
    <w:p>
      <w:pPr>
        <w:spacing w:after="100"/>
      </w:pPr>
      <w:r>
        <w:rPr>
          <w:rFonts w:ascii="Times New Roman" w:cs="Times New Roman" w:eastAsia="Times New Roman" w:hAnsi="Times New Roman"/>
          <w:b/>
          <w:bCs/>
          <w:sz w:val="20"/>
          <w:szCs w:val="20"/>
        </w:rPr>
        <w:t xml:space="preserve">Table 1. Baseline characteristics by diabetes onset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200"/>
        <w:gridCol w:w="1100"/>
        <w:gridCol w:w="926"/>
      </w:tblGrid>
      <w:tr>
        <w:tc>
          <w:tcPr>
            <w:tcW w:type="dxa" w:w="2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Variable</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Non-DM</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DM</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Cohen’s d</w:t>
            </w:r>
          </w:p>
        </w:tc>
        <w:tc>
          <w:tcPr>
            <w:tcW w:type="dxa" w:w="11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c>
          <w:tcPr>
            <w:tcW w:type="dxa" w:w="9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BMI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24.43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0.296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HbA1c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5.39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5.48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Fasting glucose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91.86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93.33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Genetic risk score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44.47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0.007</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Waist circumference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81.32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0.904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HOMA-IR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0.980</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ns</w:t>
            </w:r>
          </w:p>
        </w:tc>
      </w:tr>
    </w:tbl>
    <w:p>
      <w:pPr>
        <w:spacing w:after="80"/>
      </w:pPr>
      <w:r>
        <w:rPr>
          <w:rFonts w:ascii="Times New Roman" w:cs="Times New Roman" w:eastAsia="Times New Roman" w:hAnsi="Times New Roman"/>
          <w:i/>
          <w:iCs/>
          <w:sz w:val="18"/>
          <w:szCs w:val="18"/>
        </w:rPr>
        <w:t xml:space="preserve">***p&lt;0.001, **p&lt;0.01, ns = not significant. Mann–Whitney U test with Bonferroni correction.</w:t>
      </w:r>
    </w:p>
    <w:p>
      <w:pPr>
        <w:spacing w:after="200"/>
      </w:pPr>
    </w:p>
    <w:p>
      <w:pPr>
        <w:pStyle w:val="Heading2"/>
        <w:spacing w:after="160" w:before="280"/>
      </w:pPr>
      <w:r>
        <w:rPr>
          <w:rFonts w:ascii="Times New Roman" w:cs="Times New Roman" w:eastAsia="Times New Roman" w:hAnsi="Times New Roman"/>
          <w:b/>
          <w:bCs/>
          <w:i/>
          <w:iCs/>
          <w:sz w:val="24"/>
          <w:szCs w:val="24"/>
        </w:rPr>
        <w:t xml:space="preserve">Survival analysis</w:t>
      </w:r>
    </w:p>
    <w:p>
      <w:pPr>
        <w:spacing w:after="140" w:line="360"/>
        <w:ind w:firstLine="400"/>
        <w:jc w:val="both"/>
      </w:pPr>
      <w:r>
        <w:rPr>
          <w:rFonts w:ascii="Times New Roman" w:cs="Times New Roman" w:eastAsia="Times New Roman" w:hAnsi="Times New Roman"/>
          <w:sz w:val="22"/>
          <w:szCs w:val="22"/>
        </w:rPr>
        <w:t xml:space="preserve">The Cox model achieved concordance index=0.638. Table 2 presents significant hazard ratios. Family history was the strongest predictor (HR=1.704, 95% CI: 1.479–1.963), followed by BMI (HR=1.336), HbA1c (HR=1.253), fasting glucose (HR=1.157), genetic risk (HR=1.129), and age (HR=1.093). Time-dependent AUC peaked at 24 months (0.672) and declined to 0.647 at 48 months.</w:t>
      </w:r>
    </w:p>
    <w:p>
      <w:pPr>
        <w:spacing w:after="100"/>
      </w:pPr>
    </w:p>
    <w:p>
      <w:pPr>
        <w:spacing w:after="100"/>
      </w:pPr>
      <w:r>
        <w:rPr>
          <w:rFonts w:ascii="Times New Roman" w:cs="Times New Roman" w:eastAsia="Times New Roman" w:hAnsi="Times New Roman"/>
          <w:b/>
          <w:bCs/>
          <w:sz w:val="20"/>
          <w:szCs w:val="20"/>
        </w:rPr>
        <w:t xml:space="preserve">Table 2. Cox proportional hazards regression: significant predictors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400"/>
        <w:gridCol w:w="926"/>
        <w:gridCol w:w="900"/>
      </w:tblGrid>
      <w:tr>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Covariate</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Coef.</w:t>
            </w:r>
          </w:p>
        </w:tc>
        <w:tc>
          <w:tcPr>
            <w:tcW w:type="dxa" w:w="1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HR</w:t>
            </w:r>
          </w:p>
        </w:tc>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9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w:t>
            </w:r>
          </w:p>
        </w:tc>
        <w:tc>
          <w:tcPr>
            <w:tcW w:type="dxa" w:w="9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Family history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1.704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[1.479–1.963]</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BMI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1.336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[1.246–1.432]</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HbA1c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1.253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[1.168–1.344]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Fasting glucose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1.157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[1.075–1.244]</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Genetic 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[1.052–1.211]</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1.093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[1.020–1.172]</w:t>
            </w:r>
          </w:p>
        </w:tc>
        <w:tc>
          <w:tcPr>
            <w:tcW w:type="dxa" w:w="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Machine learning performance</w:t>
      </w:r>
    </w:p>
    <w:p>
      <w:pPr>
        <w:spacing w:after="140" w:line="360"/>
        <w:ind w:firstLine="400"/>
        <w:jc w:val="both"/>
      </w:pPr>
      <w:r>
        <w:rPr>
          <w:rFonts w:ascii="Times New Roman" w:cs="Times New Roman" w:eastAsia="Times New Roman" w:hAnsi="Times New Roman"/>
          <w:sz w:val="22"/>
          <w:szCs w:val="22"/>
        </w:rPr>
        <w:t xml:space="preserve">Table 3 shows ML results. Optuna-tuned XGBoost achieved the best AUC (0.651, CI: 0.631–0.670) and calibration (Brier=0.078). Calibration curves (Figure S3) demonstrated that XGBoost predictions closely tracked observed probabilities across decile bins, while logistic regression showed systematic overestimation in higher-risk groups (Brier=0.235). Hyperparameter optimization improved XGBoost AUC by 6.0% relative.</w:t>
      </w:r>
    </w:p>
    <w:p>
      <w:pPr>
        <w:spacing w:after="100"/>
      </w:pPr>
    </w:p>
    <w:p>
      <w:pPr>
        <w:spacing w:after="100"/>
      </w:pPr>
      <w:r>
        <w:rPr>
          <w:rFonts w:ascii="Times New Roman" w:cs="Times New Roman" w:eastAsia="Times New Roman" w:hAnsi="Times New Roman"/>
          <w:b/>
          <w:bCs/>
          <w:sz w:val="20"/>
          <w:szCs w:val="20"/>
        </w:rPr>
        <w:t xml:space="preserve">Table 3. Machine learning model performance (5-fold stratified CV, Optuna-tuned)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26"/>
      </w:tblGrid>
      <w:tr>
        <w:tc>
          <w:tcPr>
            <w:tcW w:type="dxa" w:w="28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AUC</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16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AP</w:t>
            </w:r>
          </w:p>
        </w:tc>
        <w:tc>
          <w:tcPr>
            <w:tcW w:type="dxa" w:w="14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Brier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Logistic Regression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[0.597–0.639]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0.123</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0.235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Random Forest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[0.603–0.643]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0.119</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XGBoost (default)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[0.593–0.634]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0.114</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XGBoost (tuned)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0.651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[0.631–0.670]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0.078</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Deep learning performance</w:t>
      </w:r>
    </w:p>
    <w:p>
      <w:pPr>
        <w:spacing w:after="140" w:line="360"/>
        <w:ind w:firstLine="400"/>
        <w:jc w:val="both"/>
      </w:pPr>
      <w:r>
        <w:rPr>
          <w:rFonts w:ascii="Times New Roman" w:cs="Times New Roman" w:eastAsia="Times New Roman" w:hAnsi="Times New Roman"/>
          <w:sz w:val="22"/>
          <w:szCs w:val="22"/>
        </w:rPr>
        <w:t xml:space="preserve">Table 4 presents DL results. XGBoost-snapshot (Year 4 features) achieved AUC=0.661 (CI: 0.615–0.705). GRU+Attention was the best temporal model (AUC=0.637). The DL ensemble achieved 0.641. Temporal models did not outperform snapshot XGBoost, suggesting cross-sectional features dominate prediction in this cohort.</w:t>
      </w:r>
    </w:p>
    <w:p>
      <w:pPr>
        <w:spacing w:after="100"/>
      </w:pPr>
    </w:p>
    <w:p>
      <w:pPr>
        <w:spacing w:after="100"/>
      </w:pPr>
      <w:r>
        <w:rPr>
          <w:rFonts w:ascii="Times New Roman" w:cs="Times New Roman" w:eastAsia="Times New Roman" w:hAnsi="Times New Roman"/>
          <w:b/>
          <w:bCs/>
          <w:sz w:val="20"/>
          <w:szCs w:val="20"/>
        </w:rPr>
        <w:t xml:space="preserve">Table 4. Deep learning model performance (test set, bootstrap 95%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426"/>
      </w:tblGrid>
      <w:tr>
        <w:tc>
          <w:tcPr>
            <w:tcW w:type="dxa" w:w="2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AUC</w:t>
            </w:r>
          </w:p>
        </w:tc>
        <w:tc>
          <w:tcPr>
            <w:tcW w:type="dxa" w:w="28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24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XGB-snapshot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0.661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[0.615–0.705]</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DL-Ensemble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[0.597–0.685]</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GRU+Attention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[0.592–0.681]</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LSTM+Attention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[0.587–0.674]</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Transformer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[0.576–0.666]</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0.120</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SHAP-based cross-national interpretability</w:t>
      </w:r>
    </w:p>
    <w:p>
      <w:pPr>
        <w:spacing w:after="140" w:line="360"/>
        <w:ind w:firstLine="400"/>
        <w:jc w:val="both"/>
      </w:pPr>
      <w:r>
        <w:rPr>
          <w:rFonts w:ascii="Times New Roman" w:cs="Times New Roman" w:eastAsia="Times New Roman" w:hAnsi="Times New Roman"/>
          <w:sz w:val="22"/>
          <w:szCs w:val="22"/>
        </w:rPr>
        <w:t xml:space="preserve">SHAP analysis revealed consistent risk factor rankings across nationalities (Table 5). BMI was dominant in all groups (Korean: 0.173, Chinese: 0.172, Other: 0.172). Nationality indicators contributed minimally (nat_Korean SHAP=0.0009, nat_Chinese=0.0007), confirming individual-level factors drive prediction.</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SHAP interaction analysis</w:t>
      </w:r>
      <w:r>
        <w:rPr>
          <w:rFonts w:ascii="Times New Roman" w:cs="Times New Roman" w:eastAsia="Times New Roman" w:hAnsi="Times New Roman"/>
          <w:sz w:val="22"/>
          <w:szCs w:val="22"/>
        </w:rPr>
        <w:t xml:space="preserve"> identified BMI × HbA1c as the strongest feature pair interaction, indicating that the combined effect of elevated BMI and HbA1c on diabetes risk exceeds their individual contributions. The BMI × fasting glucose interaction was the second strongest pair. These nonlinear interactions were consistent across nationality subgroups, further supporting a unified prediction model.</w:t>
      </w:r>
    </w:p>
    <w:p>
      <w:pPr>
        <w:spacing w:after="100"/>
      </w:pPr>
    </w:p>
    <w:p>
      <w:pPr>
        <w:spacing w:after="100"/>
      </w:pPr>
      <w:r>
        <w:rPr>
          <w:rFonts w:ascii="Times New Roman" w:cs="Times New Roman" w:eastAsia="Times New Roman" w:hAnsi="Times New Roman"/>
          <w:b/>
          <w:bCs/>
          <w:sz w:val="20"/>
          <w:szCs w:val="20"/>
        </w:rPr>
        <w:t xml:space="preserve">Table 5. Cross-national SHAP feature importance (mean |SHAP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1400"/>
        <w:gridCol w:w="1400"/>
        <w:gridCol w:w="1026"/>
      </w:tblGrid>
      <w:tr>
        <w:tc>
          <w:tcPr>
            <w:tcW w:type="dxa" w:w="10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Rank</w:t>
            </w:r>
          </w:p>
        </w:tc>
        <w:tc>
          <w:tcPr>
            <w:tcW w:type="dxa" w:w="28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Feature</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Korean</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Chinese</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Other</w:t>
            </w:r>
          </w:p>
        </w:tc>
        <w:tc>
          <w:tcPr>
            <w:tcW w:type="dxa" w:w="10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BMI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0.172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Family history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0.138</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HbA1c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0.130</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Fasting glucose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Genetic risk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0.042</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0.044</w:t>
            </w:r>
          </w:p>
        </w:tc>
      </w:tr>
    </w:tbl>
    <w:p>
      <w:pPr>
        <w:spacing w:after="200"/>
      </w:pPr>
    </w:p>
    <w:p>
      <w:pPr>
        <w:pStyle w:val="Heading2"/>
        <w:spacing w:after="160" w:before="280"/>
      </w:pPr>
      <w:r>
        <w:rPr>
          <w:rFonts w:ascii="Times New Roman" w:cs="Times New Roman" w:eastAsia="Times New Roman" w:hAnsi="Times New Roman"/>
          <w:b/>
          <w:bCs/>
          <w:i/>
          <w:iCs/>
          <w:sz w:val="24"/>
          <w:szCs w:val="24"/>
        </w:rPr>
        <w:t xml:space="preserve">Algorithmic fairness assessment</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Table 6 presents the fairness evaluation across nationality and sex subgroups.</w:t>
      </w:r>
      <w:r>
        <w:rPr>
          <w:rFonts w:ascii="Times New Roman" w:cs="Times New Roman" w:eastAsia="Times New Roman" w:hAnsi="Times New Roman"/>
          <w:sz w:val="22"/>
          <w:szCs w:val="22"/>
        </w:rPr>
        <w:t xml:space="preserve"> The maximum inter-group AUC difference across nationalities was ΔAUC=0.018 (Korean AUC=0.655 vs. Other AUC=0.637), well below the 0.05 threshold. Sex-stratified analysis showed comparable performance (Male AUC=0.648, Female AUC=0.654, ΔAUC=0.006). Calibration curves were consistent across subgroups (all Brier scores within 0.01). The SHAP contributions of nationality indicators ranked in the bottom 10% of all features, confirming that the model does not rely on protected attributes for prediction. These results demonstrate that the model meets equalized odds and calibration equity criteria, supporting its deployment in multi-ethnic clinical settings without systematic bias against any nationality or sex group.</w:t>
      </w:r>
    </w:p>
    <w:p>
      <w:pPr>
        <w:spacing w:after="100"/>
      </w:pPr>
    </w:p>
    <w:p>
      <w:pPr>
        <w:spacing w:after="100"/>
      </w:pPr>
      <w:r>
        <w:rPr>
          <w:rFonts w:ascii="Times New Roman" w:cs="Times New Roman" w:eastAsia="Times New Roman" w:hAnsi="Times New Roman"/>
          <w:b/>
          <w:bCs/>
          <w:sz w:val="20"/>
          <w:szCs w:val="20"/>
        </w:rPr>
        <w:t xml:space="preserve">Table 6. Algorithmic fairness: subgroup-specific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226"/>
      </w:tblGrid>
      <w:tr>
        <w:tc>
          <w:tcPr>
            <w:tcW w:type="dxa" w:w="22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Subgroup</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AUC</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Sensitivity</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Specificity</w:t>
            </w:r>
          </w:p>
        </w:tc>
        <w:tc>
          <w:tcPr>
            <w:tcW w:type="dxa" w:w="140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Brier</w:t>
            </w:r>
          </w:p>
        </w:tc>
        <w:tc>
          <w:tcPr>
            <w:tcW w:type="dxa" w:w="1226"/>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Nat. SHAP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Korean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0.076</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Chinese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0.079</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Other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0.080</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&lt;0.001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Male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0.648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0.078</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Female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bl>
    <w:p>
      <w:pPr>
        <w:spacing w:after="80"/>
      </w:pPr>
      <w:r>
        <w:rPr>
          <w:rFonts w:ascii="Times New Roman" w:cs="Times New Roman" w:eastAsia="Times New Roman" w:hAnsi="Times New Roman"/>
          <w:i/>
          <w:iCs/>
          <w:sz w:val="18"/>
          <w:szCs w:val="18"/>
        </w:rPr>
        <w:t xml:space="preserve">Nat. SHAP = mean |SHAP| of nationality indicator variable for that subgroup. ΔAUC (max nationality) = 0.018; ΔAUC (sex) = 0.006.</w:t>
      </w:r>
    </w:p>
    <w:p>
      <w:r>
        <w:br w:type="page"/>
      </w:r>
    </w:p>
    <w:p>
      <w:pPr>
        <w:pStyle w:val="Heading1"/>
        <w:spacing w:after="200" w:before="360"/>
      </w:pPr>
      <w:r>
        <w:rPr>
          <w:rFonts w:ascii="Times New Roman" w:cs="Times New Roman" w:eastAsia="Times New Roman" w:hAnsi="Times New Roman"/>
          <w:b/>
          <w:bCs/>
          <w:sz w:val="28"/>
          <w:szCs w:val="28"/>
        </w:rPr>
        <w:t xml:space="preserve">Discussion</w:t>
      </w:r>
    </w:p>
    <w:p>
      <w:pPr>
        <w:pStyle w:val="Heading2"/>
        <w:spacing w:after="160" w:before="280"/>
      </w:pPr>
      <w:r>
        <w:rPr>
          <w:rFonts w:ascii="Times New Roman" w:cs="Times New Roman" w:eastAsia="Times New Roman" w:hAnsi="Times New Roman"/>
          <w:b/>
          <w:bCs/>
          <w:i/>
          <w:iCs/>
          <w:sz w:val="24"/>
          <w:szCs w:val="24"/>
        </w:rPr>
        <w:t xml:space="preserve">Principal findings</w:t>
      </w:r>
    </w:p>
    <w:p>
      <w:pPr>
        <w:spacing w:after="140" w:line="360"/>
        <w:ind w:firstLine="400"/>
        <w:jc w:val="both"/>
      </w:pPr>
      <w:r>
        <w:rPr>
          <w:rFonts w:ascii="Times New Roman" w:cs="Times New Roman" w:eastAsia="Times New Roman" w:hAnsi="Times New Roman"/>
          <w:sz w:val="22"/>
          <w:szCs w:val="22"/>
        </w:rPr>
        <w:t xml:space="preserve">This study presents a TRIPOD+AI-compliant, multi-method framework for cross-national diabetes risk prediction with integrated fairness assessment. Three key findings emerged. First, SHAP analysis revealed remarkably consistent risk factor rankings across East Asian nationalities, with BMI, family history, and HbA1c as universally dominant predictors. Second, algorithmic fairness assessment confirmed equitable model performance across nationality and sex subgroups (ΔAUC&lt;0.02), meeting demographic parity criteria. Third, the Optuna-tuned XGBoost achieved moderate but clinically informative discrimination (AUC=0.651) with well-calibrated predictions.</w:t>
      </w:r>
    </w:p>
    <w:p>
      <w:pPr>
        <w:pStyle w:val="Heading2"/>
        <w:spacing w:after="160" w:before="280"/>
      </w:pPr>
      <w:r>
        <w:rPr>
          <w:rFonts w:ascii="Times New Roman" w:cs="Times New Roman" w:eastAsia="Times New Roman" w:hAnsi="Times New Roman"/>
          <w:b/>
          <w:bCs/>
          <w:i/>
          <w:iCs/>
          <w:sz w:val="24"/>
          <w:szCs w:val="24"/>
        </w:rPr>
        <w:t xml:space="preserve">Comparison with existing literature</w:t>
      </w:r>
    </w:p>
    <w:p>
      <w:pPr>
        <w:spacing w:after="140" w:line="360"/>
        <w:ind w:firstLine="400"/>
        <w:jc w:val="both"/>
      </w:pPr>
      <w:r>
        <w:rPr>
          <w:rFonts w:ascii="Times New Roman" w:cs="Times New Roman" w:eastAsia="Times New Roman" w:hAnsi="Times New Roman"/>
          <w:sz w:val="22"/>
          <w:szCs w:val="22"/>
        </w:rPr>
        <w:t xml:space="preserve">Our finding that BMI is the strongest predictor (SHAP=0.172) aligns with epidemiological evidence linking adiposity to T2DM in East Asian populations, where diabetes risk increases at lower BMI thresholds [4, 15]. The strong role of family history (HR=1.704) is consistent with genetic studies estimating 2–3-fold increased risk [3]. The moderate AUC values (0.62–0.66) are consistent with meta-analyses; Zhang et al. [27] reported pooled AUC=0.82 for gestational diabetes, though T2DM prediction from baseline features typically yields 0.60–0.75 in population cohorts [5, 7].</w:t>
      </w:r>
    </w:p>
    <w:p>
      <w:pPr>
        <w:spacing w:after="140" w:line="360"/>
        <w:ind w:firstLine="400"/>
        <w:jc w:val="both"/>
      </w:pPr>
      <w:r>
        <w:rPr>
          <w:rFonts w:ascii="Times New Roman" w:cs="Times New Roman" w:eastAsia="Times New Roman" w:hAnsi="Times New Roman"/>
          <w:sz w:val="22"/>
          <w:szCs w:val="22"/>
        </w:rPr>
        <w:t xml:space="preserve">The observation that temporal DL models did not outperform snapshot XGBoost is consistent with Soltanizadeh and Naghibi’s review [10], which noted RNN advantages manifest primarily with high-frequency data. Our annually-spaced measurements may be too coarse for temporal models to exploit sequential patterns effectively. This finding has practical implications: simpler cross-sectional models may be preferred for deployment when longitudinal data collection is resource-intensive.</w:t>
      </w:r>
    </w:p>
    <w:p>
      <w:pPr>
        <w:pStyle w:val="Heading2"/>
        <w:spacing w:after="160" w:before="280"/>
      </w:pPr>
      <w:r>
        <w:rPr>
          <w:rFonts w:ascii="Times New Roman" w:cs="Times New Roman" w:eastAsia="Times New Roman" w:hAnsi="Times New Roman"/>
          <w:b/>
          <w:bCs/>
          <w:i/>
          <w:iCs/>
          <w:sz w:val="24"/>
          <w:szCs w:val="24"/>
        </w:rPr>
        <w:t xml:space="preserve">Algorithmic fairness and responsible AI</w:t>
      </w:r>
    </w:p>
    <w:p>
      <w:pPr>
        <w:spacing w:after="140" w:line="360"/>
        <w:ind w:firstLine="400"/>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A novel contribution of this study is the systematic fairness assessment, which is increasingly mandated by regulatory frameworks and publication guidelines [17, 18, 19].</w:t>
      </w:r>
      <w:r>
        <w:rPr>
          <w:rFonts w:ascii="Times New Roman" w:cs="Times New Roman" w:eastAsia="Times New Roman" w:hAnsi="Times New Roman"/>
          <w:sz w:val="22"/>
          <w:szCs w:val="22"/>
        </w:rPr>
        <w:t xml:space="preserve"> The negligible SHAP contributions of nationality indicators (SHAP&lt;0.001) and the narrow inter-group AUC spread (ΔAUC=0.018) provide quantitative evidence that the model does not systematically disadvantage any nationality or sex group. This is particularly important for deploying prediction tools in multi-ethnic healthcare settings, where algorithmic bias could exacerbate existing health disparities. Rajkomar et al. [17] emphasized that fairness evaluation should be standard practice in clinical ML—our results demonstrate how this can be operationalized through SHAP-based attribution analysis combined with subgroup performance metrics.</w:t>
      </w:r>
    </w:p>
    <w:p>
      <w:pPr>
        <w:pStyle w:val="Heading2"/>
        <w:spacing w:after="160" w:before="280"/>
      </w:pPr>
      <w:r>
        <w:rPr>
          <w:rFonts w:ascii="Times New Roman" w:cs="Times New Roman" w:eastAsia="Times New Roman" w:hAnsi="Times New Roman"/>
          <w:b/>
          <w:bCs/>
          <w:i/>
          <w:iCs/>
          <w:sz w:val="24"/>
          <w:szCs w:val="24"/>
        </w:rPr>
        <w:t xml:space="preserve">Clinical translation</w:t>
      </w:r>
    </w:p>
    <w:p>
      <w:pPr>
        <w:spacing w:after="140" w:line="360"/>
        <w:ind w:firstLine="400"/>
        <w:jc w:val="both"/>
      </w:pPr>
      <w:r>
        <w:rPr>
          <w:rFonts w:ascii="Times New Roman" w:cs="Times New Roman" w:eastAsia="Times New Roman" w:hAnsi="Times New Roman"/>
          <w:sz w:val="22"/>
          <w:szCs w:val="22"/>
        </w:rPr>
        <w:t xml:space="preserve">The web dashboard and mobile applications represent translational implementation following the approach of Du et al. [21] and Wang et al. [20]. Our tool enables CSV upload, real-time risk scoring, and interactive visualizations—extending beyond static prediction to actionable clinical decision support. The mobile applications enhance accessibility for diverse clinical environments.</w:t>
      </w:r>
    </w:p>
    <w:p>
      <w:pPr>
        <w:pStyle w:val="Heading2"/>
        <w:spacing w:after="160" w:before="280"/>
      </w:pPr>
      <w:r>
        <w:rPr>
          <w:rFonts w:ascii="Times New Roman" w:cs="Times New Roman" w:eastAsia="Times New Roman" w:hAnsi="Times New Roman"/>
          <w:b/>
          <w:bCs/>
          <w:i/>
          <w:iCs/>
          <w:sz w:val="24"/>
          <w:szCs w:val="24"/>
        </w:rPr>
        <w:t xml:space="preserve">Strengths and limitations</w:t>
      </w:r>
    </w:p>
    <w:p>
      <w:pPr>
        <w:spacing w:after="140" w:line="360"/>
        <w:ind w:firstLine="400"/>
        <w:jc w:val="both"/>
      </w:pPr>
      <w:r>
        <w:rPr>
          <w:rFonts w:ascii="Times New Roman" w:cs="Times New Roman" w:eastAsia="Times New Roman" w:hAnsi="Times New Roman"/>
          <w:sz w:val="22"/>
          <w:szCs w:val="22"/>
        </w:rPr>
        <w:t xml:space="preserve">Strengths include: (1) TRIPOD+AI-compliant reporting; (2) large multi-national cohort with 35-variable feature set; (3) five-stage pipeline with survival, ML, DL, and XAI; (4) systematic fairness assessment; (5) SHAP interaction analysis; and (6) practical clinical tools.</w:t>
      </w:r>
    </w:p>
    <w:p>
      <w:pPr>
        <w:spacing w:after="140" w:line="360"/>
        <w:ind w:firstLine="400"/>
        <w:jc w:val="both"/>
      </w:pPr>
      <w:r>
        <w:rPr>
          <w:rFonts w:ascii="Times New Roman" w:cs="Times New Roman" w:eastAsia="Times New Roman" w:hAnsi="Times New Roman"/>
          <w:sz w:val="22"/>
          <w:szCs w:val="22"/>
        </w:rPr>
        <w:t xml:space="preserve">Limitations: (1) moderate AUC (0.65) limits individual-level screening utility, though suitable for population stratification; (2) absence of significant cross-national biomarker differences may reflect cohort composition; (3) external validation on independent cohorts is needed [28, 29]; (4) the 7.91% event rate creates class imbalance reflected in low AP scores; (5) fairness analysis was retrospective—prospective monitoring during deployment is recommended [30]. Future work should investigate federated learning for multi-site validation, integration with electronic health records, and prospective clinical trials.</w:t>
      </w:r>
    </w:p>
    <w:p>
      <w:r>
        <w:br w:type="page"/>
      </w:r>
    </w:p>
    <w:p>
      <w:pPr>
        <w:pStyle w:val="Heading1"/>
        <w:spacing w:after="200" w:before="360"/>
      </w:pPr>
      <w:r>
        <w:rPr>
          <w:rFonts w:ascii="Times New Roman" w:cs="Times New Roman" w:eastAsia="Times New Roman" w:hAnsi="Times New Roman"/>
          <w:b/>
          <w:bCs/>
          <w:sz w:val="28"/>
          <w:szCs w:val="28"/>
        </w:rPr>
        <w:t xml:space="preserve">Conclusions</w:t>
      </w:r>
    </w:p>
    <w:p>
      <w:pPr>
        <w:spacing w:after="140" w:line="360"/>
        <w:ind w:firstLine="400"/>
        <w:jc w:val="both"/>
      </w:pPr>
      <w:r>
        <w:rPr>
          <w:rFonts w:ascii="Times New Roman" w:cs="Times New Roman" w:eastAsia="Times New Roman" w:hAnsi="Times New Roman"/>
          <w:sz w:val="22"/>
          <w:szCs w:val="22"/>
        </w:rPr>
        <w:t xml:space="preserve">This TRIPOD+AI-compliant study developed a comprehensive framework for cross-national diabetes risk prediction in East Asian populations. SHAP analysis demonstrated universally consistent risk factors across nationalities, with BMI, family history, and HbA1c as dominant predictors. Algorithmic fairness assessment confirmed equitable performance across demographic subgroups. The integration of explainable ML, fairness evaluation, and translational clinical tools (web dashboard and mobile apps) provides a responsible, evidence-based decision support system for multi-ethnic diabetes prevention. This work establishes a methodological template for developing fair, interpretable, and clinically deployable prediction models in diverse healthcare settings.</w:t>
      </w:r>
    </w:p>
    <w:p>
      <w:pPr>
        <w:spacing w:after="200"/>
      </w:pPr>
    </w:p>
    <w:p>
      <w:pPr>
        <w:pStyle w:val="Heading1"/>
        <w:spacing w:after="200" w:before="360"/>
      </w:pPr>
      <w:r>
        <w:rPr>
          <w:rFonts w:ascii="Times New Roman" w:cs="Times New Roman" w:eastAsia="Times New Roman" w:hAnsi="Times New Roman"/>
          <w:b/>
          <w:bCs/>
          <w:sz w:val="28"/>
          <w:szCs w:val="28"/>
        </w:rPr>
        <w:t xml:space="preserve">Abbreviations</w:t>
      </w:r>
    </w:p>
    <w:p>
      <w:pPr>
        <w:spacing w:after="140" w:line="360"/>
        <w:jc w:val="both"/>
      </w:pPr>
      <w:r>
        <w:rPr>
          <w:rFonts w:ascii="Times New Roman" w:cs="Times New Roman" w:eastAsia="Times New Roman" w:hAnsi="Times New Roman"/>
          <w:sz w:val="22"/>
          <w:szCs w:val="22"/>
        </w:rPr>
        <w:t xml:space="preserve">AUC: area under the ROC curve; AP: average precision; BMI: body mass index; CI: confidence interval; CRP: C-reactive protein; DL: deep learning; GRU: gated recurrent unit; HbA1c: glycated hemoglobin; HR: hazard ratio; LSTM: long short-term memory; ML: machine learning; SHAP: SHapley Additive exPlanations; T2DM: type 2 diabetes mellitus; TRIPOD+AI: Transparent Reporting of a multivariable prediction model for Individual Prognosis or Diagnosis—Artificial Intelligence; XAI: explainable artificial intelligence</w:t>
      </w:r>
    </w:p>
    <w:p>
      <w:pPr>
        <w:spacing w:after="200"/>
      </w:pPr>
    </w:p>
    <w:p>
      <w:pPr>
        <w:pStyle w:val="Heading1"/>
        <w:spacing w:after="200" w:before="360"/>
      </w:pPr>
      <w:r>
        <w:rPr>
          <w:rFonts w:ascii="Times New Roman" w:cs="Times New Roman" w:eastAsia="Times New Roman" w:hAnsi="Times New Roman"/>
          <w:b/>
          <w:bCs/>
          <w:sz w:val="28"/>
          <w:szCs w:val="28"/>
        </w:rPr>
        <w:t xml:space="preserve">Declarations</w:t>
      </w:r>
    </w:p>
    <w:p>
      <w:pPr>
        <w:pStyle w:val="Heading2"/>
        <w:spacing w:after="160" w:before="280"/>
      </w:pPr>
      <w:r>
        <w:rPr>
          <w:rFonts w:ascii="Times New Roman" w:cs="Times New Roman" w:eastAsia="Times New Roman" w:hAnsi="Times New Roman"/>
          <w:b/>
          <w:bCs/>
          <w:i/>
          <w:iCs/>
          <w:sz w:val="24"/>
          <w:szCs w:val="24"/>
        </w:rPr>
        <w:t xml:space="preserve">Ethics approval</w:t>
      </w:r>
    </w:p>
    <w:p>
      <w:pPr>
        <w:spacing w:after="140" w:line="360"/>
        <w:jc w:val="both"/>
      </w:pPr>
      <w:r>
        <w:rPr>
          <w:rFonts w:ascii="Times New Roman" w:cs="Times New Roman" w:eastAsia="Times New Roman" w:hAnsi="Times New Roman"/>
          <w:sz w:val="22"/>
          <w:szCs w:val="22"/>
        </w:rPr>
        <w:t xml:space="preserve">This study used de-identified retrospective cohort data and was exempt from institutional review board approval.</w:t>
      </w:r>
    </w:p>
    <w:p>
      <w:pPr>
        <w:pStyle w:val="Heading2"/>
        <w:spacing w:after="160" w:before="280"/>
      </w:pPr>
      <w:r>
        <w:rPr>
          <w:rFonts w:ascii="Times New Roman" w:cs="Times New Roman" w:eastAsia="Times New Roman" w:hAnsi="Times New Roman"/>
          <w:b/>
          <w:bCs/>
          <w:i/>
          <w:iCs/>
          <w:sz w:val="24"/>
          <w:szCs w:val="24"/>
        </w:rPr>
        <w:t xml:space="preserve">Availability of data and materials</w:t>
      </w:r>
    </w:p>
    <w:p>
      <w:pPr>
        <w:spacing w:after="140" w:line="360"/>
        <w:jc w:val="both"/>
      </w:pPr>
      <w:r>
        <w:rPr>
          <w:rFonts w:ascii="Times New Roman" w:cs="Times New Roman" w:eastAsia="Times New Roman" w:hAnsi="Times New Roman"/>
          <w:sz w:val="22"/>
          <w:szCs w:val="22"/>
        </w:rPr>
        <w:t xml:space="preserve">The complete analysis pipeline, source code, output figures, web dashboard, and mobile application source code are publicly available at https://github.com/y3korea/ebp-diabetes-prediction-paper. The web dashboard is accessible at https://ebp-diabetes-prediction.vercel.app. The sample dataset (30 patients) is included in the repository. The full cohort dataset is available from the corresponding author upon reasonable request.</w:t>
      </w:r>
    </w:p>
    <w:p>
      <w:pPr>
        <w:pStyle w:val="Heading2"/>
        <w:spacing w:after="160" w:before="280"/>
      </w:pPr>
      <w:r>
        <w:rPr>
          <w:rFonts w:ascii="Times New Roman" w:cs="Times New Roman" w:eastAsia="Times New Roman" w:hAnsi="Times New Roman"/>
          <w:b/>
          <w:bCs/>
          <w:i/>
          <w:iCs/>
          <w:sz w:val="24"/>
          <w:szCs w:val="24"/>
        </w:rPr>
        <w:t xml:space="preserve">Competing interests</w:t>
      </w:r>
    </w:p>
    <w:p>
      <w:pPr>
        <w:spacing w:after="140" w:line="360"/>
        <w:jc w:val="both"/>
      </w:pPr>
      <w:r>
        <w:rPr>
          <w:rFonts w:ascii="Times New Roman" w:cs="Times New Roman" w:eastAsia="Times New Roman" w:hAnsi="Times New Roman"/>
          <w:sz w:val="22"/>
          <w:szCs w:val="22"/>
        </w:rPr>
        <w:t xml:space="preserve">The author declares no competing interests.</w:t>
      </w:r>
    </w:p>
    <w:p>
      <w:pPr>
        <w:pStyle w:val="Heading2"/>
        <w:spacing w:after="160" w:before="280"/>
      </w:pPr>
      <w:r>
        <w:rPr>
          <w:rFonts w:ascii="Times New Roman" w:cs="Times New Roman" w:eastAsia="Times New Roman" w:hAnsi="Times New Roman"/>
          <w:b/>
          <w:bCs/>
          <w:i/>
          <w:iCs/>
          <w:sz w:val="24"/>
          <w:szCs w:val="24"/>
        </w:rPr>
        <w:t xml:space="preserve">Funding</w:t>
      </w:r>
    </w:p>
    <w:p>
      <w:pPr>
        <w:spacing w:after="140" w:line="360"/>
        <w:jc w:val="both"/>
      </w:pPr>
      <w:r>
        <w:rPr>
          <w:rFonts w:ascii="Times New Roman" w:cs="Times New Roman" w:eastAsia="Times New Roman" w:hAnsi="Times New Roman"/>
          <w:sz w:val="22"/>
          <w:szCs w:val="22"/>
        </w:rPr>
        <w:t xml:space="preserve">This research was supported by Kyungwoon University.</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00" w:line="320"/>
        <w:ind w:left="400" w:hanging="400"/>
      </w:pPr>
      <w:r>
        <w:rPr>
          <w:rFonts w:ascii="Times New Roman" w:cs="Times New Roman" w:eastAsia="Times New Roman" w:hAnsi="Times New Roman"/>
          <w:sz w:val="20"/>
          <w:szCs w:val="20"/>
        </w:rPr>
        <w:t xml:space="preserve">1. Oikonomou EK, Khera R. Machine learning in precision diabetes care and cardiovascular risk prediction. Cardiovasc Diabetol. 2023;22:259. https://doi.org/10.1186/s12933-023-01985-3</w:t>
      </w:r>
    </w:p>
    <w:p>
      <w:pPr>
        <w:spacing w:after="100" w:line="320"/>
        <w:ind w:left="400" w:hanging="400"/>
      </w:pPr>
      <w:r>
        <w:rPr>
          <w:rFonts w:ascii="Times New Roman" w:cs="Times New Roman" w:eastAsia="Times New Roman" w:hAnsi="Times New Roman"/>
          <w:sz w:val="20"/>
          <w:szCs w:val="20"/>
        </w:rPr>
        <w:t xml:space="preserve">2. Green A, Hede SM, Patterson CC, et al. Type 1 diabetes in 2017: global estimates of incident and prevalent cases. Diabetologia. 2021;64(12):2741–2750. https://doi.org/10.1007/s00125-021-05571-8</w:t>
      </w:r>
    </w:p>
    <w:p>
      <w:pPr>
        <w:spacing w:after="100" w:line="320"/>
        <w:ind w:left="400" w:hanging="400"/>
      </w:pPr>
      <w:r>
        <w:rPr>
          <w:rFonts w:ascii="Times New Roman" w:cs="Times New Roman" w:eastAsia="Times New Roman" w:hAnsi="Times New Roman"/>
          <w:sz w:val="20"/>
          <w:szCs w:val="20"/>
        </w:rPr>
        <w:t xml:space="preserve">3. Nomura A, Noguchi M, Kometani M, et al. Artificial Intelligence in Current Diabetes Management and Prediction. Curr Diabetes Rep. 2021;21:61. https://doi.org/10.1007/s11892-021-01423-2</w:t>
      </w:r>
    </w:p>
    <w:p>
      <w:pPr>
        <w:spacing w:after="100" w:line="320"/>
        <w:ind w:left="400" w:hanging="400"/>
      </w:pPr>
      <w:r>
        <w:rPr>
          <w:rFonts w:ascii="Times New Roman" w:cs="Times New Roman" w:eastAsia="Times New Roman" w:hAnsi="Times New Roman"/>
          <w:sz w:val="20"/>
          <w:szCs w:val="20"/>
        </w:rPr>
        <w:t xml:space="preserve">4. GBD 2021 Collaborators. Global prevalence of adult overweight and obesity, 1990–2021. Lancet. 2025;405:813–838. https://doi.org/10.1016/S0140-6736(25)00355-1</w:t>
      </w:r>
    </w:p>
    <w:p>
      <w:pPr>
        <w:spacing w:after="100" w:line="320"/>
        <w:ind w:left="400" w:hanging="400"/>
      </w:pPr>
      <w:r>
        <w:rPr>
          <w:rFonts w:ascii="Times New Roman" w:cs="Times New Roman" w:eastAsia="Times New Roman" w:hAnsi="Times New Roman"/>
          <w:sz w:val="20"/>
          <w:szCs w:val="20"/>
        </w:rPr>
        <w:t xml:space="preserve">5. Khokhar PB, Gravino C, Palomba F. Advances in AI for diabetes prediction: systematic review. Artif Intell Med. 2025;164:103132. https://doi.org/10.1016/j.artmed.2025.103132</w:t>
      </w:r>
    </w:p>
    <w:p>
      <w:pPr>
        <w:spacing w:after="100" w:line="320"/>
        <w:ind w:left="400" w:hanging="400"/>
      </w:pPr>
      <w:r>
        <w:rPr>
          <w:rFonts w:ascii="Times New Roman" w:cs="Times New Roman" w:eastAsia="Times New Roman" w:hAnsi="Times New Roman"/>
          <w:sz w:val="20"/>
          <w:szCs w:val="20"/>
        </w:rPr>
        <w:t xml:space="preserve">6. Kibria HB, et al. Ensemble approach for diabetes prediction with explainable AI. Sensors. 2022;22(19):7268. https://doi.org/10.3390/s22197268</w:t>
      </w:r>
    </w:p>
    <w:p>
      <w:pPr>
        <w:spacing w:after="100" w:line="320"/>
        <w:ind w:left="400" w:hanging="400"/>
      </w:pPr>
      <w:r>
        <w:rPr>
          <w:rFonts w:ascii="Times New Roman" w:cs="Times New Roman" w:eastAsia="Times New Roman" w:hAnsi="Times New Roman"/>
          <w:sz w:val="20"/>
          <w:szCs w:val="20"/>
        </w:rPr>
        <w:t xml:space="preserve">7. Tasin I, et al. Diabetes prediction using ML and explainable AI techniques. Healthc Technol Lett. 2023;10(1–2):1–10. https://doi.org/10.1049/htl2.12039</w:t>
      </w:r>
    </w:p>
    <w:p>
      <w:pPr>
        <w:spacing w:after="100" w:line="320"/>
        <w:ind w:left="400" w:hanging="400"/>
      </w:pPr>
      <w:r>
        <w:rPr>
          <w:rFonts w:ascii="Times New Roman" w:cs="Times New Roman" w:eastAsia="Times New Roman" w:hAnsi="Times New Roman"/>
          <w:sz w:val="20"/>
          <w:szCs w:val="20"/>
        </w:rPr>
        <w:t xml:space="preserve">8. Rabby MF, et al. Stacked LSTM for blood glucose prediction. BMC Med Inform Decis Mak. 2021;21:101. https://doi.org/10.1186/s12911-021-01462-5</w:t>
      </w:r>
    </w:p>
    <w:p>
      <w:pPr>
        <w:spacing w:after="100" w:line="320"/>
        <w:ind w:left="400" w:hanging="400"/>
      </w:pPr>
      <w:r>
        <w:rPr>
          <w:rFonts w:ascii="Times New Roman" w:cs="Times New Roman" w:eastAsia="Times New Roman" w:hAnsi="Times New Roman"/>
          <w:sz w:val="20"/>
          <w:szCs w:val="20"/>
        </w:rPr>
        <w:t xml:space="preserve">9. Srinivasu PN, et al. RNN for predicting type-2 diabetes from genomic and tabular data. Diagnostics. 2022;12(12):3067. https://doi.org/10.3390/diagnostics12123067</w:t>
      </w:r>
    </w:p>
    <w:p>
      <w:pPr>
        <w:spacing w:after="100" w:line="320"/>
        <w:ind w:left="400" w:hanging="400"/>
      </w:pPr>
      <w:r>
        <w:rPr>
          <w:rFonts w:ascii="Times New Roman" w:cs="Times New Roman" w:eastAsia="Times New Roman" w:hAnsi="Times New Roman"/>
          <w:sz w:val="20"/>
          <w:szCs w:val="20"/>
        </w:rPr>
        <w:t xml:space="preserve">10. Soltanizadeh S, Naghibi SS. Hybrid CNN-LSTM for predicting diabetes: a review. Curr Diabetes Rev. 2024;20(7):e201023222410. https://doi.org/10.2174/0115733998261151230925062430</w:t>
      </w:r>
    </w:p>
    <w:p>
      <w:pPr>
        <w:spacing w:after="100" w:line="320"/>
        <w:ind w:left="400" w:hanging="400"/>
      </w:pPr>
      <w:r>
        <w:rPr>
          <w:rFonts w:ascii="Times New Roman" w:cs="Times New Roman" w:eastAsia="Times New Roman" w:hAnsi="Times New Roman"/>
          <w:sz w:val="20"/>
          <w:szCs w:val="20"/>
        </w:rPr>
        <w:t xml:space="preserve">11. Rafie Z, et al. Leveraging XGBoost and explainable AI for type 2 diabetes prediction. BMC Public Health. 2025;25(1):3688. https://doi.org/10.1186/s12889-025-24953-w</w:t>
      </w:r>
    </w:p>
    <w:p>
      <w:pPr>
        <w:spacing w:after="100" w:line="320"/>
        <w:ind w:left="400" w:hanging="400"/>
      </w:pPr>
      <w:r>
        <w:rPr>
          <w:rFonts w:ascii="Times New Roman" w:cs="Times New Roman" w:eastAsia="Times New Roman" w:hAnsi="Times New Roman"/>
          <w:sz w:val="20"/>
          <w:szCs w:val="20"/>
        </w:rPr>
        <w:t xml:space="preserve">12. Ellahham S. Artificial Intelligence: The Future for Diabetes Care. Am J Med. 2020;133(8):895–900. https://doi.org/10.1016/j.amjmed.2020.03.033</w:t>
      </w:r>
    </w:p>
    <w:p>
      <w:pPr>
        <w:spacing w:after="100" w:line="320"/>
        <w:ind w:left="400" w:hanging="400"/>
      </w:pPr>
      <w:r>
        <w:rPr>
          <w:rFonts w:ascii="Times New Roman" w:cs="Times New Roman" w:eastAsia="Times New Roman" w:hAnsi="Times New Roman"/>
          <w:sz w:val="20"/>
          <w:szCs w:val="20"/>
        </w:rPr>
        <w:t xml:space="preserve">13. Toledo-Marin JQ, et al. Prediction of blood risk score in diabetes using deep neural networks. J Clin Med. 2023;12(4):1695. https://doi.org/10.3390/jcm12041695</w:t>
      </w:r>
    </w:p>
    <w:p>
      <w:pPr>
        <w:spacing w:after="100" w:line="320"/>
        <w:ind w:left="400" w:hanging="400"/>
      </w:pPr>
      <w:r>
        <w:rPr>
          <w:rFonts w:ascii="Times New Roman" w:cs="Times New Roman" w:eastAsia="Times New Roman" w:hAnsi="Times New Roman"/>
          <w:sz w:val="20"/>
          <w:szCs w:val="20"/>
        </w:rPr>
        <w:t xml:space="preserve">14. Chivese T, et al. IDF Diabetes Atlas: prevalence of pre-existing diabetes in pregnancy. Diabetes Res Clin Pract. 2022;183:109049. https://doi.org/10.1016/j.diabres.2021.109049</w:t>
      </w:r>
    </w:p>
    <w:p>
      <w:pPr>
        <w:spacing w:after="100" w:line="320"/>
        <w:ind w:left="400" w:hanging="400"/>
      </w:pPr>
      <w:r>
        <w:rPr>
          <w:rFonts w:ascii="Times New Roman" w:cs="Times New Roman" w:eastAsia="Times New Roman" w:hAnsi="Times New Roman"/>
          <w:sz w:val="20"/>
          <w:szCs w:val="20"/>
        </w:rPr>
        <w:t xml:space="preserve">15. Yusufi FNK, et al. Impact of T2DM with a focus on Asian Indians. Endocr Metab Immune Disord Drug Targets. 2023;23(5):609–616. https://doi.org/10.2174/1871530322666220827161236</w:t>
      </w:r>
    </w:p>
    <w:p>
      <w:pPr>
        <w:spacing w:after="100" w:line="320"/>
        <w:ind w:left="400" w:hanging="400"/>
      </w:pPr>
      <w:r>
        <w:rPr>
          <w:rFonts w:ascii="Times New Roman" w:cs="Times New Roman" w:eastAsia="Times New Roman" w:hAnsi="Times New Roman"/>
          <w:sz w:val="20"/>
          <w:szCs w:val="20"/>
        </w:rPr>
        <w:t xml:space="preserve">16. Wei H, et al. Environmental chemical exposure and ML-based diabetes prediction. Sci Total Environ. 2022;806:150674. https://doi.org/10.1016/j.scitotenv.2021.150674</w:t>
      </w:r>
    </w:p>
    <w:p>
      <w:pPr>
        <w:spacing w:after="100" w:line="320"/>
        <w:ind w:left="400" w:hanging="400"/>
      </w:pPr>
      <w:r>
        <w:rPr>
          <w:rFonts w:ascii="Times New Roman" w:cs="Times New Roman" w:eastAsia="Times New Roman" w:hAnsi="Times New Roman"/>
          <w:sz w:val="20"/>
          <w:szCs w:val="20"/>
        </w:rPr>
        <w:t xml:space="preserve">17. Rajkomar A, Hardt M, Howell MD, Corrado G, Chin MH. Ensuring fairness in machine learning to advance health equity. Ann Intern Med. 2018;169(12):866–872. https://doi.org/10.7326/M18-1990</w:t>
      </w:r>
    </w:p>
    <w:p>
      <w:pPr>
        <w:spacing w:after="100" w:line="320"/>
        <w:ind w:left="400" w:hanging="400"/>
      </w:pPr>
      <w:r>
        <w:rPr>
          <w:rFonts w:ascii="Times New Roman" w:cs="Times New Roman" w:eastAsia="Times New Roman" w:hAnsi="Times New Roman"/>
          <w:sz w:val="20"/>
          <w:szCs w:val="20"/>
        </w:rPr>
        <w:t xml:space="preserve">18. Chen IY, Szolovits P, Ghassemi M. Can AI help reduce disparities in general medical and mental health care? AMA J Ethics. 2019;21(2):E167–179. https://doi.org/10.1001/amajethics.2019.167</w:t>
      </w:r>
    </w:p>
    <w:p>
      <w:pPr>
        <w:spacing w:after="100" w:line="320"/>
        <w:ind w:left="400" w:hanging="400"/>
      </w:pPr>
      <w:r>
        <w:rPr>
          <w:rFonts w:ascii="Times New Roman" w:cs="Times New Roman" w:eastAsia="Times New Roman" w:hAnsi="Times New Roman"/>
          <w:sz w:val="20"/>
          <w:szCs w:val="20"/>
        </w:rPr>
        <w:t xml:space="preserve">19. Collins GS, et al. TRIPOD+AI statement: updated reporting guidelines for clinical prediction models using regression or machine learning. BMJ. 2024;385:e078378. https://doi.org/10.1136/bmj-2023-078378</w:t>
      </w:r>
    </w:p>
    <w:p>
      <w:pPr>
        <w:spacing w:after="100" w:line="320"/>
        <w:ind w:left="400" w:hanging="400"/>
      </w:pPr>
      <w:r>
        <w:rPr>
          <w:rFonts w:ascii="Times New Roman" w:cs="Times New Roman" w:eastAsia="Times New Roman" w:hAnsi="Times New Roman"/>
          <w:sz w:val="20"/>
          <w:szCs w:val="20"/>
        </w:rPr>
        <w:t xml:space="preserve">20. Wang W, et al. Optimizing inpatient diabetes management with the diabetes dashboard. JBI Evid Implement. 2025. https://doi.org/10.1097/XEB.0000000000000489</w:t>
      </w:r>
    </w:p>
    <w:p>
      <w:pPr>
        <w:spacing w:after="100" w:line="320"/>
        <w:ind w:left="400" w:hanging="400"/>
      </w:pPr>
      <w:r>
        <w:rPr>
          <w:rFonts w:ascii="Times New Roman" w:cs="Times New Roman" w:eastAsia="Times New Roman" w:hAnsi="Times New Roman"/>
          <w:sz w:val="20"/>
          <w:szCs w:val="20"/>
        </w:rPr>
        <w:t xml:space="preserve">21. Du Y, et al. Explainable ML clinical decision support for gestational diabetes. Sci Rep. 2022;12:article. https://doi.org/10.1038/s41598-022-05112-2</w:t>
      </w:r>
    </w:p>
    <w:p>
      <w:pPr>
        <w:spacing w:after="100" w:line="320"/>
        <w:ind w:left="400" w:hanging="400"/>
      </w:pPr>
      <w:r>
        <w:rPr>
          <w:rFonts w:ascii="Times New Roman" w:cs="Times New Roman" w:eastAsia="Times New Roman" w:hAnsi="Times New Roman"/>
          <w:sz w:val="20"/>
          <w:szCs w:val="20"/>
        </w:rPr>
        <w:t xml:space="preserve">22. Hsu JC, et al. Prediabetes as risk factor: Cox regression with random survival forest. Cardiovasc Diabetol. 2023;22:article. https://doi.org/10.1186/s12933-023-01767-x</w:t>
      </w:r>
    </w:p>
    <w:p>
      <w:pPr>
        <w:spacing w:after="100" w:line="320"/>
        <w:ind w:left="400" w:hanging="400"/>
      </w:pPr>
      <w:r>
        <w:rPr>
          <w:rFonts w:ascii="Times New Roman" w:cs="Times New Roman" w:eastAsia="Times New Roman" w:hAnsi="Times New Roman"/>
          <w:sz w:val="20"/>
          <w:szCs w:val="20"/>
        </w:rPr>
        <w:t xml:space="preserve">23. Akiba T, Sano S, Yanase T, Ohta T, Koyama M. Optuna: a next-generation hyperparameter optimization framework. KDD. 2019:2623–2631. https://doi.org/10.1145/3292500.3330701</w:t>
      </w:r>
    </w:p>
    <w:p>
      <w:pPr>
        <w:spacing w:after="100" w:line="320"/>
        <w:ind w:left="400" w:hanging="400"/>
      </w:pPr>
      <w:r>
        <w:rPr>
          <w:rFonts w:ascii="Times New Roman" w:cs="Times New Roman" w:eastAsia="Times New Roman" w:hAnsi="Times New Roman"/>
          <w:sz w:val="20"/>
          <w:szCs w:val="20"/>
        </w:rPr>
        <w:t xml:space="preserve">24. Van Calster B, et al. Calibration: the Achilles heel of predictive analytics. BMC Med. 2019;17:230. https://doi.org/10.1186/s12916-019-1466-7</w:t>
      </w:r>
    </w:p>
    <w:p>
      <w:pPr>
        <w:spacing w:after="100" w:line="320"/>
        <w:ind w:left="400" w:hanging="400"/>
      </w:pPr>
      <w:r>
        <w:rPr>
          <w:rFonts w:ascii="Times New Roman" w:cs="Times New Roman" w:eastAsia="Times New Roman" w:hAnsi="Times New Roman"/>
          <w:sz w:val="20"/>
          <w:szCs w:val="20"/>
        </w:rPr>
        <w:t xml:space="preserve">25. Lundberg SM, Lee SI. A unified approach to interpreting model predictions. NeurIPS. 2017;30:4765–4774.</w:t>
      </w:r>
    </w:p>
    <w:p>
      <w:pPr>
        <w:spacing w:after="100" w:line="320"/>
        <w:ind w:left="400" w:hanging="400"/>
      </w:pPr>
      <w:r>
        <w:rPr>
          <w:rFonts w:ascii="Times New Roman" w:cs="Times New Roman" w:eastAsia="Times New Roman" w:hAnsi="Times New Roman"/>
          <w:sz w:val="20"/>
          <w:szCs w:val="20"/>
        </w:rPr>
        <w:t xml:space="preserve">26. Polevikov S. Advancing AI in healthcare: comprehensive review of best practices. Clin Chim Acta. 2023;548:117519. https://doi.org/10.1016/j.cca.2023.117519</w:t>
      </w:r>
    </w:p>
    <w:p>
      <w:pPr>
        <w:spacing w:after="100" w:line="320"/>
        <w:ind w:left="400" w:hanging="400"/>
      </w:pPr>
      <w:r>
        <w:rPr>
          <w:rFonts w:ascii="Times New Roman" w:cs="Times New Roman" w:eastAsia="Times New Roman" w:hAnsi="Times New Roman"/>
          <w:sz w:val="20"/>
          <w:szCs w:val="20"/>
        </w:rPr>
        <w:t xml:space="preserve">27. Zhang Z, et al. ML prediction models for gestational diabetes: meta-analysis. J Med Internet Res. 2022;24(3):e26634. https://doi.org/10.2196/26634</w:t>
      </w:r>
    </w:p>
    <w:p>
      <w:pPr>
        <w:spacing w:after="100" w:line="320"/>
        <w:ind w:left="400" w:hanging="400"/>
      </w:pPr>
      <w:r>
        <w:rPr>
          <w:rFonts w:ascii="Times New Roman" w:cs="Times New Roman" w:eastAsia="Times New Roman" w:hAnsi="Times New Roman"/>
          <w:sz w:val="20"/>
          <w:szCs w:val="20"/>
        </w:rPr>
        <w:t xml:space="preserve">28. Rhee SY, et al. Deep learning diabetes prediction using nationwide cohort. Diabetes Metab J. 2021;45(4):515–525. https://doi.org/10.4093/dmj.2020.0081</w:t>
      </w:r>
    </w:p>
    <w:p>
      <w:pPr>
        <w:spacing w:after="100" w:line="320"/>
        <w:ind w:left="400" w:hanging="400"/>
      </w:pPr>
      <w:r>
        <w:rPr>
          <w:rFonts w:ascii="Times New Roman" w:cs="Times New Roman" w:eastAsia="Times New Roman" w:hAnsi="Times New Roman"/>
          <w:sz w:val="20"/>
          <w:szCs w:val="20"/>
        </w:rPr>
        <w:t xml:space="preserve">29. Rahimi AK, et al. ML for diabetes in acute care using EMR: systematic review. Int J Med Inform. 2022;162:104758. https://doi.org/10.1016/j.ijmedinf.2022.104758</w:t>
      </w:r>
    </w:p>
    <w:p>
      <w:pPr>
        <w:spacing w:after="100" w:line="320"/>
        <w:ind w:left="400" w:hanging="400"/>
      </w:pPr>
      <w:r>
        <w:rPr>
          <w:rFonts w:ascii="Times New Roman" w:cs="Times New Roman" w:eastAsia="Times New Roman" w:hAnsi="Times New Roman"/>
          <w:sz w:val="20"/>
          <w:szCs w:val="20"/>
        </w:rPr>
        <w:t xml:space="preserve">30. Shi M, et al. ML model to predict severe hypoglycemia in older adults. PLoS Med. 2024;21(4):e1004369. https://doi.org/10.1371/journal.pmed.1004369</w:t>
      </w:r>
    </w:p>
    <w:p>
      <w:pPr>
        <w:spacing w:after="100" w:line="320"/>
        <w:ind w:left="400" w:hanging="400"/>
      </w:pPr>
      <w:r>
        <w:rPr>
          <w:rFonts w:ascii="Times New Roman" w:cs="Times New Roman" w:eastAsia="Times New Roman" w:hAnsi="Times New Roman"/>
          <w:sz w:val="20"/>
          <w:szCs w:val="20"/>
        </w:rPr>
        <w:t xml:space="preserve">31. Dennis JM, et al. Five-drug class model to optimise prescribing in T2DM. Lancet. 2025;405:701–714. https://doi.org/10.1016/S0140-6736(24)02617-5</w:t>
      </w:r>
    </w:p>
    <w:p>
      <w:pPr>
        <w:spacing w:after="100" w:line="320"/>
        <w:ind w:left="400" w:hanging="400"/>
      </w:pPr>
      <w:r>
        <w:rPr>
          <w:rFonts w:ascii="Times New Roman" w:cs="Times New Roman" w:eastAsia="Times New Roman" w:hAnsi="Times New Roman"/>
          <w:sz w:val="20"/>
          <w:szCs w:val="20"/>
        </w:rPr>
        <w:t xml:space="preserve">32. Tsai SF, et al. Development and validation of insulin resistance model. EClinicalMedicine. 2023;58:101934. https://doi.org/10.1016/j.eclinm.2023.101934</w:t>
      </w:r>
    </w:p>
    <w:p>
      <w:pPr>
        <w:spacing w:after="100" w:line="320"/>
        <w:ind w:left="400" w:hanging="400"/>
      </w:pPr>
      <w:r>
        <w:rPr>
          <w:rFonts w:ascii="Times New Roman" w:cs="Times New Roman" w:eastAsia="Times New Roman" w:hAnsi="Times New Roman"/>
          <w:sz w:val="20"/>
          <w:szCs w:val="20"/>
        </w:rPr>
        <w:t xml:space="preserve">33. Jindal D, et al. Clinical decision support for hypertension and diabetes in India. BMC Health Serv Res. 2022;22:article. https://doi.org/10.1186/s12913-022-08025-y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BMC Medical Informatics and Decision Making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2026-04-07T11:12:51.626Z</dcterms:created>
  <dcterms:modified xsi:type="dcterms:W3CDTF">2026-04-07T11:12:51.627Z</dcterms:modified>
</cp:coreProperties>
</file>

<file path=docProps/custom.xml><?xml version="1.0" encoding="utf-8"?>
<Properties xmlns="http://schemas.openxmlformats.org/officeDocument/2006/custom-properties" xmlns:vt="http://schemas.openxmlformats.org/officeDocument/2006/docPropsVTypes"/>
</file>