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line="312" w:lineRule="auto"/>
        <w:jc w:val="center"/>
      </w:pPr>
      <w:r>
        <w:rPr>
          <w:rFonts w:ascii="맑은 고딕" w:hAnsi="맑은 고딕" w:eastAsia="맑은 고딕"/>
          <w:b/>
          <w:i w:val="0"/>
          <w:sz w:val="30"/>
        </w:rPr>
        <w:t>AI 생성 운동 프로그램이 전방머리자세 대학생의 두개척추각과 경추 가동범위에 미치는 효과: 예비 무작위대조시험</w:t>
      </w:r>
    </w:p>
    <w:p>
      <w:pPr>
        <w:spacing w:before="0" w:after="160" w:line="288" w:lineRule="auto"/>
        <w:jc w:val="center"/>
      </w:pPr>
      <w:r>
        <w:rPr>
          <w:rFonts w:ascii="Times New Roman" w:hAnsi="Times New Roman" w:eastAsia="Times New Roman"/>
          <w:b w:val="0"/>
          <w:i/>
          <w:sz w:val="21"/>
        </w:rPr>
        <w:t>Effects of an AI-Generated Exercise Program on Craniovertebral Angle and Cervical Range of Motion in University Students with Forward Head Posture: A Preliminary Randomized Controlled Trial</w:t>
      </w:r>
    </w:p>
    <w:p>
      <w:pPr>
        <w:spacing w:before="0" w:after="20" w:line="384" w:lineRule="auto"/>
        <w:jc w:val="center"/>
      </w:pPr>
      <w:r>
        <w:rPr>
          <w:rFonts w:ascii="맑은 고딕" w:hAnsi="맑은 고딕" w:eastAsia="맑은 고딕"/>
          <w:b/>
          <w:i w:val="0"/>
          <w:sz w:val="22"/>
        </w:rPr>
        <w:t>강준환 · 김강현 · 김서윤 · 박지원 · 오영인 · 이채은</w:t>
      </w:r>
    </w:p>
    <w:p>
      <w:pPr>
        <w:spacing w:before="0" w:after="20" w:line="384" w:lineRule="auto"/>
        <w:jc w:val="center"/>
      </w:pPr>
      <w:r>
        <w:rPr>
          <w:rFonts w:ascii="맑은 고딕" w:hAnsi="맑은 고딕" w:eastAsia="맑은 고딕"/>
          <w:b w:val="0"/>
          <w:i w:val="0"/>
          <w:sz w:val="20"/>
        </w:rPr>
        <w:t>지도교수: 최완석</w:t>
      </w:r>
    </w:p>
    <w:p>
      <w:pPr>
        <w:spacing w:before="0" w:after="240" w:line="384" w:lineRule="auto"/>
        <w:jc w:val="center"/>
      </w:pPr>
      <w:r>
        <w:rPr>
          <w:rFonts w:ascii="맑은 고딕" w:hAnsi="맑은 고딕" w:eastAsia="맑은 고딕"/>
          <w:b w:val="0"/>
          <w:i w:val="0"/>
          <w:sz w:val="20"/>
        </w:rPr>
        <w:t>경운대학교 물리치료학과</w:t>
      </w:r>
    </w:p>
    <w:p>
      <w:pPr>
        <w:spacing w:before="180" w:after="80" w:line="312" w:lineRule="auto"/>
      </w:pPr>
      <w:r>
        <w:rPr>
          <w:rFonts w:ascii="맑은 고딕" w:hAnsi="맑은 고딕" w:eastAsia="맑은 고딕"/>
          <w:b/>
          <w:i w:val="0"/>
          <w:sz w:val="22"/>
        </w:rPr>
        <w:t>국문초록</w:t>
      </w:r>
    </w:p>
    <w:p>
      <w:pPr>
        <w:spacing w:line="360" w:lineRule="auto" w:after="100"/>
      </w:pPr>
      <w:r>
        <w:rPr>
          <w:rFonts w:ascii="바탕" w:hAnsi="바탕" w:eastAsia="바탕"/>
          <w:b/>
          <w:i w:val="0"/>
          <w:sz w:val="20"/>
        </w:rPr>
        <w:t xml:space="preserve">목적. </w:t>
      </w:r>
      <w:r>
        <w:rPr>
          <w:rFonts w:ascii="바탕" w:hAnsi="바탕" w:eastAsia="바탕"/>
          <w:b w:val="0"/>
          <w:i w:val="0"/>
          <w:sz w:val="20"/>
        </w:rPr>
        <w:t>본 연구의 목적은 대상 집단의 평균 특성을 반영하여 인공지능(artificial intelligence, AI)이 생성한 운동 프로그램이 기존의 표준 임상 운동 프로그램과 비교하여 전방머리자세(forward head posture, FHP) 대학생의 두개척추각(craniovertebral angle, CVA)과 경추 가동범위(cervical range of motion, CROM) 개선에 더 효과적인지 검증하는 데 있다.</w:t>
      </w:r>
    </w:p>
    <w:p>
      <w:pPr>
        <w:spacing w:line="360" w:lineRule="auto" w:after="100"/>
      </w:pPr>
      <w:r>
        <w:rPr>
          <w:rFonts w:ascii="바탕" w:hAnsi="바탕" w:eastAsia="바탕"/>
          <w:b/>
          <w:i w:val="0"/>
          <w:sz w:val="20"/>
        </w:rPr>
        <w:t xml:space="preserve">방법. </w:t>
      </w:r>
      <w:r>
        <w:rPr>
          <w:rFonts w:ascii="바탕" w:hAnsi="바탕" w:eastAsia="바탕"/>
          <w:b w:val="0"/>
          <w:i w:val="0"/>
          <w:sz w:val="20"/>
        </w:rPr>
        <w:t>FHP(CVA&lt;50°)를 가진 대학생 40명을 AI 생성 운동군(n=20)과 표준 임상 운동군(n=20)에 무작위 배정하였다. 중재는 5주간 주 2회, 회기당 20분씩 총 10회기 시행하였다. CVA와 6방향 CROM(굴곡, 신전, 좌·우 측방굴곡, 좌·우 회전)을 중재 전·후에 측정하였으며, 사전·사후 자료가 모두 확보된 34명(군당 17명)을 분석하였다. 군(2)×시점(2) 반복측정 이원분산분석을 시행하였다.</w:t>
      </w:r>
    </w:p>
    <w:p>
      <w:pPr>
        <w:spacing w:line="360" w:lineRule="auto" w:after="100"/>
      </w:pPr>
      <w:r>
        <w:rPr>
          <w:rFonts w:ascii="바탕" w:hAnsi="바탕" w:eastAsia="바탕"/>
          <w:b/>
          <w:i w:val="0"/>
          <w:sz w:val="20"/>
        </w:rPr>
        <w:t xml:space="preserve">결과. </w:t>
      </w:r>
      <w:r>
        <w:rPr>
          <w:rFonts w:ascii="바탕" w:hAnsi="바탕" w:eastAsia="바탕"/>
          <w:b w:val="0"/>
          <w:i w:val="0"/>
          <w:sz w:val="20"/>
        </w:rPr>
        <w:t>두 군은 모든 사전 변수에서 유의한 차이가 없었다(p&gt;0.05). CVA는 시점의 주효과가 유의하여(F(1,32)=125.41, p&lt;.001, partial η²=0.80) 두 군 모두 중재 후 유의하게 증가하였다(실험군 45.0→58.3°, 대조군 46.5→57.3°). CROM은 5개 방향에서 시점의 주효과가 유의하였다. 그러나 측정한 모든 변수에서 군×시점 상호작용은 유의하지 않았으며(CVA: F=1.41, p=.244, partial η²=0.042), 중재 후 변화량의 군간 차이도 통계적으로 유의하지 않았다. 정규성을 충족하지 않은 일부 변수에 대한 비모수 민감도 분석에서도 동일한 결론이 확인되었다.</w:t>
      </w:r>
    </w:p>
    <w:p>
      <w:pPr>
        <w:spacing w:line="360" w:lineRule="auto" w:after="100"/>
      </w:pPr>
      <w:r>
        <w:rPr>
          <w:rFonts w:ascii="바탕" w:hAnsi="바탕" w:eastAsia="바탕"/>
          <w:b/>
          <w:i w:val="0"/>
          <w:sz w:val="20"/>
        </w:rPr>
        <w:t xml:space="preserve">결론. </w:t>
      </w:r>
      <w:r>
        <w:rPr>
          <w:rFonts w:ascii="바탕" w:hAnsi="바탕" w:eastAsia="바탕"/>
          <w:b w:val="0"/>
          <w:i w:val="0"/>
          <w:sz w:val="20"/>
        </w:rPr>
        <w:t>AI가 생성한 운동 프로그램은 표준 임상 운동 프로그램에 비해 통계적으로 유의하게 더 큰 개선을 보이지는 않았으며, 두 프로그램 모두 FHP 대학생의 CVA와 CROM을 유사한 수준으로 개선하였다. 이는 AI 생성 운동 프로그램이 표준 임상 운동에 상응하는 효과를 가지면서 접근성과 확장성이 높은 대안적 중재가 될 수 있음을 시사한다. 다만 본 연구는 군당 17명 규모의 예비적 시험으로 군간 비교는 과소검정력의 탐색적 분석이므로, 두 중재의 동등성 확증에는 비열등성 대규모 연구가 필요하다.</w:t>
      </w:r>
    </w:p>
    <w:p>
      <w:r>
        <w:rPr>
          <w:rFonts w:ascii="바탕" w:hAnsi="바탕" w:eastAsia="바탕"/>
          <w:b/>
          <w:i w:val="0"/>
          <w:sz w:val="20"/>
        </w:rPr>
        <w:t xml:space="preserve">주요어: </w:t>
      </w:r>
      <w:r>
        <w:rPr>
          <w:rFonts w:ascii="바탕" w:hAnsi="바탕" w:eastAsia="바탕"/>
          <w:b w:val="0"/>
          <w:i w:val="0"/>
          <w:sz w:val="20"/>
        </w:rPr>
        <w:t>전방머리자세, 인공지능, 운동 프로그램, 두개척추각, 경추 가동범위, 대규모 언어모델</w:t>
      </w:r>
    </w:p>
    <w:p>
      <w:pPr>
        <w:spacing w:before="180" w:after="80" w:line="312" w:lineRule="auto"/>
      </w:pPr>
      <w:r>
        <w:rPr>
          <w:rFonts w:ascii="맑은 고딕" w:hAnsi="맑은 고딕" w:eastAsia="맑은 고딕"/>
          <w:b/>
          <w:i w:val="0"/>
          <w:sz w:val="22"/>
        </w:rPr>
        <w:t>Abstract</w:t>
      </w:r>
    </w:p>
    <w:p>
      <w:pPr>
        <w:spacing w:before="0" w:after="100" w:line="360" w:lineRule="auto"/>
      </w:pPr>
      <w:r>
        <w:rPr>
          <w:rFonts w:ascii="Times New Roman" w:hAnsi="Times New Roman" w:eastAsia="Times New Roman"/>
          <w:b w:val="0"/>
          <w:i w:val="0"/>
          <w:sz w:val="20"/>
        </w:rPr>
        <w:t>Purpose: This study compared the effects of an artificial intelligence (AI)-generated exercise program, which incorporated group-specific characteristics, with a conventional clinical exercise program on craniovertebral angle (CVA) and cervical range of motion (CROM) in university students with forward head posture (FHP). Methods: In this preliminary, parallel-group superiority RCT, 40 university students with FHP (CVA&lt;50°) were randomly assigned to an AI-generated exercise group (EG, n=20) or a conventional clinical exercise group (CG, n=20). The AI program was generated by a large language model (Claude Opus 4.5) using the group's mean baseline values, and the control program comprised evidence-based cervical extensor and pectoralis major stretching and McKenzie extension exercise. Both interventions were performed twice weekly for 5 weeks (10 sessions, 20 min each) under direct supervision. CVA (photogrammetry) and CROM in six directions (goniometry) were measured before and after the intervention. 34 participants (17 per group) with complete pre/post data were analyzed using a 2 (group) × 2 (time) repeated-measures ANOVA, with paired and independent t-tests and partial eta-squared (partial η²) effect sizes. Results: The groups were homogeneous at baseline (all p&gt;0.05). A significant main effect of time was found for CVA (F=125.41, p&lt;.001, partial η²=0.80), with both groups improving after the intervention (EG 45.0→58.3°, CG 46.5→57.3°), and a significant time effect was also found for five of six CROM directions. However, no significant group × time interaction was observed for any outcome (CVA: F=1.41, p=0.244, partial η²=0.042), and all between-group differences in change had 95% confidence intervals spanning zero. Sensitivity analyses using non-parametric tests (Mann–Whitney U) for outcomes that violated normality yielded conclusions identical to the parametric analyses. Conclusion: The AI-generated exercise program did not produce significantly greater improvement than the conventional program; both improved CVA and CROM comparably. The AI-generated program may therefore serve as an accessible, scalable alternative with effects comparable to expert-designed clinical exercise, although a larger non-inferiority trial is warranted to confirm equivalence.</w:t>
      </w:r>
    </w:p>
    <w:p>
      <w:r>
        <w:rPr>
          <w:rFonts w:ascii="Times New Roman" w:hAnsi="Times New Roman" w:eastAsia="Times New Roman"/>
          <w:b/>
          <w:i w:val="0"/>
          <w:sz w:val="20"/>
        </w:rPr>
        <w:t xml:space="preserve">Key words: </w:t>
      </w:r>
      <w:r>
        <w:rPr>
          <w:rFonts w:ascii="Times New Roman" w:hAnsi="Times New Roman" w:eastAsia="Times New Roman"/>
          <w:b/>
          <w:i/>
          <w:sz w:val="20"/>
        </w:rPr>
        <w:t>Forward head posture, Artificial intelligence, Exercise program, Craniovertebral angle, Cervical range of motion, Large language model</w:t>
      </w:r>
    </w:p>
    <w:p>
      <w:pPr>
        <w:spacing w:before="280" w:after="140" w:line="312" w:lineRule="auto"/>
      </w:pPr>
      <w:r>
        <w:rPr>
          <w:rFonts w:ascii="맑은 고딕" w:hAnsi="맑은 고딕" w:eastAsia="맑은 고딕"/>
          <w:b/>
          <w:i w:val="0"/>
          <w:sz w:val="24"/>
        </w:rPr>
        <w:t>Ⅰ. 서론</w:t>
      </w:r>
    </w:p>
    <w:p>
      <w:pPr>
        <w:spacing w:before="0" w:after="120" w:line="384" w:lineRule="auto"/>
        <w:ind w:firstLine="567"/>
      </w:pPr>
      <w:r>
        <w:rPr>
          <w:rFonts w:ascii="바탕" w:hAnsi="바탕" w:eastAsia="바탕"/>
          <w:b w:val="0"/>
          <w:i w:val="0"/>
          <w:sz w:val="20"/>
        </w:rPr>
        <w:t>전방머리자세(forward head posture, FHP)는 머리가 경추에 비해 전방으로 돌출된 자세이상으로, 두개척추각(craniovertebral angle, CVA)이 50° 미만일 때 진단된다[1]. 스마트폰과 컴퓨터 사용의 급격한 증가는 현대인의 경추 정렬에 영향을 미치는 주요 환경 요인으로 작용하고 있으며, 실제로 스마트폰 사용과 경부 통증의 연관성은 체계적 문헌고찰을 통해 보고된 바 있다[18]. FHP는 이러한 디지털 환경의 확산 속에서 임상적·사회적 주목을 받는 대표적인 자세 이상으로 부각되고 있다. 특히 현대 대학생에서 FHP 유병률이 급격히 증가하고 있으며, 약 73%에 이르는 것으로 보고되었다[2]. FHP는 경부통, 두통, 견갑부 불편감 등 다양한 근골격계 문제와 연관되며[3,4], 장시간 컴퓨터 사용자에서는 자세 균형 저하와도 관련이 있다[5].</w:t>
      </w:r>
    </w:p>
    <w:p>
      <w:pPr>
        <w:spacing w:before="0" w:after="120" w:line="384" w:lineRule="auto"/>
        <w:ind w:firstLine="567"/>
      </w:pPr>
      <w:r>
        <w:rPr>
          <w:rFonts w:ascii="바탕" w:hAnsi="바탕" w:eastAsia="바탕"/>
          <w:b w:val="0"/>
          <w:i w:val="0"/>
          <w:sz w:val="20"/>
        </w:rPr>
        <w:t>FHP의 병태생리학적 기전은 근육 불균형에 기인한다. Janda(1994)의 상교차증후군(upper crossed syndrome) 모델에 따르면[6], 심경부굴곡근(deep cervical flexors), 경추신전근(cervical erector spinae), 하부승모근(lower trapezius), 능형근(rhomboids)은 약화되는 반면, 상부승모근(upper trapezius), 견갑거근(levator scapulae), 사각근(scalenes), 흉쇄유돌근(sternocleidomastoid), 후두하근(suboccipitals)은 과활성화되어 자세 변형을 유발한다. 이러한 상교차증후군 패턴은 경추의 정상적인 전만 감소와 상부 경추의 과신전을 초래한다[7]. 이 기전을 토대로 FHP 교정을 위한 치료적 운동의 효과는 체계적 문헌고찰을 통해 입증되었으며, Sheikhhoseini 등[8]의 메타분석에서는 7개 무작위대조시험(총 627명)을 분석한 결과 교정운동이 CVA(p=.0005) 및 통증(p&lt;.001)에 유의한 개선 효과를 보였다. 그러나 기존 연구들은 대부분 일반적인 FHP 환자를 대상으로 표준화된 운동 프로토콜을 적용하였으며, 특정 대상 집단의 고유한 특성을 고려하여 운동 프로그램을 최적화한 연구는 제한적이었다[9].</w:t>
      </w:r>
    </w:p>
    <w:p>
      <w:pPr>
        <w:spacing w:before="0" w:after="120" w:line="384" w:lineRule="auto"/>
        <w:ind w:firstLine="567"/>
      </w:pPr>
      <w:r>
        <w:rPr>
          <w:rFonts w:ascii="바탕" w:hAnsi="바탕" w:eastAsia="바탕"/>
          <w:b w:val="0"/>
          <w:i w:val="0"/>
          <w:sz w:val="20"/>
        </w:rPr>
        <w:t>이러한 공백을 보완할 수 있는 대안으로 최근 인공지능(artificial intelligence, AI) 기술의 발전이 주목받고 있다[10]. 특히 대규모 언어모델(large language model, LLM) 기반 AI는 방대한 의학 문헌을 학습하여 근거 기반의 운동 프로그램을 생성할 수 있다. 생성형 AI 모델은 FITT 원칙과 ACSM 가이드라인에 부합하는 운동 프로그램을 생성할 수 있으며, 특정 대상 집단의 특성을 입력받아 개인화된 운동 처방을 제공할 가능성이 제기되었다[11]. 또한 GPT-4 모델이 다양한 건강 상태를 가진 환자 프로필에 대해 일반적 운동 가이드라인에 부합하는 프로그램을 생성할 수 있음이 비판적으로 평가된 바 있다[12]. 그러나 현재까지 생성형 AI가 생성한 운동 프로그램은 대부분 일반적인 건강 증진이나 만성질환 관리를 대상으로 하였으며, FHP와 같은 특정 근골격계 자세 이상의 교정을 목적으로 AI 생성 운동의 효과를 기존 전문가 설계 운동과 직접 비교한 무작위대조시험은 보고된 바 없다.</w:t>
      </w:r>
    </w:p>
    <w:p>
      <w:pPr>
        <w:spacing w:before="0" w:after="120" w:line="384" w:lineRule="auto"/>
        <w:ind w:firstLine="567"/>
      </w:pPr>
      <w:r>
        <w:rPr>
          <w:rFonts w:ascii="바탕" w:hAnsi="바탕" w:eastAsia="바탕"/>
          <w:b w:val="0"/>
          <w:i w:val="0"/>
          <w:sz w:val="20"/>
        </w:rPr>
        <w:t>이에 본 연구의 목적은 대상 집단의 평균 특성을 반영하여 AI가 생성한 운동 프로그램이 기존의 표준 임상 운동법과 비교하여 FHP 대학생의 CVA 및 CROM 개선에 더 효과적인지 검증하는 데 있다. 본 연구의 귀무가설(H0)은 'AI 생성 운동군과 표준 임상 운동군 간에 CVA 및 CROM 개선에 통계적으로 유의한 차이가 없을 것이다'이며, 대립가설(H1)은 'AI 생성 운동군이 표준 임상 운동군에 비해 CVA 및 CROM에서 통계적으로 유의하게 더 큰 개선을 보일 것이다'로 설정하였다.</w:t>
      </w:r>
    </w:p>
    <w:p>
      <w:pPr>
        <w:spacing w:before="280" w:after="140" w:line="312" w:lineRule="auto"/>
      </w:pPr>
      <w:r>
        <w:rPr>
          <w:rFonts w:ascii="맑은 고딕" w:hAnsi="맑은 고딕" w:eastAsia="맑은 고딕"/>
          <w:b/>
          <w:i w:val="0"/>
          <w:sz w:val="24"/>
        </w:rPr>
        <w:t>Ⅱ. 연구방법</w:t>
      </w:r>
    </w:p>
    <w:p>
      <w:pPr>
        <w:spacing w:before="180" w:after="80" w:line="312" w:lineRule="auto"/>
      </w:pPr>
      <w:r>
        <w:rPr>
          <w:rFonts w:ascii="맑은 고딕" w:hAnsi="맑은 고딕" w:eastAsia="맑은 고딕"/>
          <w:b/>
          <w:i w:val="0"/>
          <w:sz w:val="22"/>
        </w:rPr>
        <w:t>1. 연구 대상자</w:t>
      </w:r>
    </w:p>
    <w:p>
      <w:pPr>
        <w:spacing w:before="0" w:after="120" w:line="384" w:lineRule="auto"/>
        <w:ind w:firstLine="567"/>
      </w:pPr>
      <w:r>
        <w:rPr>
          <w:rFonts w:ascii="바탕" w:hAnsi="바탕" w:eastAsia="바탕"/>
          <w:b w:val="0"/>
          <w:i w:val="0"/>
          <w:sz w:val="20"/>
        </w:rPr>
        <w:t>본 연구는 FHP 교정을 위한 AI 생성 운동 프로그램의 효과를 표준 임상 운동 프로그램과 비교 검증하기 위한 평가자 맹검(assessor-blinded), 평행군(parallel-group), 우월성(superiority) 가설 검정을 위한 예비적(preliminary) 무작위대조시험(randomized controlled trial, RCT)으로 설계되었다. 다만 최종 분석은 사전·사후 자료가 모두 확보된 대상자만 포함하는 완전자료 분석(complete-case analysis; 비-intention-to-treat)으로 수행되었고 표본이 제한적이므로, 군간 비교는 확증적(confirmatory)이라기보다 탐색적(exploratory) 성격을 가진다. 표본 크기는 G*Power 3.1.9.7(University of Düsseldorf, Düsseldorf)을 이용하여 산출하였다. FHP 교정 운동 중재의 메타분석[8]에서 CVA에 대해 큰 효과크기가 보고된 점, 그리고 capital flexion exercise를 적용한 선행 연구[13]에서 CVA 개선에 대해 d=1.34(p=0.002)의 효과크기가 확인된 점을 근거로 하였다. 효과크기 d=1.0, 유의수준 α=0.05, 검정력(1−β)=0.80, 양측검정 조건의 독립표본 t-검정을 기준으로 산정한 결과 군당 17명이 요구되었으며, 약 15%의 탈락률을 고려하여 군당 20명, 총 40명의 대상자를 모집하였다.</w:t>
      </w:r>
    </w:p>
    <w:p>
      <w:pPr>
        <w:spacing w:before="0" w:after="120" w:line="384" w:lineRule="auto"/>
        <w:ind w:firstLine="567"/>
      </w:pPr>
      <w:r>
        <w:rPr>
          <w:rFonts w:ascii="바탕" w:hAnsi="바탕" w:eastAsia="바탕"/>
          <w:b w:val="0"/>
          <w:i w:val="0"/>
          <w:sz w:val="20"/>
        </w:rPr>
        <w:t>선정 기준은 (1) 사전 측정에서 CVA가 50° 미만으로 FHP에 해당하는 대학생[1,13], (2) 최근 6개월 이내 경부 관련 치료 병력이 없는 자, (3) 경추 외상 또는 수술 병력이 없는 자, (4) 연구의 목적과 절차에 대한 충분한 설명을 듣고 자발적으로 서면 동의한 자로 하였다. 제외 기준은 (1) 경추 또는 상지에 방사통, 감각 이상, 근력 약화 등의 신경학적 증상을 호소하는 자, (2) 최근 3개월 이내 경부 통증으로 약물 치료 또는 물리치료를 받은 자, (3) 추간판 탈출증, 척추관 협착증 등 중증 척추 질환을 진단받은 자로 하였다.</w:t>
      </w:r>
    </w:p>
    <w:p>
      <w:pPr>
        <w:spacing w:before="180" w:after="80" w:line="312" w:lineRule="auto"/>
      </w:pPr>
      <w:r>
        <w:rPr>
          <w:rFonts w:ascii="맑은 고딕" w:hAnsi="맑은 고딕" w:eastAsia="맑은 고딕"/>
          <w:b/>
          <w:i w:val="0"/>
          <w:sz w:val="22"/>
        </w:rPr>
        <w:t>2. 연구 절차</w:t>
      </w:r>
    </w:p>
    <w:p>
      <w:pPr>
        <w:spacing w:before="0" w:after="120" w:line="384" w:lineRule="auto"/>
        <w:ind w:firstLine="567"/>
      </w:pPr>
      <w:r>
        <w:rPr>
          <w:rFonts w:ascii="바탕" w:hAnsi="바탕" w:eastAsia="바탕"/>
          <w:b w:val="0"/>
          <w:i w:val="0"/>
          <w:sz w:val="20"/>
        </w:rPr>
        <w:t>본 연구의 전반적 절차는 CONSORT(Consolidated Standards of Reporting Trials) 지침에 준하여 수행되었다. 연구 참여 전 모든 잠재적 대상자에게 연구의 목적, 절차, 잠재적 위험 및 이익에 대해 구두 및 서면으로 충분히 설명한 후, 자발적 참여 의사를 확인하고 서면 동의서를 취득하였다. 본 연구는 헬싱키 선언(Declaration of Helsinki)의 윤리 원칙을 준수하였다([기관생명윤리위원회(IRB) 승인 여부·승인기관·승인번호를 사실대로 기입]).</w:t>
      </w:r>
    </w:p>
    <w:p>
      <w:pPr>
        <w:spacing w:before="0" w:after="120" w:line="384" w:lineRule="auto"/>
        <w:ind w:firstLine="567"/>
      </w:pPr>
      <w:r>
        <w:rPr>
          <w:rFonts w:ascii="바탕" w:hAnsi="바탕" w:eastAsia="바탕"/>
          <w:b w:val="0"/>
          <w:i w:val="0"/>
          <w:sz w:val="20"/>
        </w:rPr>
        <w:t>사전 평가가 완료된 후, 평가에 참여하지 않은 제3의 연구자가 컴퓨터 기반 난수 생성 프로그램(randomizer.org)을 이용하여 대상자를 AI 생성 운동군(experimental group, n=20)과 표준 임상 운동군(control group, n=20)에 1:1 비율로 무작위 배정하였다. 배정 순서는 중재 및 평가에 관여하지 않은 제3자가 생성·보관하였으며, 할당은폐(allocation concealment)를 위해 [구체적 은폐 방법을 사실대로 기입: 예) 순차적으로 번호를 매긴 불투명 밀봉 봉투]를 사용하였다. 평가자 맹검을 유지하기 위해 중재에 관여하지 않은 물리치료학과 3학년 재학생 2인이 사전·사후 측정을 전담하였으며, 측정자는 대상자의 군 배정 정보에 접근할 수 없도록 통제하였다. 사전 측정과 사후 측정은 동일한 측정자가 동일한 장소에서 표준화된 절차에 따라 수행하였다.</w:t>
      </w:r>
    </w:p>
    <w:p>
      <w:pPr>
        <w:spacing w:before="180" w:after="80" w:line="312" w:lineRule="auto"/>
      </w:pPr>
      <w:r>
        <w:rPr>
          <w:rFonts w:ascii="맑은 고딕" w:hAnsi="맑은 고딕" w:eastAsia="맑은 고딕"/>
          <w:b/>
          <w:i w:val="0"/>
          <w:sz w:val="22"/>
        </w:rPr>
        <w:t>3. 중재 방법</w:t>
      </w:r>
    </w:p>
    <w:p>
      <w:pPr>
        <w:spacing w:before="0" w:after="120" w:line="384" w:lineRule="auto"/>
        <w:ind w:firstLine="567"/>
      </w:pPr>
      <w:r>
        <w:rPr>
          <w:rFonts w:ascii="바탕" w:hAnsi="바탕" w:eastAsia="바탕"/>
          <w:b w:val="0"/>
          <w:i w:val="0"/>
          <w:sz w:val="20"/>
        </w:rPr>
        <w:t>중재는 5주간 주 2회, 총 10회기에 걸쳐 연구자의 직접 감독 하에 시행되었다. 회기당 운동 수행 시간은 실험군과 대조군 모두 20분으로 동일하게 통제하였다.</w:t>
      </w:r>
    </w:p>
    <w:p>
      <w:pPr>
        <w:spacing w:before="120" w:after="60" w:line="312" w:lineRule="auto"/>
      </w:pPr>
      <w:r>
        <w:rPr>
          <w:rFonts w:ascii="맑은 고딕" w:hAnsi="맑은 고딕" w:eastAsia="맑은 고딕"/>
          <w:b/>
          <w:i w:val="0"/>
          <w:sz w:val="20"/>
        </w:rPr>
        <w:t>1) 실험군 운동 프로그램</w:t>
      </w:r>
    </w:p>
    <w:p>
      <w:pPr>
        <w:spacing w:before="0" w:after="120" w:line="384" w:lineRule="auto"/>
        <w:ind w:firstLine="567"/>
      </w:pPr>
      <w:r>
        <w:rPr>
          <w:rFonts w:ascii="바탕" w:hAnsi="바탕" w:eastAsia="바탕"/>
          <w:b w:val="0"/>
          <w:i w:val="0"/>
          <w:sz w:val="20"/>
        </w:rPr>
        <w:t>실험군에는 LLM 기반 생성형 AI 챗봇인 Claude Opus 4.5(Anthropic, San Francisco, CA, USA)가 생성한 운동 프로그램을 적용하였다. 연구자는 2026년 4월 공식 웹 인터페이스(https://claude.ai)에 접속하여 기본 설정 상태에서 표준화된 프롬프트를 입력하였다. 해당 프롬프트에는 대상자 집단의 평균 CVA, 평균 CROM(6방향), 평균 일일 스마트폰 사용 시간, 평균 시각상사척도(visual analogue scale, VAS) 통증 점수 및 주요 증상이 변수로 포함되었으며, 프롬프트 전문은 부록(Appendix 1)에 제시하였다. AI 출력의 재현성을 확보하기 위해 동일한 프롬프트를 독립된 신규 채팅 세션에서 3회 반복 입력하여 생성된 결과 간의 일관성을 확인하였다. 이후 3개의 후보 프로그램에 대해 연구진이 (1) 운동의 안전성, (2) FHP 교정과의 관련성, (3) 도구 없이 맨몸으로 수행 가능 여부의 세 가지 기준으로 임상적 적합성을 검토하여 최종 프로그램을 선정하였다. 최종 선정된 운동의 빈도, 수행 방법, 시간, 대상 근육에 관한 세부 사항은 Table 1에 제시하였다.</w:t>
      </w:r>
    </w:p>
    <w:p>
      <w:pPr>
        <w:spacing w:before="200" w:after="60"/>
      </w:pPr>
      <w:r>
        <w:rPr>
          <w:rFonts w:ascii="맑은 고딕" w:hAnsi="맑은 고딕" w:eastAsia="맑은 고딕"/>
          <w:b/>
          <w:i w:val="0"/>
          <w:sz w:val="20"/>
        </w:rPr>
        <w:t xml:space="preserve">Table 1. </w:t>
      </w:r>
      <w:r>
        <w:rPr>
          <w:rFonts w:ascii="맑은 고딕" w:hAnsi="맑은 고딕" w:eastAsia="맑은 고딕"/>
          <w:b w:val="0"/>
          <w:i w:val="0"/>
          <w:sz w:val="20"/>
        </w:rPr>
        <w:t>실험군(AI 생성) 운동 프로그램</w:t>
      </w:r>
    </w:p>
    <w:tbl>
      <w:tblPr>
        <w:tblW w:type="auto" w:w="0"/>
        <w:jc w:val="center"/>
        <w:tblLook w:firstColumn="1" w:firstRow="1" w:lastColumn="0" w:lastRow="0" w:noHBand="0" w:noVBand="1" w:val="04A0"/>
      </w:tblPr>
      <w:tblGrid>
        <w:gridCol w:w="2296"/>
        <w:gridCol w:w="2296"/>
        <w:gridCol w:w="2296"/>
        <w:gridCol w:w="2296"/>
      </w:tblGrid>
      <w:tr>
        <w:tc>
          <w:tcPr>
            <w:tcW w:type="dxa" w:w="1871"/>
            <w:tcBorders>
              <w:top w:val="single" w:sz="8" w:color="000000"/>
              <w:bottom w:val="single" w:sz="8" w:color="000000"/>
            </w:tcBorders>
          </w:tcPr>
          <w:p>
            <w:pPr>
              <w:spacing w:after="20" w:before="20" w:line="264" w:lineRule="auto"/>
              <w:jc w:val="center"/>
            </w:pPr>
            <w:r/>
            <w:r>
              <w:rPr>
                <w:rFonts w:ascii="바탕" w:hAnsi="바탕" w:eastAsia="바탕"/>
                <w:b/>
                <w:i w:val="0"/>
                <w:sz w:val="18"/>
              </w:rPr>
              <w:t>운동</w:t>
            </w:r>
          </w:p>
        </w:tc>
        <w:tc>
          <w:tcPr>
            <w:tcW w:type="dxa" w:w="4082"/>
            <w:tcBorders>
              <w:top w:val="single" w:sz="8" w:color="000000"/>
              <w:bottom w:val="single" w:sz="8" w:color="000000"/>
            </w:tcBorders>
          </w:tcPr>
          <w:p>
            <w:pPr>
              <w:spacing w:after="20" w:before="20" w:line="264" w:lineRule="auto"/>
              <w:jc w:val="center"/>
            </w:pPr>
            <w:r/>
            <w:r>
              <w:rPr>
                <w:rFonts w:ascii="바탕" w:hAnsi="바탕" w:eastAsia="바탕"/>
                <w:b/>
                <w:i w:val="0"/>
                <w:sz w:val="18"/>
              </w:rPr>
              <w:t>방법</w:t>
            </w:r>
          </w:p>
        </w:tc>
        <w:tc>
          <w:tcPr>
            <w:tcW w:type="dxa" w:w="1871"/>
            <w:tcBorders>
              <w:top w:val="single" w:sz="8" w:color="000000"/>
              <w:bottom w:val="single" w:sz="8" w:color="000000"/>
            </w:tcBorders>
          </w:tcPr>
          <w:p>
            <w:pPr>
              <w:spacing w:after="20" w:before="20" w:line="264" w:lineRule="auto"/>
              <w:jc w:val="center"/>
            </w:pPr>
            <w:r/>
            <w:r>
              <w:rPr>
                <w:rFonts w:ascii="바탕" w:hAnsi="바탕" w:eastAsia="바탕"/>
                <w:b/>
                <w:i w:val="0"/>
                <w:sz w:val="18"/>
              </w:rPr>
              <w:t>대상 근육</w:t>
            </w:r>
          </w:p>
        </w:tc>
        <w:tc>
          <w:tcPr>
            <w:tcW w:type="dxa" w:w="1531"/>
            <w:tcBorders>
              <w:top w:val="single" w:sz="8" w:color="000000"/>
              <w:bottom w:val="single" w:sz="8" w:color="000000"/>
            </w:tcBorders>
          </w:tcPr>
          <w:p>
            <w:pPr>
              <w:spacing w:after="20" w:before="20" w:line="264" w:lineRule="auto"/>
              <w:jc w:val="center"/>
            </w:pPr>
            <w:r/>
            <w:r>
              <w:rPr>
                <w:rFonts w:ascii="바탕" w:hAnsi="바탕" w:eastAsia="바탕"/>
                <w:b/>
                <w:i w:val="0"/>
                <w:sz w:val="18"/>
              </w:rPr>
              <w:t>용량</w:t>
            </w:r>
          </w:p>
        </w:tc>
      </w:tr>
      <w:tr>
        <w:tc>
          <w:tcPr>
            <w:tcW w:type="dxa" w:w="1871"/>
          </w:tcPr>
          <w:p>
            <w:pPr>
              <w:spacing w:after="20" w:before="20" w:line="264" w:lineRule="auto"/>
              <w:jc w:val="left"/>
            </w:pPr>
            <w:r/>
            <w:r>
              <w:rPr>
                <w:rFonts w:ascii="바탕" w:hAnsi="바탕" w:eastAsia="바탕"/>
                <w:b w:val="0"/>
                <w:i w:val="0"/>
                <w:sz w:val="18"/>
              </w:rPr>
              <w:t>턱 당기기</w:t>
              <w:br/>
              <w:t>(Chin-tuck/</w:t>
              <w:br/>
              <w:t>craniocervical flexion)</w:t>
            </w:r>
          </w:p>
        </w:tc>
        <w:tc>
          <w:tcPr>
            <w:tcW w:type="dxa" w:w="4082"/>
          </w:tcPr>
          <w:p>
            <w:pPr>
              <w:spacing w:after="20" w:before="20" w:line="264" w:lineRule="auto"/>
              <w:jc w:val="center"/>
            </w:pPr>
            <w:r/>
            <w:r>
              <w:rPr>
                <w:rFonts w:ascii="바탕" w:hAnsi="바탕" w:eastAsia="바탕"/>
                <w:b w:val="0"/>
                <w:i w:val="0"/>
                <w:sz w:val="18"/>
              </w:rPr>
              <w:t>앉거나 선 자세에서 머리를 뒤로 당겨 이중턱을 만들며 심부목굽힘근을 수축, 자세 유지</w:t>
            </w:r>
          </w:p>
        </w:tc>
        <w:tc>
          <w:tcPr>
            <w:tcW w:type="dxa" w:w="1871"/>
          </w:tcPr>
          <w:p>
            <w:pPr>
              <w:spacing w:after="20" w:before="20" w:line="264" w:lineRule="auto"/>
              <w:jc w:val="center"/>
            </w:pPr>
            <w:r/>
            <w:r>
              <w:rPr>
                <w:rFonts w:ascii="바탕" w:hAnsi="바탕" w:eastAsia="바탕"/>
                <w:b w:val="0"/>
                <w:i w:val="0"/>
                <w:sz w:val="18"/>
              </w:rPr>
              <w:t>심부목굽힘근</w:t>
              <w:br/>
              <w:t>(목긴근, 머리긴근)</w:t>
            </w:r>
          </w:p>
        </w:tc>
        <w:tc>
          <w:tcPr>
            <w:tcW w:type="dxa" w:w="1531"/>
          </w:tcPr>
          <w:p>
            <w:pPr>
              <w:spacing w:after="20" w:before="20" w:line="264" w:lineRule="auto"/>
              <w:jc w:val="center"/>
            </w:pPr>
            <w:r/>
            <w:r>
              <w:rPr>
                <w:rFonts w:ascii="바탕" w:hAnsi="바탕" w:eastAsia="바탕"/>
                <w:b w:val="0"/>
                <w:i w:val="0"/>
                <w:sz w:val="18"/>
              </w:rPr>
              <w:t>10초 유지, 10회×3세트</w:t>
            </w:r>
          </w:p>
        </w:tc>
      </w:tr>
      <w:tr>
        <w:tc>
          <w:tcPr>
            <w:tcW w:type="dxa" w:w="1871"/>
          </w:tcPr>
          <w:p>
            <w:pPr>
              <w:spacing w:after="20" w:before="20" w:line="264" w:lineRule="auto"/>
              <w:jc w:val="left"/>
            </w:pPr>
            <w:r/>
            <w:r>
              <w:rPr>
                <w:rFonts w:ascii="바탕" w:hAnsi="바탕" w:eastAsia="바탕"/>
                <w:b w:val="0"/>
                <w:i w:val="0"/>
                <w:sz w:val="18"/>
              </w:rPr>
              <w:t>견갑골 후인 운동</w:t>
              <w:br/>
              <w:t>(Scapular retraction/</w:t>
              <w:br/>
              <w:t>wall angel)</w:t>
            </w:r>
          </w:p>
        </w:tc>
        <w:tc>
          <w:tcPr>
            <w:tcW w:type="dxa" w:w="4082"/>
          </w:tcPr>
          <w:p>
            <w:pPr>
              <w:spacing w:after="20" w:before="20" w:line="264" w:lineRule="auto"/>
              <w:jc w:val="center"/>
            </w:pPr>
            <w:r/>
            <w:r>
              <w:rPr>
                <w:rFonts w:ascii="바탕" w:hAnsi="바탕" w:eastAsia="바탕"/>
                <w:b w:val="0"/>
                <w:i w:val="0"/>
                <w:sz w:val="18"/>
              </w:rPr>
              <w:t>벽에 등·머리를 대고 양팔을 'W'에서 'Y' 자로 들어 올리며 견갑골을 모음</w:t>
            </w:r>
          </w:p>
        </w:tc>
        <w:tc>
          <w:tcPr>
            <w:tcW w:type="dxa" w:w="1871"/>
          </w:tcPr>
          <w:p>
            <w:pPr>
              <w:spacing w:after="20" w:before="20" w:line="264" w:lineRule="auto"/>
              <w:jc w:val="center"/>
            </w:pPr>
            <w:r/>
            <w:r>
              <w:rPr>
                <w:rFonts w:ascii="바탕" w:hAnsi="바탕" w:eastAsia="바탕"/>
                <w:b w:val="0"/>
                <w:i w:val="0"/>
                <w:sz w:val="18"/>
              </w:rPr>
              <w:t>중·하부 승모근,</w:t>
              <w:br/>
              <w:t>능형근</w:t>
            </w:r>
          </w:p>
        </w:tc>
        <w:tc>
          <w:tcPr>
            <w:tcW w:type="dxa" w:w="1531"/>
          </w:tcPr>
          <w:p>
            <w:pPr>
              <w:spacing w:after="20" w:before="20" w:line="264" w:lineRule="auto"/>
              <w:jc w:val="center"/>
            </w:pPr>
            <w:r/>
            <w:r>
              <w:rPr>
                <w:rFonts w:ascii="바탕" w:hAnsi="바탕" w:eastAsia="바탕"/>
                <w:b w:val="0"/>
                <w:i w:val="0"/>
                <w:sz w:val="18"/>
              </w:rPr>
              <w:t>10회×3세트</w:t>
            </w:r>
          </w:p>
        </w:tc>
      </w:tr>
      <w:tr>
        <w:tc>
          <w:tcPr>
            <w:tcW w:type="dxa" w:w="1871"/>
            <w:tcBorders>
              <w:bottom w:val="single" w:sz="8" w:color="000000"/>
            </w:tcBorders>
          </w:tcPr>
          <w:p>
            <w:pPr>
              <w:spacing w:after="20" w:before="20" w:line="264" w:lineRule="auto"/>
              <w:jc w:val="left"/>
            </w:pPr>
            <w:r/>
            <w:r>
              <w:rPr>
                <w:rFonts w:ascii="바탕" w:hAnsi="바탕" w:eastAsia="바탕"/>
                <w:b w:val="0"/>
                <w:i w:val="0"/>
                <w:sz w:val="18"/>
              </w:rPr>
              <w:t>뒤통수밑근·대흉근 신장</w:t>
              <w:br/>
              <w:t>(Suboccipital &amp;</w:t>
              <w:br/>
              <w:t>pectoralis stretch)</w:t>
            </w:r>
          </w:p>
        </w:tc>
        <w:tc>
          <w:tcPr>
            <w:tcW w:type="dxa" w:w="4082"/>
            <w:tcBorders>
              <w:bottom w:val="single" w:sz="8" w:color="000000"/>
            </w:tcBorders>
          </w:tcPr>
          <w:p>
            <w:pPr>
              <w:spacing w:after="20" w:before="20" w:line="264" w:lineRule="auto"/>
              <w:jc w:val="center"/>
            </w:pPr>
            <w:r/>
            <w:r>
              <w:rPr>
                <w:rFonts w:ascii="바탕" w:hAnsi="바탕" w:eastAsia="바탕"/>
                <w:b w:val="0"/>
                <w:i w:val="0"/>
                <w:sz w:val="18"/>
              </w:rPr>
              <w:t>턱을 당긴 채 목 뒤를 신장하고, 문틀에서 팔꿈치를 대어 가슴 앞쪽을 신장</w:t>
            </w:r>
          </w:p>
        </w:tc>
        <w:tc>
          <w:tcPr>
            <w:tcW w:type="dxa" w:w="1871"/>
            <w:tcBorders>
              <w:bottom w:val="single" w:sz="8" w:color="000000"/>
            </w:tcBorders>
          </w:tcPr>
          <w:p>
            <w:pPr>
              <w:spacing w:after="20" w:before="20" w:line="264" w:lineRule="auto"/>
              <w:jc w:val="center"/>
            </w:pPr>
            <w:r/>
            <w:r>
              <w:rPr>
                <w:rFonts w:ascii="바탕" w:hAnsi="바탕" w:eastAsia="바탕"/>
                <w:b w:val="0"/>
                <w:i w:val="0"/>
                <w:sz w:val="18"/>
              </w:rPr>
              <w:t>뒤통수밑근, 상부승모근,</w:t>
              <w:br/>
              <w:t>대흉근</w:t>
            </w:r>
          </w:p>
        </w:tc>
        <w:tc>
          <w:tcPr>
            <w:tcW w:type="dxa" w:w="1531"/>
            <w:tcBorders>
              <w:bottom w:val="single" w:sz="8" w:color="000000"/>
            </w:tcBorders>
          </w:tcPr>
          <w:p>
            <w:pPr>
              <w:spacing w:after="20" w:before="20" w:line="264" w:lineRule="auto"/>
              <w:jc w:val="center"/>
            </w:pPr>
            <w:r/>
            <w:r>
              <w:rPr>
                <w:rFonts w:ascii="바탕" w:hAnsi="바탕" w:eastAsia="바탕"/>
                <w:b w:val="0"/>
                <w:i w:val="0"/>
                <w:sz w:val="18"/>
              </w:rPr>
              <w:t>20–30초, 4세트</w:t>
            </w:r>
          </w:p>
        </w:tc>
      </w:tr>
    </w:tbl>
    <w:p>
      <w:pPr>
        <w:spacing w:before="20" w:after="60" w:line="264" w:lineRule="auto"/>
      </w:pPr>
      <w:r>
        <w:rPr>
          <w:rFonts w:ascii="바탕" w:hAnsi="바탕" w:eastAsia="바탕"/>
          <w:b w:val="0"/>
          <w:i w:val="0"/>
          <w:sz w:val="17"/>
        </w:rPr>
        <w:t>* 운동은 Appendix 1의 프롬프트로 생성된 프로그램이며, 모든 운동은 도구 없이 맨몸으로 수행하였다.</w:t>
      </w:r>
    </w:p>
    <w:p>
      <w:pPr>
        <w:spacing w:before="120" w:after="60" w:line="312" w:lineRule="auto"/>
      </w:pPr>
      <w:r>
        <w:rPr>
          <w:rFonts w:ascii="맑은 고딕" w:hAnsi="맑은 고딕" w:eastAsia="맑은 고딕"/>
          <w:b/>
          <w:i w:val="0"/>
          <w:sz w:val="20"/>
        </w:rPr>
        <w:t>2) 대조군 운동 프로그램</w:t>
      </w:r>
    </w:p>
    <w:p>
      <w:pPr>
        <w:spacing w:before="0" w:after="120" w:line="384" w:lineRule="auto"/>
        <w:ind w:firstLine="567"/>
      </w:pPr>
      <w:r>
        <w:rPr>
          <w:rFonts w:ascii="바탕" w:hAnsi="바탕" w:eastAsia="바탕"/>
          <w:b w:val="0"/>
          <w:i w:val="0"/>
          <w:sz w:val="20"/>
        </w:rPr>
        <w:t>대조군에는 FHP 교정에 대한 효과가 선행 연구에서 입증된 표준화된 임상 운동 프로그램을 적용하였다. 본 프로그램은 운동학적 근거[7]에 따라 FHP 개선에 효과적인 것으로 알려진 경추신전근 스트레칭(cervical extensor stretching)과 대흉근 스트레칭(pectoralis major stretching), 그리고 임상 연구[14]에서 그 효과가 입증된 맥켄지 신전 운동(McKenzie extension exercise)의 3가지 운동으로 구성되었다. 각 운동의 빈도, 방법, 시간 및 대상 근육에 관한 세부 사항은 Table 2에 제시하였다.</w:t>
      </w:r>
    </w:p>
    <w:p>
      <w:pPr>
        <w:spacing w:before="200" w:after="60"/>
      </w:pPr>
      <w:r>
        <w:rPr>
          <w:rFonts w:ascii="맑은 고딕" w:hAnsi="맑은 고딕" w:eastAsia="맑은 고딕"/>
          <w:b/>
          <w:i w:val="0"/>
          <w:sz w:val="20"/>
        </w:rPr>
        <w:t xml:space="preserve">Table 2. </w:t>
      </w:r>
      <w:r>
        <w:rPr>
          <w:rFonts w:ascii="맑은 고딕" w:hAnsi="맑은 고딕" w:eastAsia="맑은 고딕"/>
          <w:b w:val="0"/>
          <w:i w:val="0"/>
          <w:sz w:val="20"/>
        </w:rPr>
        <w:t>대조군(표준 임상) 운동 프로그램</w:t>
      </w:r>
    </w:p>
    <w:tbl>
      <w:tblPr>
        <w:tblW w:type="auto" w:w="0"/>
        <w:jc w:val="center"/>
        <w:tblLook w:firstColumn="1" w:firstRow="1" w:lastColumn="0" w:lastRow="0" w:noHBand="0" w:noVBand="1" w:val="04A0"/>
      </w:tblPr>
      <w:tblGrid>
        <w:gridCol w:w="2296"/>
        <w:gridCol w:w="2296"/>
        <w:gridCol w:w="2296"/>
        <w:gridCol w:w="2296"/>
      </w:tblGrid>
      <w:tr>
        <w:tc>
          <w:tcPr>
            <w:tcW w:type="dxa" w:w="1701"/>
            <w:tcBorders>
              <w:top w:val="single" w:sz="8" w:color="000000"/>
              <w:bottom w:val="single" w:sz="8" w:color="000000"/>
            </w:tcBorders>
          </w:tcPr>
          <w:p>
            <w:pPr>
              <w:spacing w:after="20" w:before="20" w:line="264" w:lineRule="auto"/>
              <w:jc w:val="center"/>
            </w:pPr>
            <w:r/>
            <w:r>
              <w:rPr>
                <w:rFonts w:ascii="바탕" w:hAnsi="바탕" w:eastAsia="바탕"/>
                <w:b/>
                <w:i w:val="0"/>
                <w:sz w:val="18"/>
              </w:rPr>
              <w:t>운동</w:t>
            </w:r>
          </w:p>
        </w:tc>
        <w:tc>
          <w:tcPr>
            <w:tcW w:type="dxa" w:w="4252"/>
            <w:tcBorders>
              <w:top w:val="single" w:sz="8" w:color="000000"/>
              <w:bottom w:val="single" w:sz="8" w:color="000000"/>
            </w:tcBorders>
          </w:tcPr>
          <w:p>
            <w:pPr>
              <w:spacing w:after="20" w:before="20" w:line="264" w:lineRule="auto"/>
              <w:jc w:val="center"/>
            </w:pPr>
            <w:r/>
            <w:r>
              <w:rPr>
                <w:rFonts w:ascii="바탕" w:hAnsi="바탕" w:eastAsia="바탕"/>
                <w:b/>
                <w:i w:val="0"/>
                <w:sz w:val="18"/>
              </w:rPr>
              <w:t>방법</w:t>
            </w:r>
          </w:p>
        </w:tc>
        <w:tc>
          <w:tcPr>
            <w:tcW w:type="dxa" w:w="1984"/>
            <w:tcBorders>
              <w:top w:val="single" w:sz="8" w:color="000000"/>
              <w:bottom w:val="single" w:sz="8" w:color="000000"/>
            </w:tcBorders>
          </w:tcPr>
          <w:p>
            <w:pPr>
              <w:spacing w:after="20" w:before="20" w:line="264" w:lineRule="auto"/>
              <w:jc w:val="center"/>
            </w:pPr>
            <w:r/>
            <w:r>
              <w:rPr>
                <w:rFonts w:ascii="바탕" w:hAnsi="바탕" w:eastAsia="바탕"/>
                <w:b/>
                <w:i w:val="0"/>
                <w:sz w:val="18"/>
              </w:rPr>
              <w:t>대상 근육</w:t>
            </w:r>
          </w:p>
        </w:tc>
        <w:tc>
          <w:tcPr>
            <w:tcW w:type="dxa" w:w="1417"/>
            <w:tcBorders>
              <w:top w:val="single" w:sz="8" w:color="000000"/>
              <w:bottom w:val="single" w:sz="8" w:color="000000"/>
            </w:tcBorders>
          </w:tcPr>
          <w:p>
            <w:pPr>
              <w:spacing w:after="20" w:before="20" w:line="264" w:lineRule="auto"/>
              <w:jc w:val="center"/>
            </w:pPr>
            <w:r/>
            <w:r>
              <w:rPr>
                <w:rFonts w:ascii="바탕" w:hAnsi="바탕" w:eastAsia="바탕"/>
                <w:b/>
                <w:i w:val="0"/>
                <w:sz w:val="18"/>
              </w:rPr>
              <w:t>용량</w:t>
            </w:r>
          </w:p>
        </w:tc>
      </w:tr>
      <w:tr>
        <w:tc>
          <w:tcPr>
            <w:tcW w:type="dxa" w:w="1701"/>
          </w:tcPr>
          <w:p>
            <w:pPr>
              <w:spacing w:after="20" w:before="20" w:line="264" w:lineRule="auto"/>
              <w:jc w:val="left"/>
            </w:pPr>
            <w:r/>
            <w:r>
              <w:rPr>
                <w:rFonts w:ascii="바탕" w:hAnsi="바탕" w:eastAsia="바탕"/>
                <w:b w:val="0"/>
                <w:i w:val="0"/>
                <w:sz w:val="18"/>
              </w:rPr>
              <w:t>경추 신전근 스트레칭</w:t>
            </w:r>
          </w:p>
        </w:tc>
        <w:tc>
          <w:tcPr>
            <w:tcW w:type="dxa" w:w="4252"/>
          </w:tcPr>
          <w:p>
            <w:pPr>
              <w:spacing w:after="20" w:before="20" w:line="264" w:lineRule="auto"/>
              <w:jc w:val="center"/>
            </w:pPr>
            <w:r/>
            <w:r>
              <w:rPr>
                <w:rFonts w:ascii="바탕" w:hAnsi="바탕" w:eastAsia="바탕"/>
                <w:b w:val="0"/>
                <w:i w:val="0"/>
                <w:sz w:val="18"/>
              </w:rPr>
              <w:t>앉은 자세에서 턱을 가슴 쪽으로 당기며 목 뒤를 신전</w:t>
            </w:r>
          </w:p>
        </w:tc>
        <w:tc>
          <w:tcPr>
            <w:tcW w:type="dxa" w:w="1984"/>
          </w:tcPr>
          <w:p>
            <w:pPr>
              <w:spacing w:after="20" w:before="20" w:line="264" w:lineRule="auto"/>
              <w:jc w:val="center"/>
            </w:pPr>
            <w:r/>
            <w:r>
              <w:rPr>
                <w:rFonts w:ascii="바탕" w:hAnsi="바탕" w:eastAsia="바탕"/>
                <w:b w:val="0"/>
                <w:i w:val="0"/>
                <w:sz w:val="18"/>
              </w:rPr>
              <w:t>후두하근, 상부승모근</w:t>
            </w:r>
          </w:p>
        </w:tc>
        <w:tc>
          <w:tcPr>
            <w:tcW w:type="dxa" w:w="1417"/>
          </w:tcPr>
          <w:p>
            <w:pPr>
              <w:spacing w:after="20" w:before="20" w:line="264" w:lineRule="auto"/>
              <w:jc w:val="center"/>
            </w:pPr>
            <w:r/>
            <w:r>
              <w:rPr>
                <w:rFonts w:ascii="바탕" w:hAnsi="바탕" w:eastAsia="바탕"/>
                <w:b w:val="0"/>
                <w:i w:val="0"/>
                <w:sz w:val="18"/>
              </w:rPr>
              <w:t>20–30초, 4세트</w:t>
            </w:r>
          </w:p>
        </w:tc>
      </w:tr>
      <w:tr>
        <w:tc>
          <w:tcPr>
            <w:tcW w:type="dxa" w:w="1701"/>
          </w:tcPr>
          <w:p>
            <w:pPr>
              <w:spacing w:after="20" w:before="20" w:line="264" w:lineRule="auto"/>
              <w:jc w:val="left"/>
            </w:pPr>
            <w:r/>
            <w:r>
              <w:rPr>
                <w:rFonts w:ascii="바탕" w:hAnsi="바탕" w:eastAsia="바탕"/>
                <w:b w:val="0"/>
                <w:i w:val="0"/>
                <w:sz w:val="18"/>
              </w:rPr>
              <w:t>대흉근 스트레칭</w:t>
            </w:r>
          </w:p>
        </w:tc>
        <w:tc>
          <w:tcPr>
            <w:tcW w:type="dxa" w:w="4252"/>
          </w:tcPr>
          <w:p>
            <w:pPr>
              <w:spacing w:after="20" w:before="20" w:line="264" w:lineRule="auto"/>
              <w:jc w:val="center"/>
            </w:pPr>
            <w:r/>
            <w:r>
              <w:rPr>
                <w:rFonts w:ascii="바탕" w:hAnsi="바탕" w:eastAsia="바탕"/>
                <w:b w:val="0"/>
                <w:i w:val="0"/>
                <w:sz w:val="18"/>
              </w:rPr>
              <w:t>벽에 팔꿈치를 90° 굴곡하여 대고 몸을 앞으로 밀어 흉근을 신전</w:t>
            </w:r>
          </w:p>
        </w:tc>
        <w:tc>
          <w:tcPr>
            <w:tcW w:type="dxa" w:w="1984"/>
          </w:tcPr>
          <w:p>
            <w:pPr>
              <w:spacing w:after="20" w:before="20" w:line="264" w:lineRule="auto"/>
              <w:jc w:val="center"/>
            </w:pPr>
            <w:r/>
            <w:r>
              <w:rPr>
                <w:rFonts w:ascii="바탕" w:hAnsi="바탕" w:eastAsia="바탕"/>
                <w:b w:val="0"/>
                <w:i w:val="0"/>
                <w:sz w:val="18"/>
              </w:rPr>
              <w:t>대흉근, 소흉근</w:t>
            </w:r>
          </w:p>
        </w:tc>
        <w:tc>
          <w:tcPr>
            <w:tcW w:type="dxa" w:w="1417"/>
          </w:tcPr>
          <w:p>
            <w:pPr>
              <w:spacing w:after="20" w:before="20" w:line="264" w:lineRule="auto"/>
              <w:jc w:val="center"/>
            </w:pPr>
            <w:r/>
            <w:r>
              <w:rPr>
                <w:rFonts w:ascii="바탕" w:hAnsi="바탕" w:eastAsia="바탕"/>
                <w:b w:val="0"/>
                <w:i w:val="0"/>
                <w:sz w:val="18"/>
              </w:rPr>
              <w:t>20–30초, 4세트</w:t>
            </w:r>
          </w:p>
        </w:tc>
      </w:tr>
      <w:tr>
        <w:tc>
          <w:tcPr>
            <w:tcW w:type="dxa" w:w="1701"/>
            <w:tcBorders>
              <w:bottom w:val="single" w:sz="8" w:color="000000"/>
            </w:tcBorders>
          </w:tcPr>
          <w:p>
            <w:pPr>
              <w:spacing w:after="20" w:before="20" w:line="264" w:lineRule="auto"/>
              <w:jc w:val="left"/>
            </w:pPr>
            <w:r/>
            <w:r>
              <w:rPr>
                <w:rFonts w:ascii="바탕" w:hAnsi="바탕" w:eastAsia="바탕"/>
                <w:b w:val="0"/>
                <w:i w:val="0"/>
                <w:sz w:val="18"/>
              </w:rPr>
              <w:t>맥켄지 신전 운동</w:t>
            </w:r>
          </w:p>
        </w:tc>
        <w:tc>
          <w:tcPr>
            <w:tcW w:type="dxa" w:w="4252"/>
            <w:tcBorders>
              <w:bottom w:val="single" w:sz="8" w:color="000000"/>
            </w:tcBorders>
          </w:tcPr>
          <w:p>
            <w:pPr>
              <w:spacing w:after="20" w:before="20" w:line="264" w:lineRule="auto"/>
              <w:jc w:val="center"/>
            </w:pPr>
            <w:r/>
            <w:r>
              <w:rPr>
                <w:rFonts w:ascii="바탕" w:hAnsi="바탕" w:eastAsia="바탕"/>
                <w:b w:val="0"/>
                <w:i w:val="0"/>
                <w:sz w:val="18"/>
              </w:rPr>
              <w:t>복와위에서 양손을 어깨 옆에 놓고 상체를 천천히 들어 올려 경추 및 흉추 신전 유도</w:t>
            </w:r>
          </w:p>
        </w:tc>
        <w:tc>
          <w:tcPr>
            <w:tcW w:type="dxa" w:w="1984"/>
            <w:tcBorders>
              <w:bottom w:val="single" w:sz="8" w:color="000000"/>
            </w:tcBorders>
          </w:tcPr>
          <w:p>
            <w:pPr>
              <w:spacing w:after="20" w:before="20" w:line="264" w:lineRule="auto"/>
              <w:jc w:val="center"/>
            </w:pPr>
            <w:r/>
            <w:r>
              <w:rPr>
                <w:rFonts w:ascii="바탕" w:hAnsi="바탕" w:eastAsia="바탕"/>
                <w:b w:val="0"/>
                <w:i w:val="0"/>
                <w:sz w:val="18"/>
              </w:rPr>
              <w:t>경추신전근 및 후경부 근육</w:t>
            </w:r>
          </w:p>
        </w:tc>
        <w:tc>
          <w:tcPr>
            <w:tcW w:type="dxa" w:w="1417"/>
            <w:tcBorders>
              <w:bottom w:val="single" w:sz="8" w:color="000000"/>
            </w:tcBorders>
          </w:tcPr>
          <w:p>
            <w:pPr>
              <w:spacing w:after="20" w:before="20" w:line="264" w:lineRule="auto"/>
              <w:jc w:val="center"/>
            </w:pPr>
            <w:r/>
            <w:r>
              <w:rPr>
                <w:rFonts w:ascii="바탕" w:hAnsi="바탕" w:eastAsia="바탕"/>
                <w:b w:val="0"/>
                <w:i w:val="0"/>
                <w:sz w:val="18"/>
              </w:rPr>
              <w:t>3회, 8세트</w:t>
            </w:r>
          </w:p>
        </w:tc>
      </w:tr>
    </w:tbl>
    <w:p>
      <w:pPr>
        <w:spacing w:before="120" w:after="60" w:line="312" w:lineRule="auto"/>
      </w:pPr>
      <w:r>
        <w:rPr>
          <w:rFonts w:ascii="맑은 고딕" w:hAnsi="맑은 고딕" w:eastAsia="맑은 고딕"/>
          <w:b/>
          <w:i w:val="0"/>
          <w:sz w:val="20"/>
        </w:rPr>
        <w:t>3) 중재 충실도 관리</w:t>
      </w:r>
    </w:p>
    <w:p>
      <w:pPr>
        <w:spacing w:before="0" w:after="120" w:line="384" w:lineRule="auto"/>
        <w:ind w:firstLine="567"/>
      </w:pPr>
      <w:r>
        <w:rPr>
          <w:rFonts w:ascii="바탕" w:hAnsi="바탕" w:eastAsia="바탕"/>
          <w:b w:val="0"/>
          <w:i w:val="0"/>
          <w:sz w:val="20"/>
        </w:rPr>
        <w:t>중재 충실도(intervention fidelity)를 확보하기 위해 매 회기마다 연구자가 직접 운동 수행을 관찰하였으며, 운동 자세에 오류가 관찰될 경우 즉각적인 피드백을 제공하여 정확한 수행을 유도하였다. 출석 여부는 회기별로 운동 일지에 기록하였으며, 출석률이 80% 미만(전체 10회기 중 8회기 미만 참여)인 대상자는 탈락(drop-out)으로 처리하였다.</w:t>
      </w:r>
    </w:p>
    <w:p>
      <w:pPr>
        <w:spacing w:before="180" w:after="80" w:line="312" w:lineRule="auto"/>
      </w:pPr>
      <w:r>
        <w:rPr>
          <w:rFonts w:ascii="맑은 고딕" w:hAnsi="맑은 고딕" w:eastAsia="맑은 고딕"/>
          <w:b/>
          <w:i w:val="0"/>
          <w:sz w:val="22"/>
        </w:rPr>
        <w:t>4. 평가 방법</w:t>
      </w:r>
    </w:p>
    <w:p>
      <w:pPr>
        <w:spacing w:before="0" w:after="120" w:line="384" w:lineRule="auto"/>
        <w:ind w:firstLine="567"/>
      </w:pPr>
      <w:r>
        <w:rPr>
          <w:rFonts w:ascii="바탕" w:hAnsi="바탕" w:eastAsia="바탕"/>
          <w:b w:val="0"/>
          <w:i w:val="0"/>
          <w:sz w:val="20"/>
        </w:rPr>
        <w:t>모든 평가는 중재 전(pre-intervention)과 중재 5주 후(post-intervention) 동일한 환경에서 동일한 측정자에 의해 수행되었다. 일차(주요) 결과변수는 CVA였으며, 6방향 CROM은 이차 결과변수로 사전에 설정하였다. 측정자는 근골격계 평가 관련 교과목을 이수한 물리치료학과 3학년 재학생 2인으로, 본 연구 개시 전 측정 프로토콜에 대한 사전 훈련을 거친 후 측정에 투입되었다.</w:t>
      </w:r>
    </w:p>
    <w:p>
      <w:pPr>
        <w:spacing w:before="120" w:after="60" w:line="312" w:lineRule="auto"/>
      </w:pPr>
      <w:r>
        <w:rPr>
          <w:rFonts w:ascii="맑은 고딕" w:hAnsi="맑은 고딕" w:eastAsia="맑은 고딕"/>
          <w:b/>
          <w:i w:val="0"/>
          <w:sz w:val="20"/>
        </w:rPr>
        <w:t>1) 두개척추각(CVA)</w:t>
      </w:r>
    </w:p>
    <w:p>
      <w:pPr>
        <w:spacing w:before="0" w:after="120" w:line="384" w:lineRule="auto"/>
        <w:ind w:firstLine="567"/>
      </w:pPr>
      <w:r>
        <w:rPr>
          <w:rFonts w:ascii="바탕" w:hAnsi="바탕" w:eastAsia="바탕"/>
          <w:b w:val="0"/>
          <w:i w:val="0"/>
          <w:sz w:val="20"/>
        </w:rPr>
        <w:t>CVA는 사진 측정법(photogrammetry)을 이용하여 산출하였다. 영상 획득에는 스마트폰 카메라(iPhone 15, Apple Inc., Cupertino, CA, USA)를 사용하였으며, 대상자의 측면으로부터 1.4 m 떨어진 위치에 삼각대를 설치하여 카메라를 고정하였고, 카메라 렌즈는 대상자가 앉은 자세에서 어깨 높이와 수평이 되도록 조절하였다[15]. 자세 재설정(postural resetting)을 위해 대상자에게 경추를 최대 굴곡 후 최대 신전하는 동작을 3회 반복하게 한 뒤, 전방을 응시하며 자연스럽고 편안한 자세를 유지하도록 표준화된 지시문을 제공하였다. 해부학적 지표인 이주(tragus)와 제7경추 극돌기(C7 spinous process)에 적색 수성 마커로 표지점을 표시한 후 측면 이미지를 획득하였다. CVA는 C7 극돌기 표지점과 이주 표지점을 연결한 선과 C7 극돌기를 지나는 수평선이 이루는 각도로 정의하였으며, ImageJ 소프트웨어(National Institutes of Health, Bethesda, MD, USA)를 이용하여 산출하였다. 사진 측정법을 이용한 CVA 측정의 측정자 내 신뢰도는 ICC=0.98로 보고된 바 있다[16]. 측정 오차를 최소화하기 위해 3회 반복 측정한 값의 평균을 분석에 사용하였다.</w:t>
      </w:r>
    </w:p>
    <w:p>
      <w:pPr>
        <w:spacing w:before="120" w:after="60" w:line="312" w:lineRule="auto"/>
      </w:pPr>
      <w:r>
        <w:rPr>
          <w:rFonts w:ascii="맑은 고딕" w:hAnsi="맑은 고딕" w:eastAsia="맑은 고딕"/>
          <w:b/>
          <w:i w:val="0"/>
          <w:sz w:val="20"/>
        </w:rPr>
        <w:t>2) 경추 가동범위(CROM)</w:t>
      </w:r>
    </w:p>
    <w:p>
      <w:pPr>
        <w:spacing w:before="0" w:after="120" w:line="384" w:lineRule="auto"/>
        <w:ind w:firstLine="567"/>
      </w:pPr>
      <w:r>
        <w:rPr>
          <w:rFonts w:ascii="바탕" w:hAnsi="바탕" w:eastAsia="바탕"/>
          <w:b w:val="0"/>
          <w:i w:val="0"/>
          <w:sz w:val="20"/>
        </w:rPr>
        <w:t>CROM은 범용 각도계(universal goniometer)를 이용하여 굴곡(flexion), 신전(extension), 좌·우 측방굴곡(lateral flexion), 좌·우 회전(rotation)의 6방향에 대한 능동 가동범위를 측정하였다. 대상자는 등받이가 있는 의자에 골반과 체간을 바르게 정렬한 앉은 자세에서 측정을 수행하였다. 측정 중 체간 및 어깨의 보상 움직임을 최소화하도록 지시하였으며, 각 방향에 대해 3회 측정한 값의 평균을 분석에 사용하였다. 범용 각도계를 이용한 CROM 측정의 신뢰도는 측정자 내 ICC≥0.986, 측정자 간 ICC≥0.947로 보고되었다[17].</w:t>
      </w:r>
    </w:p>
    <w:p>
      <w:pPr>
        <w:spacing w:before="180" w:after="80" w:line="312" w:lineRule="auto"/>
      </w:pPr>
      <w:r>
        <w:rPr>
          <w:rFonts w:ascii="맑은 고딕" w:hAnsi="맑은 고딕" w:eastAsia="맑은 고딕"/>
          <w:b/>
          <w:i w:val="0"/>
          <w:sz w:val="22"/>
        </w:rPr>
        <w:t>5. 분석 방법</w:t>
      </w:r>
    </w:p>
    <w:p>
      <w:pPr>
        <w:spacing w:before="0" w:after="120" w:line="384" w:lineRule="auto"/>
        <w:ind w:firstLine="567"/>
      </w:pPr>
      <w:r>
        <w:rPr>
          <w:rFonts w:ascii="바탕" w:hAnsi="바탕" w:eastAsia="바탕"/>
          <w:b w:val="0"/>
          <w:i w:val="0"/>
          <w:sz w:val="20"/>
        </w:rPr>
        <w:t>모든 통계 분석은 SPSS Statistics version 26.0(IBM Corp., Armonk, NY, USA) 및 Python 3(SciPy)을 이용하여 수행하였다. 연구 대상자의 일반적 특성은 기술통계(평균±표준편차 또는 빈도)로 제시하였다. 자료의 정규성은 Shapiro-Wilk 검정으로 확인하였다. 두 군 간 사전 동질성 검정은 연속형 변수의 경우 정규성을 만족할 때 독립표본 t-검정을, 정규성을 만족하지 않을 경우 Mann-Whitney U 검정을 적용하였으며, 범주형 변수는 카이제곱 검정(χ² test)을 적용하였다.</w:t>
      </w:r>
    </w:p>
    <w:p>
      <w:pPr>
        <w:spacing w:before="0" w:after="120" w:line="384" w:lineRule="auto"/>
        <w:ind w:firstLine="567"/>
      </w:pPr>
      <w:r>
        <w:rPr>
          <w:rFonts w:ascii="바탕" w:hAnsi="바탕" w:eastAsia="바탕"/>
          <w:b w:val="0"/>
          <w:i w:val="0"/>
          <w:sz w:val="20"/>
        </w:rPr>
        <w:t>중재 효과의 검정을 위해 군(2: 실험군, 대조군)×시점(2: 사전, 사후)의 반복측정 이원분산분석(two-way repeated measures ANOVA)을 실시하였으며, 유의한 상호작용 효과가 관찰된 경우 Bonferroni 보정을 적용한 사후 검정을 수행하기로 하였다. 군내 사전-사후 변화는 대응표본 t-검정으로, 군간 변화량 차이는 독립표본 t-검정으로 검정하였다. 아울러 각 결과변수의 사전–사후 변화량에 대해 정규성(Shapiro–Wilk 검정)과 등분산성(Levene 검정)을 점검하였으며, 정규성 가정이 충족되지 않은 변수에 대해서는 비모수 검정(군간 변화량 비교는 Mann–Whitney U 검정, 군내 변화는 Wilcoxon 부호순위 검정)으로 결론의 일관성을 재확인하는 민감도 분석(sensitivity analysis)을 병행하였다. 아울러 본 연구 설계가 80% 검정력으로 검출할 수 있는 군간 최소검출효과(minimum detectable effect, MDE)를 독립표본 t-검정 기준(α=0.05, 양측)으로 산출하여 설계의 검출 민감도(design sensitivity)를 평가하였다. 효과크기는 분산분석에 대해 부분 에타제곱(partial η²)으로 산출하였으며, 0.01은 작은 효과, 0.06은 중간 효과, 0.14는 큰 효과로 해석하였다. 일반적 특성은 무작위 배정된 전체 대상자를 대상으로 보고하였고, 중재 효과 분석은 사전·사후 자료가 모두 확보된 대상자를 대상으로 한 완전자료 분석(complete-case analysis)으로 수행하였다. 결측은 무작위배정 후 발생하였고(각 군 3명, 총 6명) 해당 대상자는 사후 측정이 시행되지 않아 대체가 불가능하였다. 본 연구의 보고는 CONSORT 2010 점검표를 따랐다. 모든 통계적 유의수준은 양측검정 α=0.05로 설정하였다.</w:t>
      </w:r>
    </w:p>
    <w:p>
      <w:pPr>
        <w:spacing w:before="0" w:after="120" w:line="384" w:lineRule="auto"/>
        <w:ind w:firstLine="567"/>
      </w:pPr>
      <w:r>
        <w:rPr>
          <w:rFonts w:ascii="바탕" w:hAnsi="바탕" w:eastAsia="바탕"/>
          <w:b w:val="0"/>
          <w:i w:val="0"/>
          <w:sz w:val="20"/>
        </w:rPr>
        <w:t>연구의 투명성과 재현성을 위하여 개인식별정보를 제거한 익명화 측정 자료와 전체 분석 코드(Python 기반 분석 노트북)를 공개 저장소(https://github.com/y3korea/fhp-ai-rct)에 공개하였다.</w:t>
      </w:r>
    </w:p>
    <w:p>
      <w:pPr>
        <w:spacing w:before="280" w:after="140" w:line="312" w:lineRule="auto"/>
      </w:pPr>
      <w:r>
        <w:rPr>
          <w:rFonts w:ascii="맑은 고딕" w:hAnsi="맑은 고딕" w:eastAsia="맑은 고딕"/>
          <w:b/>
          <w:i w:val="0"/>
          <w:sz w:val="24"/>
        </w:rPr>
        <w:t>Ⅲ. 연구결과</w:t>
      </w:r>
    </w:p>
    <w:p>
      <w:pPr>
        <w:spacing w:before="180" w:after="80" w:line="312" w:lineRule="auto"/>
      </w:pPr>
      <w:r>
        <w:rPr>
          <w:rFonts w:ascii="맑은 고딕" w:hAnsi="맑은 고딕" w:eastAsia="맑은 고딕"/>
          <w:b/>
          <w:i w:val="0"/>
          <w:sz w:val="22"/>
        </w:rPr>
        <w:t>1. 연구 대상자의 일반적 특성</w:t>
      </w:r>
    </w:p>
    <w:p>
      <w:pPr>
        <w:spacing w:before="0" w:after="120" w:line="384" w:lineRule="auto"/>
        <w:ind w:firstLine="567"/>
      </w:pPr>
      <w:r>
        <w:rPr>
          <w:rFonts w:ascii="바탕" w:hAnsi="바탕" w:eastAsia="바탕"/>
          <w:b w:val="0"/>
          <w:i w:val="0"/>
          <w:sz w:val="20"/>
        </w:rPr>
        <w:t>총 40명이 무작위 배정되었다(실험군 20명, 대조군 20명). 이 중 중재 또는 사후 측정 과정에서 사전 또는 사후 자료가 확보되지 않은 6명(각 군 3명)을 제외하고, 사전·사후 자료가 모두 확보된 34명(실험군 17명, 대조군 17명)을 중재 효과 분석에 포함하였다. 연구 대상자의 일반적 특성은 Table 3과 같다. 성별, 나이, 신장, 체중, 통증(VAS), 스마트폰 사용시간 등 모든 변수에서 두 군 간 유의한 차이가 없어 집단의 동질성이 확보되었다(모두 p&gt;0.05). 또한 분석에 포함된 대상자의 모든 결과변수 사전값에서도 군간 유의한 차이가 없었다(모두 p&gt;0.05). 대상자 모집부터 분석까지의 흐름은 Figure 1과 같다.</w:t>
      </w:r>
    </w:p>
    <w:p>
      <w:pPr>
        <w:spacing w:before="160"/>
        <w:jc w:val="center"/>
      </w:pPr>
      <w:r>
        <w:drawing>
          <wp:inline xmlns:a="http://schemas.openxmlformats.org/drawingml/2006/main" xmlns:pic="http://schemas.openxmlformats.org/drawingml/2006/picture">
            <wp:extent cx="4140000" cy="3784256"/>
            <wp:docPr id="1" name="Picture 1"/>
            <wp:cNvGraphicFramePr>
              <a:graphicFrameLocks noChangeAspect="1"/>
            </wp:cNvGraphicFramePr>
            <a:graphic>
              <a:graphicData uri="http://schemas.openxmlformats.org/drawingml/2006/picture">
                <pic:pic>
                  <pic:nvPicPr>
                    <pic:cNvPr id="0" name="Fig3_CONSORT.png"/>
                    <pic:cNvPicPr/>
                  </pic:nvPicPr>
                  <pic:blipFill>
                    <a:blip r:embed="rId9"/>
                    <a:stretch>
                      <a:fillRect/>
                    </a:stretch>
                  </pic:blipFill>
                  <pic:spPr>
                    <a:xfrm>
                      <a:off x="0" y="0"/>
                      <a:ext cx="4140000" cy="3784256"/>
                    </a:xfrm>
                    <a:prstGeom prst="rect"/>
                  </pic:spPr>
                </pic:pic>
              </a:graphicData>
            </a:graphic>
          </wp:inline>
        </w:drawing>
      </w:r>
    </w:p>
    <w:p>
      <w:pPr>
        <w:spacing w:after="200"/>
        <w:jc w:val="center"/>
      </w:pPr>
      <w:r>
        <w:rPr>
          <w:rFonts w:ascii="맑은 고딕" w:hAnsi="맑은 고딕" w:eastAsia="맑은 고딕"/>
          <w:b/>
          <w:i w:val="0"/>
          <w:sz w:val="18"/>
        </w:rPr>
        <w:t xml:space="preserve">그림 1. </w:t>
      </w:r>
      <w:r>
        <w:rPr>
          <w:rFonts w:ascii="맑은 고딕" w:hAnsi="맑은 고딕" w:eastAsia="맑은 고딕"/>
          <w:b w:val="0"/>
          <w:i w:val="0"/>
          <w:sz w:val="18"/>
        </w:rPr>
        <w:t>CONSORT flow diagram. EG, experimental group (AI-generated exercise); CG, control group (conventional exercise).</w:t>
      </w:r>
    </w:p>
    <w:p>
      <w:pPr>
        <w:spacing w:before="200" w:after="60"/>
      </w:pPr>
      <w:r>
        <w:rPr>
          <w:rFonts w:ascii="맑은 고딕" w:hAnsi="맑은 고딕" w:eastAsia="맑은 고딕"/>
          <w:b/>
          <w:i w:val="0"/>
          <w:sz w:val="20"/>
        </w:rPr>
        <w:t xml:space="preserve">Table 3. </w:t>
      </w:r>
      <w:r>
        <w:rPr>
          <w:rFonts w:ascii="맑은 고딕" w:hAnsi="맑은 고딕" w:eastAsia="맑은 고딕"/>
          <w:b w:val="0"/>
          <w:i w:val="0"/>
          <w:sz w:val="20"/>
        </w:rPr>
        <w:t>General characteristics of subjects</w:t>
      </w:r>
    </w:p>
    <w:tbl>
      <w:tblPr>
        <w:tblW w:type="auto" w:w="0"/>
        <w:jc w:val="center"/>
        <w:tblLook w:firstColumn="1" w:firstRow="1" w:lastColumn="0" w:lastRow="0" w:noHBand="0" w:noVBand="1" w:val="04A0"/>
      </w:tblPr>
      <w:tblGrid>
        <w:gridCol w:w="1837"/>
        <w:gridCol w:w="1837"/>
        <w:gridCol w:w="1837"/>
        <w:gridCol w:w="1837"/>
        <w:gridCol w:w="1837"/>
      </w:tblGrid>
      <w:tr>
        <w:tc>
          <w:tcPr>
            <w:tcW w:type="dxa" w:w="2721"/>
            <w:tcBorders>
              <w:top w:val="single" w:sz="8" w:color="000000"/>
              <w:bottom w:val="single" w:sz="8" w:color="000000"/>
            </w:tcBorders>
          </w:tcPr>
          <w:p>
            <w:pPr>
              <w:spacing w:after="20" w:before="20" w:line="264" w:lineRule="auto"/>
              <w:jc w:val="center"/>
            </w:pPr>
            <w:r/>
            <w:r>
              <w:rPr>
                <w:rFonts w:ascii="바탕" w:hAnsi="바탕" w:eastAsia="바탕"/>
                <w:b/>
                <w:i w:val="0"/>
                <w:sz w:val="18"/>
              </w:rPr>
              <w:t>Variables (unit)</w:t>
            </w:r>
          </w:p>
        </w:tc>
        <w:tc>
          <w:tcPr>
            <w:tcW w:type="dxa" w:w="2268"/>
            <w:tcBorders>
              <w:top w:val="single" w:sz="8" w:color="000000"/>
              <w:bottom w:val="single" w:sz="8" w:color="000000"/>
            </w:tcBorders>
          </w:tcPr>
          <w:p>
            <w:pPr>
              <w:spacing w:after="20" w:before="20" w:line="264" w:lineRule="auto"/>
              <w:jc w:val="center"/>
            </w:pPr>
            <w:r/>
            <w:r>
              <w:rPr>
                <w:rFonts w:ascii="바탕" w:hAnsi="바탕" w:eastAsia="바탕"/>
                <w:b/>
                <w:i w:val="0"/>
                <w:sz w:val="18"/>
              </w:rPr>
              <w:t>EG (n=20)</w:t>
            </w:r>
          </w:p>
        </w:tc>
        <w:tc>
          <w:tcPr>
            <w:tcW w:type="dxa" w:w="2268"/>
            <w:tcBorders>
              <w:top w:val="single" w:sz="8" w:color="000000"/>
              <w:bottom w:val="single" w:sz="8" w:color="000000"/>
            </w:tcBorders>
          </w:tcPr>
          <w:p>
            <w:pPr>
              <w:spacing w:after="20" w:before="20" w:line="264" w:lineRule="auto"/>
              <w:jc w:val="center"/>
            </w:pPr>
            <w:r/>
            <w:r>
              <w:rPr>
                <w:rFonts w:ascii="바탕" w:hAnsi="바탕" w:eastAsia="바탕"/>
                <w:b/>
                <w:i w:val="0"/>
                <w:sz w:val="18"/>
              </w:rPr>
              <w:t>CG (n=20)</w:t>
            </w:r>
          </w:p>
        </w:tc>
        <w:tc>
          <w:tcPr>
            <w:tcW w:type="dxa" w:w="964"/>
            <w:tcBorders>
              <w:top w:val="single" w:sz="8" w:color="000000"/>
              <w:bottom w:val="single" w:sz="8" w:color="000000"/>
            </w:tcBorders>
          </w:tcPr>
          <w:p>
            <w:pPr>
              <w:spacing w:after="20" w:before="20" w:line="264" w:lineRule="auto"/>
              <w:jc w:val="center"/>
            </w:pPr>
            <w:r/>
            <w:r>
              <w:rPr>
                <w:rFonts w:ascii="바탕" w:hAnsi="바탕" w:eastAsia="바탕"/>
                <w:b/>
                <w:i w:val="0"/>
                <w:sz w:val="18"/>
              </w:rPr>
              <w:t>χ²/t/Z</w:t>
            </w:r>
          </w:p>
        </w:tc>
        <w:tc>
          <w:tcPr>
            <w:tcW w:type="dxa" w:w="850"/>
            <w:tcBorders>
              <w:top w:val="single" w:sz="8" w:color="000000"/>
              <w:bottom w:val="single" w:sz="8" w:color="000000"/>
            </w:tcBorders>
          </w:tcPr>
          <w:p>
            <w:pPr>
              <w:spacing w:after="20" w:before="20" w:line="264" w:lineRule="auto"/>
              <w:jc w:val="center"/>
            </w:pPr>
            <w:r/>
            <w:r>
              <w:rPr>
                <w:rFonts w:ascii="바탕" w:hAnsi="바탕" w:eastAsia="바탕"/>
                <w:b/>
                <w:i w:val="0"/>
                <w:sz w:val="18"/>
              </w:rPr>
              <w:t>p</w:t>
            </w:r>
          </w:p>
        </w:tc>
      </w:tr>
      <w:tr>
        <w:tc>
          <w:tcPr>
            <w:tcW w:type="dxa" w:w="2721"/>
          </w:tcPr>
          <w:p>
            <w:pPr>
              <w:spacing w:after="20" w:before="20" w:line="264" w:lineRule="auto"/>
              <w:jc w:val="left"/>
            </w:pPr>
            <w:r/>
            <w:r>
              <w:rPr>
                <w:rFonts w:ascii="바탕" w:hAnsi="바탕" w:eastAsia="바탕"/>
                <w:b w:val="0"/>
                <w:i w:val="0"/>
                <w:sz w:val="18"/>
              </w:rPr>
              <w:t>Sex (M/F)</w:t>
            </w:r>
          </w:p>
        </w:tc>
        <w:tc>
          <w:tcPr>
            <w:tcW w:type="dxa" w:w="2268"/>
          </w:tcPr>
          <w:p>
            <w:pPr>
              <w:spacing w:after="20" w:before="20" w:line="264" w:lineRule="auto"/>
              <w:jc w:val="center"/>
            </w:pPr>
            <w:r/>
            <w:r>
              <w:rPr>
                <w:rFonts w:ascii="바탕" w:hAnsi="바탕" w:eastAsia="바탕"/>
                <w:b w:val="0"/>
                <w:i w:val="0"/>
                <w:sz w:val="18"/>
              </w:rPr>
              <w:t>14/6</w:t>
            </w:r>
          </w:p>
        </w:tc>
        <w:tc>
          <w:tcPr>
            <w:tcW w:type="dxa" w:w="2268"/>
          </w:tcPr>
          <w:p>
            <w:pPr>
              <w:spacing w:after="20" w:before="20" w:line="264" w:lineRule="auto"/>
              <w:jc w:val="center"/>
            </w:pPr>
            <w:r/>
            <w:r>
              <w:rPr>
                <w:rFonts w:ascii="바탕" w:hAnsi="바탕" w:eastAsia="바탕"/>
                <w:b w:val="0"/>
                <w:i w:val="0"/>
                <w:sz w:val="18"/>
              </w:rPr>
              <w:t>15/5</w:t>
            </w:r>
          </w:p>
        </w:tc>
        <w:tc>
          <w:tcPr>
            <w:tcW w:type="dxa" w:w="964"/>
          </w:tcPr>
          <w:p>
            <w:pPr>
              <w:spacing w:after="20" w:before="20" w:line="264" w:lineRule="auto"/>
              <w:jc w:val="center"/>
            </w:pPr>
            <w:r/>
            <w:r>
              <w:rPr>
                <w:rFonts w:ascii="바탕" w:hAnsi="바탕" w:eastAsia="바탕"/>
                <w:b w:val="0"/>
                <w:i w:val="0"/>
                <w:sz w:val="18"/>
              </w:rPr>
              <w:t>χ²</w:t>
            </w:r>
          </w:p>
        </w:tc>
        <w:tc>
          <w:tcPr>
            <w:tcW w:type="dxa" w:w="850"/>
          </w:tcPr>
          <w:p>
            <w:pPr>
              <w:spacing w:after="20" w:before="20" w:line="264" w:lineRule="auto"/>
              <w:jc w:val="center"/>
            </w:pPr>
            <w:r/>
            <w:r>
              <w:rPr>
                <w:rFonts w:ascii="바탕" w:hAnsi="바탕" w:eastAsia="바탕"/>
                <w:b w:val="0"/>
                <w:i w:val="0"/>
                <w:sz w:val="18"/>
              </w:rPr>
              <w:t>1.000</w:t>
            </w:r>
          </w:p>
        </w:tc>
      </w:tr>
      <w:tr>
        <w:tc>
          <w:tcPr>
            <w:tcW w:type="dxa" w:w="2721"/>
          </w:tcPr>
          <w:p>
            <w:pPr>
              <w:spacing w:after="20" w:before="20" w:line="264" w:lineRule="auto"/>
              <w:jc w:val="left"/>
            </w:pPr>
            <w:r/>
            <w:r>
              <w:rPr>
                <w:rFonts w:ascii="바탕" w:hAnsi="바탕" w:eastAsia="바탕"/>
                <w:b w:val="0"/>
                <w:i w:val="0"/>
                <w:sz w:val="18"/>
              </w:rPr>
              <w:t>Age (years)</w:t>
            </w:r>
          </w:p>
        </w:tc>
        <w:tc>
          <w:tcPr>
            <w:tcW w:type="dxa" w:w="2268"/>
          </w:tcPr>
          <w:p>
            <w:pPr>
              <w:spacing w:after="20" w:before="20" w:line="264" w:lineRule="auto"/>
              <w:jc w:val="center"/>
            </w:pPr>
            <w:r/>
            <w:r>
              <w:rPr>
                <w:rFonts w:ascii="바탕" w:hAnsi="바탕" w:eastAsia="바탕"/>
                <w:b w:val="0"/>
                <w:i w:val="0"/>
                <w:sz w:val="18"/>
              </w:rPr>
              <w:t>20.00±1.26</w:t>
            </w:r>
          </w:p>
        </w:tc>
        <w:tc>
          <w:tcPr>
            <w:tcW w:type="dxa" w:w="2268"/>
          </w:tcPr>
          <w:p>
            <w:pPr>
              <w:spacing w:after="20" w:before="20" w:line="264" w:lineRule="auto"/>
              <w:jc w:val="center"/>
            </w:pPr>
            <w:r/>
            <w:r>
              <w:rPr>
                <w:rFonts w:ascii="바탕" w:hAnsi="바탕" w:eastAsia="바탕"/>
                <w:b w:val="0"/>
                <w:i w:val="0"/>
                <w:sz w:val="18"/>
              </w:rPr>
              <w:t>20.30±1.56</w:t>
            </w:r>
          </w:p>
        </w:tc>
        <w:tc>
          <w:tcPr>
            <w:tcW w:type="dxa" w:w="964"/>
          </w:tcPr>
          <w:p>
            <w:pPr>
              <w:spacing w:after="20" w:before="20" w:line="264" w:lineRule="auto"/>
              <w:jc w:val="center"/>
            </w:pPr>
            <w:r/>
            <w:r>
              <w:rPr>
                <w:rFonts w:ascii="바탕" w:hAnsi="바탕" w:eastAsia="바탕"/>
                <w:b w:val="0"/>
                <w:i w:val="0"/>
                <w:sz w:val="18"/>
              </w:rPr>
              <w:t>Z</w:t>
            </w:r>
          </w:p>
        </w:tc>
        <w:tc>
          <w:tcPr>
            <w:tcW w:type="dxa" w:w="850"/>
          </w:tcPr>
          <w:p>
            <w:pPr>
              <w:spacing w:after="20" w:before="20" w:line="264" w:lineRule="auto"/>
              <w:jc w:val="center"/>
            </w:pPr>
            <w:r/>
            <w:r>
              <w:rPr>
                <w:rFonts w:ascii="바탕" w:hAnsi="바탕" w:eastAsia="바탕"/>
                <w:b w:val="0"/>
                <w:i w:val="0"/>
                <w:sz w:val="18"/>
              </w:rPr>
              <w:t>0.626</w:t>
            </w:r>
          </w:p>
        </w:tc>
      </w:tr>
      <w:tr>
        <w:tc>
          <w:tcPr>
            <w:tcW w:type="dxa" w:w="2721"/>
          </w:tcPr>
          <w:p>
            <w:pPr>
              <w:spacing w:after="20" w:before="20" w:line="264" w:lineRule="auto"/>
              <w:jc w:val="left"/>
            </w:pPr>
            <w:r/>
            <w:r>
              <w:rPr>
                <w:rFonts w:ascii="바탕" w:hAnsi="바탕" w:eastAsia="바탕"/>
                <w:b w:val="0"/>
                <w:i w:val="0"/>
                <w:sz w:val="18"/>
              </w:rPr>
              <w:t>Height (cm)</w:t>
            </w:r>
          </w:p>
        </w:tc>
        <w:tc>
          <w:tcPr>
            <w:tcW w:type="dxa" w:w="2268"/>
          </w:tcPr>
          <w:p>
            <w:pPr>
              <w:spacing w:after="20" w:before="20" w:line="264" w:lineRule="auto"/>
              <w:jc w:val="center"/>
            </w:pPr>
            <w:r/>
            <w:r>
              <w:rPr>
                <w:rFonts w:ascii="바탕" w:hAnsi="바탕" w:eastAsia="바탕"/>
                <w:b w:val="0"/>
                <w:i w:val="0"/>
                <w:sz w:val="18"/>
              </w:rPr>
              <w:t>171.70±8.14</w:t>
            </w:r>
          </w:p>
        </w:tc>
        <w:tc>
          <w:tcPr>
            <w:tcW w:type="dxa" w:w="2268"/>
          </w:tcPr>
          <w:p>
            <w:pPr>
              <w:spacing w:after="20" w:before="20" w:line="264" w:lineRule="auto"/>
              <w:jc w:val="center"/>
            </w:pPr>
            <w:r/>
            <w:r>
              <w:rPr>
                <w:rFonts w:ascii="바탕" w:hAnsi="바탕" w:eastAsia="바탕"/>
                <w:b w:val="0"/>
                <w:i w:val="0"/>
                <w:sz w:val="18"/>
              </w:rPr>
              <w:t>172.55±8.83</w:t>
            </w:r>
          </w:p>
        </w:tc>
        <w:tc>
          <w:tcPr>
            <w:tcW w:type="dxa" w:w="964"/>
          </w:tcPr>
          <w:p>
            <w:pPr>
              <w:spacing w:after="20" w:before="20" w:line="264" w:lineRule="auto"/>
              <w:jc w:val="center"/>
            </w:pPr>
            <w:r/>
            <w:r>
              <w:rPr>
                <w:rFonts w:ascii="바탕" w:hAnsi="바탕" w:eastAsia="바탕"/>
                <w:b w:val="0"/>
                <w:i w:val="0"/>
                <w:sz w:val="18"/>
              </w:rPr>
              <w:t>t</w:t>
            </w:r>
          </w:p>
        </w:tc>
        <w:tc>
          <w:tcPr>
            <w:tcW w:type="dxa" w:w="850"/>
          </w:tcPr>
          <w:p>
            <w:pPr>
              <w:spacing w:after="20" w:before="20" w:line="264" w:lineRule="auto"/>
              <w:jc w:val="center"/>
            </w:pPr>
            <w:r/>
            <w:r>
              <w:rPr>
                <w:rFonts w:ascii="바탕" w:hAnsi="바탕" w:eastAsia="바탕"/>
                <w:b w:val="0"/>
                <w:i w:val="0"/>
                <w:sz w:val="18"/>
              </w:rPr>
              <w:t>0.753</w:t>
            </w:r>
          </w:p>
        </w:tc>
      </w:tr>
      <w:tr>
        <w:tc>
          <w:tcPr>
            <w:tcW w:type="dxa" w:w="2721"/>
          </w:tcPr>
          <w:p>
            <w:pPr>
              <w:spacing w:after="20" w:before="20" w:line="264" w:lineRule="auto"/>
              <w:jc w:val="left"/>
            </w:pPr>
            <w:r/>
            <w:r>
              <w:rPr>
                <w:rFonts w:ascii="바탕" w:hAnsi="바탕" w:eastAsia="바탕"/>
                <w:b w:val="0"/>
                <w:i w:val="0"/>
                <w:sz w:val="18"/>
              </w:rPr>
              <w:t>Weight (kg)</w:t>
            </w:r>
          </w:p>
        </w:tc>
        <w:tc>
          <w:tcPr>
            <w:tcW w:type="dxa" w:w="2268"/>
          </w:tcPr>
          <w:p>
            <w:pPr>
              <w:spacing w:after="20" w:before="20" w:line="264" w:lineRule="auto"/>
              <w:jc w:val="center"/>
            </w:pPr>
            <w:r/>
            <w:r>
              <w:rPr>
                <w:rFonts w:ascii="바탕" w:hAnsi="바탕" w:eastAsia="바탕"/>
                <w:b w:val="0"/>
                <w:i w:val="0"/>
                <w:sz w:val="18"/>
              </w:rPr>
              <w:t>79.65±19.27</w:t>
            </w:r>
          </w:p>
        </w:tc>
        <w:tc>
          <w:tcPr>
            <w:tcW w:type="dxa" w:w="2268"/>
          </w:tcPr>
          <w:p>
            <w:pPr>
              <w:spacing w:after="20" w:before="20" w:line="264" w:lineRule="auto"/>
              <w:jc w:val="center"/>
            </w:pPr>
            <w:r/>
            <w:r>
              <w:rPr>
                <w:rFonts w:ascii="바탕" w:hAnsi="바탕" w:eastAsia="바탕"/>
                <w:b w:val="0"/>
                <w:i w:val="0"/>
                <w:sz w:val="18"/>
              </w:rPr>
              <w:t>78.20±16.94</w:t>
            </w:r>
          </w:p>
        </w:tc>
        <w:tc>
          <w:tcPr>
            <w:tcW w:type="dxa" w:w="964"/>
          </w:tcPr>
          <w:p>
            <w:pPr>
              <w:spacing w:after="20" w:before="20" w:line="264" w:lineRule="auto"/>
              <w:jc w:val="center"/>
            </w:pPr>
            <w:r/>
            <w:r>
              <w:rPr>
                <w:rFonts w:ascii="바탕" w:hAnsi="바탕" w:eastAsia="바탕"/>
                <w:b w:val="0"/>
                <w:i w:val="0"/>
                <w:sz w:val="18"/>
              </w:rPr>
              <w:t>t</w:t>
            </w:r>
          </w:p>
        </w:tc>
        <w:tc>
          <w:tcPr>
            <w:tcW w:type="dxa" w:w="850"/>
          </w:tcPr>
          <w:p>
            <w:pPr>
              <w:spacing w:after="20" w:before="20" w:line="264" w:lineRule="auto"/>
              <w:jc w:val="center"/>
            </w:pPr>
            <w:r/>
            <w:r>
              <w:rPr>
                <w:rFonts w:ascii="바탕" w:hAnsi="바탕" w:eastAsia="바탕"/>
                <w:b w:val="0"/>
                <w:i w:val="0"/>
                <w:sz w:val="18"/>
              </w:rPr>
              <w:t>0.802</w:t>
            </w:r>
          </w:p>
        </w:tc>
      </w:tr>
      <w:tr>
        <w:tc>
          <w:tcPr>
            <w:tcW w:type="dxa" w:w="2721"/>
          </w:tcPr>
          <w:p>
            <w:pPr>
              <w:spacing w:after="20" w:before="20" w:line="264" w:lineRule="auto"/>
              <w:jc w:val="left"/>
            </w:pPr>
            <w:r/>
            <w:r>
              <w:rPr>
                <w:rFonts w:ascii="바탕" w:hAnsi="바탕" w:eastAsia="바탕"/>
                <w:b w:val="0"/>
                <w:i w:val="0"/>
                <w:sz w:val="18"/>
              </w:rPr>
              <w:t>Pain (VAS)</w:t>
            </w:r>
          </w:p>
        </w:tc>
        <w:tc>
          <w:tcPr>
            <w:tcW w:type="dxa" w:w="2268"/>
          </w:tcPr>
          <w:p>
            <w:pPr>
              <w:spacing w:after="20" w:before="20" w:line="264" w:lineRule="auto"/>
              <w:jc w:val="center"/>
            </w:pPr>
            <w:r/>
            <w:r>
              <w:rPr>
                <w:rFonts w:ascii="바탕" w:hAnsi="바탕" w:eastAsia="바탕"/>
                <w:b w:val="0"/>
                <w:i w:val="0"/>
                <w:sz w:val="18"/>
              </w:rPr>
              <w:t>1.60±1.14</w:t>
            </w:r>
          </w:p>
        </w:tc>
        <w:tc>
          <w:tcPr>
            <w:tcW w:type="dxa" w:w="2268"/>
          </w:tcPr>
          <w:p>
            <w:pPr>
              <w:spacing w:after="20" w:before="20" w:line="264" w:lineRule="auto"/>
              <w:jc w:val="center"/>
            </w:pPr>
            <w:r/>
            <w:r>
              <w:rPr>
                <w:rFonts w:ascii="바탕" w:hAnsi="바탕" w:eastAsia="바탕"/>
                <w:b w:val="0"/>
                <w:i w:val="0"/>
                <w:sz w:val="18"/>
              </w:rPr>
              <w:t>1.75±1.41</w:t>
            </w:r>
          </w:p>
        </w:tc>
        <w:tc>
          <w:tcPr>
            <w:tcW w:type="dxa" w:w="964"/>
          </w:tcPr>
          <w:p>
            <w:pPr>
              <w:spacing w:after="20" w:before="20" w:line="264" w:lineRule="auto"/>
              <w:jc w:val="center"/>
            </w:pPr>
            <w:r/>
            <w:r>
              <w:rPr>
                <w:rFonts w:ascii="바탕" w:hAnsi="바탕" w:eastAsia="바탕"/>
                <w:b w:val="0"/>
                <w:i w:val="0"/>
                <w:sz w:val="18"/>
              </w:rPr>
              <w:t>Z</w:t>
            </w:r>
          </w:p>
        </w:tc>
        <w:tc>
          <w:tcPr>
            <w:tcW w:type="dxa" w:w="850"/>
          </w:tcPr>
          <w:p>
            <w:pPr>
              <w:spacing w:after="20" w:before="20" w:line="264" w:lineRule="auto"/>
              <w:jc w:val="center"/>
            </w:pPr>
            <w:r/>
            <w:r>
              <w:rPr>
                <w:rFonts w:ascii="바탕" w:hAnsi="바탕" w:eastAsia="바탕"/>
                <w:b w:val="0"/>
                <w:i w:val="0"/>
                <w:sz w:val="18"/>
              </w:rPr>
              <w:t>0.822</w:t>
            </w:r>
          </w:p>
        </w:tc>
      </w:tr>
      <w:tr>
        <w:tc>
          <w:tcPr>
            <w:tcW w:type="dxa" w:w="2721"/>
            <w:tcBorders>
              <w:bottom w:val="single" w:sz="8" w:color="000000"/>
            </w:tcBorders>
          </w:tcPr>
          <w:p>
            <w:pPr>
              <w:spacing w:after="20" w:before="20" w:line="264" w:lineRule="auto"/>
              <w:jc w:val="left"/>
            </w:pPr>
            <w:r/>
            <w:r>
              <w:rPr>
                <w:rFonts w:ascii="바탕" w:hAnsi="바탕" w:eastAsia="바탕"/>
                <w:b w:val="0"/>
                <w:i w:val="0"/>
                <w:sz w:val="18"/>
              </w:rPr>
              <w:t>Smartphone use (h/day)</w:t>
            </w:r>
          </w:p>
        </w:tc>
        <w:tc>
          <w:tcPr>
            <w:tcW w:type="dxa" w:w="2268"/>
            <w:tcBorders>
              <w:bottom w:val="single" w:sz="8" w:color="000000"/>
            </w:tcBorders>
          </w:tcPr>
          <w:p>
            <w:pPr>
              <w:spacing w:after="20" w:before="20" w:line="264" w:lineRule="auto"/>
              <w:jc w:val="center"/>
            </w:pPr>
            <w:r/>
            <w:r>
              <w:rPr>
                <w:rFonts w:ascii="바탕" w:hAnsi="바탕" w:eastAsia="바탕"/>
                <w:b w:val="0"/>
                <w:i w:val="0"/>
                <w:sz w:val="18"/>
              </w:rPr>
              <w:t>4.97±2.24</w:t>
            </w:r>
          </w:p>
        </w:tc>
        <w:tc>
          <w:tcPr>
            <w:tcW w:type="dxa" w:w="2268"/>
            <w:tcBorders>
              <w:bottom w:val="single" w:sz="8" w:color="000000"/>
            </w:tcBorders>
          </w:tcPr>
          <w:p>
            <w:pPr>
              <w:spacing w:after="20" w:before="20" w:line="264" w:lineRule="auto"/>
              <w:jc w:val="center"/>
            </w:pPr>
            <w:r/>
            <w:r>
              <w:rPr>
                <w:rFonts w:ascii="바탕" w:hAnsi="바탕" w:eastAsia="바탕"/>
                <w:b w:val="0"/>
                <w:i w:val="0"/>
                <w:sz w:val="18"/>
              </w:rPr>
              <w:t>4.75±1.43</w:t>
            </w:r>
          </w:p>
        </w:tc>
        <w:tc>
          <w:tcPr>
            <w:tcW w:type="dxa" w:w="964"/>
            <w:tcBorders>
              <w:bottom w:val="single" w:sz="8" w:color="000000"/>
            </w:tcBorders>
          </w:tcPr>
          <w:p>
            <w:pPr>
              <w:spacing w:after="20" w:before="20" w:line="264" w:lineRule="auto"/>
              <w:jc w:val="center"/>
            </w:pPr>
            <w:r/>
            <w:r>
              <w:rPr>
                <w:rFonts w:ascii="바탕" w:hAnsi="바탕" w:eastAsia="바탕"/>
                <w:b w:val="0"/>
                <w:i w:val="0"/>
                <w:sz w:val="18"/>
              </w:rPr>
              <w:t>Z</w:t>
            </w:r>
          </w:p>
        </w:tc>
        <w:tc>
          <w:tcPr>
            <w:tcW w:type="dxa" w:w="850"/>
            <w:tcBorders>
              <w:bottom w:val="single" w:sz="8" w:color="000000"/>
            </w:tcBorders>
          </w:tcPr>
          <w:p>
            <w:pPr>
              <w:spacing w:after="20" w:before="20" w:line="264" w:lineRule="auto"/>
              <w:jc w:val="center"/>
            </w:pPr>
            <w:r/>
            <w:r>
              <w:rPr>
                <w:rFonts w:ascii="바탕" w:hAnsi="바탕" w:eastAsia="바탕"/>
                <w:b w:val="0"/>
                <w:i w:val="0"/>
                <w:sz w:val="18"/>
              </w:rPr>
              <w:t>0.792</w:t>
            </w:r>
          </w:p>
        </w:tc>
      </w:tr>
    </w:tbl>
    <w:p>
      <w:pPr>
        <w:spacing w:before="20" w:after="60" w:line="264" w:lineRule="auto"/>
      </w:pPr>
      <w:r>
        <w:rPr>
          <w:rFonts w:ascii="바탕" w:hAnsi="바탕" w:eastAsia="바탕"/>
          <w:b w:val="0"/>
          <w:i w:val="0"/>
          <w:sz w:val="17"/>
        </w:rPr>
        <w:t>Values are presented as mean ± SD or frequency. t: independent t-test, Z: Mann–Whitney U test, χ²: chi-square test. EG: experimental group; CG: control group.</w:t>
      </w:r>
    </w:p>
    <w:p>
      <w:pPr>
        <w:spacing w:before="180" w:after="80" w:line="312" w:lineRule="auto"/>
      </w:pPr>
      <w:r>
        <w:rPr>
          <w:rFonts w:ascii="맑은 고딕" w:hAnsi="맑은 고딕" w:eastAsia="맑은 고딕"/>
          <w:b/>
          <w:i w:val="0"/>
          <w:sz w:val="22"/>
        </w:rPr>
        <w:t>2. CVA 및 CROM의 군내 변화</w:t>
      </w:r>
    </w:p>
    <w:p>
      <w:pPr>
        <w:spacing w:before="0" w:after="120" w:line="384" w:lineRule="auto"/>
        <w:ind w:firstLine="567"/>
      </w:pPr>
      <w:r>
        <w:rPr>
          <w:rFonts w:ascii="바탕" w:hAnsi="바탕" w:eastAsia="바탕"/>
          <w:b w:val="0"/>
          <w:i w:val="0"/>
          <w:sz w:val="20"/>
        </w:rPr>
        <w:t>CVA 및 CROM의 군내 사전-사후 변화는 Table 4와 같다. CVA는 실험군에서 44.98±4.16°에서 58.30±5.85°로(Δ=+13.32°, p&lt;.001), 대조군에서 46.49±2.98°에서 57.26±7.32°로(Δ=+10.77°, p&lt;.001) 두 군 모두 중재 후 유의하게 증가하였다. CROM의 경우 실험군에서는 신전, 측방굴곡(우), 측방굴곡(좌), 회전(우), 회전(좌)에서 유의한 개선이 나타났으며, 대조군에서는 신전, 회전(우), 회전(좌)에서 유의한 개선이 관찰되었다. CVA의 개인별 변화 궤적은 Figure 2에, 경추 6방향 가동범위의 사전·사후 변화는 Figure 3에 제시하였다.</w:t>
      </w:r>
    </w:p>
    <w:p>
      <w:pPr>
        <w:spacing w:before="200" w:after="60"/>
      </w:pPr>
      <w:r>
        <w:rPr>
          <w:rFonts w:ascii="맑은 고딕" w:hAnsi="맑은 고딕" w:eastAsia="맑은 고딕"/>
          <w:b/>
          <w:i w:val="0"/>
          <w:sz w:val="20"/>
        </w:rPr>
        <w:t xml:space="preserve">Table 4. </w:t>
      </w:r>
      <w:r>
        <w:rPr>
          <w:rFonts w:ascii="맑은 고딕" w:hAnsi="맑은 고딕" w:eastAsia="맑은 고딕"/>
          <w:b w:val="0"/>
          <w:i w:val="0"/>
          <w:sz w:val="20"/>
        </w:rPr>
        <w:t>Pre/post values and within-group change (unit: °)</w:t>
      </w:r>
    </w:p>
    <w:tbl>
      <w:tblPr>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531"/>
            <w:tcBorders>
              <w:top w:val="single" w:sz="8" w:color="000000"/>
              <w:bottom w:val="single" w:sz="8" w:color="000000"/>
            </w:tcBorders>
          </w:tcPr>
          <w:p>
            <w:pPr>
              <w:spacing w:after="20" w:before="20" w:line="264" w:lineRule="auto"/>
              <w:jc w:val="center"/>
            </w:pPr>
            <w:r/>
            <w:r>
              <w:rPr>
                <w:rFonts w:ascii="바탕" w:hAnsi="바탕" w:eastAsia="바탕"/>
                <w:b/>
                <w:i w:val="0"/>
                <w:sz w:val="18"/>
              </w:rPr>
              <w:t>Outcome</w:t>
            </w:r>
          </w:p>
        </w:tc>
        <w:tc>
          <w:tcPr>
            <w:tcW w:type="dxa" w:w="794"/>
            <w:tcBorders>
              <w:top w:val="single" w:sz="8" w:color="000000"/>
              <w:bottom w:val="single" w:sz="8" w:color="000000"/>
            </w:tcBorders>
          </w:tcPr>
          <w:p>
            <w:pPr>
              <w:spacing w:after="20" w:before="20" w:line="264" w:lineRule="auto"/>
              <w:jc w:val="center"/>
            </w:pPr>
            <w:r/>
            <w:r>
              <w:rPr>
                <w:rFonts w:ascii="바탕" w:hAnsi="바탕" w:eastAsia="바탕"/>
                <w:b/>
                <w:i w:val="0"/>
                <w:sz w:val="18"/>
              </w:rPr>
              <w:t>Group</w:t>
            </w:r>
          </w:p>
        </w:tc>
        <w:tc>
          <w:tcPr>
            <w:tcW w:type="dxa" w:w="1587"/>
            <w:tcBorders>
              <w:top w:val="single" w:sz="8" w:color="000000"/>
              <w:bottom w:val="single" w:sz="8" w:color="000000"/>
            </w:tcBorders>
          </w:tcPr>
          <w:p>
            <w:pPr>
              <w:spacing w:after="20" w:before="20" w:line="264" w:lineRule="auto"/>
              <w:jc w:val="center"/>
            </w:pPr>
            <w:r/>
            <w:r>
              <w:rPr>
                <w:rFonts w:ascii="바탕" w:hAnsi="바탕" w:eastAsia="바탕"/>
                <w:b/>
                <w:i w:val="0"/>
                <w:sz w:val="18"/>
              </w:rPr>
              <w:t>Pre (M±SD)</w:t>
            </w:r>
          </w:p>
        </w:tc>
        <w:tc>
          <w:tcPr>
            <w:tcW w:type="dxa" w:w="1587"/>
            <w:tcBorders>
              <w:top w:val="single" w:sz="8" w:color="000000"/>
              <w:bottom w:val="single" w:sz="8" w:color="000000"/>
            </w:tcBorders>
          </w:tcPr>
          <w:p>
            <w:pPr>
              <w:spacing w:after="20" w:before="20" w:line="264" w:lineRule="auto"/>
              <w:jc w:val="center"/>
            </w:pPr>
            <w:r/>
            <w:r>
              <w:rPr>
                <w:rFonts w:ascii="바탕" w:hAnsi="바탕" w:eastAsia="바탕"/>
                <w:b/>
                <w:i w:val="0"/>
                <w:sz w:val="18"/>
              </w:rPr>
              <w:t>Post (M±SD)</w:t>
            </w:r>
          </w:p>
        </w:tc>
        <w:tc>
          <w:tcPr>
            <w:tcW w:type="dxa" w:w="850"/>
            <w:tcBorders>
              <w:top w:val="single" w:sz="8" w:color="000000"/>
              <w:bottom w:val="single" w:sz="8" w:color="000000"/>
            </w:tcBorders>
          </w:tcPr>
          <w:p>
            <w:pPr>
              <w:spacing w:after="20" w:before="20" w:line="264" w:lineRule="auto"/>
              <w:jc w:val="center"/>
            </w:pPr>
            <w:r/>
            <w:r>
              <w:rPr>
                <w:rFonts w:ascii="바탕" w:hAnsi="바탕" w:eastAsia="바탕"/>
                <w:b/>
                <w:i w:val="0"/>
                <w:sz w:val="18"/>
              </w:rPr>
              <w:t>Δ</w:t>
            </w:r>
          </w:p>
        </w:tc>
        <w:tc>
          <w:tcPr>
            <w:tcW w:type="dxa" w:w="1531"/>
            <w:tcBorders>
              <w:top w:val="single" w:sz="8" w:color="000000"/>
              <w:bottom w:val="single" w:sz="8" w:color="000000"/>
            </w:tcBorders>
          </w:tcPr>
          <w:p>
            <w:pPr>
              <w:spacing w:after="20" w:before="20" w:line="264" w:lineRule="auto"/>
              <w:jc w:val="center"/>
            </w:pPr>
            <w:r/>
            <w:r>
              <w:rPr>
                <w:rFonts w:ascii="바탕" w:hAnsi="바탕" w:eastAsia="바탕"/>
                <w:b/>
                <w:i w:val="0"/>
                <w:sz w:val="18"/>
              </w:rPr>
              <w:t>95% CI</w:t>
            </w:r>
          </w:p>
        </w:tc>
        <w:tc>
          <w:tcPr>
            <w:tcW w:type="dxa" w:w="907"/>
            <w:tcBorders>
              <w:top w:val="single" w:sz="8" w:color="000000"/>
              <w:bottom w:val="single" w:sz="8" w:color="000000"/>
            </w:tcBorders>
          </w:tcPr>
          <w:p>
            <w:pPr>
              <w:spacing w:after="20" w:before="20" w:line="264" w:lineRule="auto"/>
              <w:jc w:val="center"/>
            </w:pPr>
            <w:r/>
            <w:r>
              <w:rPr>
                <w:rFonts w:ascii="바탕" w:hAnsi="바탕" w:eastAsia="바탕"/>
                <w:b/>
                <w:i w:val="0"/>
                <w:sz w:val="18"/>
              </w:rPr>
              <w:t>p</w:t>
            </w:r>
          </w:p>
        </w:tc>
      </w:tr>
      <w:tr>
        <w:tc>
          <w:tcPr>
            <w:tcW w:type="dxa" w:w="1531"/>
          </w:tcPr>
          <w:p>
            <w:pPr>
              <w:spacing w:after="20" w:before="20" w:line="264" w:lineRule="auto"/>
              <w:jc w:val="center"/>
            </w:pPr>
            <w:r/>
            <w:r>
              <w:rPr>
                <w:rFonts w:ascii="바탕" w:hAnsi="바탕" w:eastAsia="바탕"/>
                <w:b w:val="0"/>
                <w:i w:val="0"/>
                <w:sz w:val="18"/>
              </w:rPr>
              <w:t>CVA</w:t>
            </w:r>
          </w:p>
        </w:tc>
        <w:tc>
          <w:tcPr>
            <w:tcW w:type="dxa" w:w="794"/>
          </w:tcPr>
          <w:p>
            <w:pPr>
              <w:spacing w:after="20" w:before="20" w:line="264" w:lineRule="auto"/>
              <w:jc w:val="center"/>
            </w:pPr>
            <w:r/>
            <w:r>
              <w:rPr>
                <w:rFonts w:ascii="바탕" w:hAnsi="바탕" w:eastAsia="바탕"/>
                <w:b w:val="0"/>
                <w:i w:val="0"/>
                <w:sz w:val="18"/>
              </w:rPr>
              <w:t>EG</w:t>
            </w:r>
          </w:p>
        </w:tc>
        <w:tc>
          <w:tcPr>
            <w:tcW w:type="dxa" w:w="1587"/>
          </w:tcPr>
          <w:p>
            <w:pPr>
              <w:spacing w:after="20" w:before="20" w:line="264" w:lineRule="auto"/>
              <w:jc w:val="center"/>
            </w:pPr>
            <w:r/>
            <w:r>
              <w:rPr>
                <w:rFonts w:ascii="바탕" w:hAnsi="바탕" w:eastAsia="바탕"/>
                <w:b w:val="0"/>
                <w:i w:val="0"/>
                <w:sz w:val="18"/>
              </w:rPr>
              <w:t>44.98±4.16</w:t>
            </w:r>
          </w:p>
        </w:tc>
        <w:tc>
          <w:tcPr>
            <w:tcW w:type="dxa" w:w="1587"/>
          </w:tcPr>
          <w:p>
            <w:pPr>
              <w:spacing w:after="20" w:before="20" w:line="264" w:lineRule="auto"/>
              <w:jc w:val="center"/>
            </w:pPr>
            <w:r/>
            <w:r>
              <w:rPr>
                <w:rFonts w:ascii="바탕" w:hAnsi="바탕" w:eastAsia="바탕"/>
                <w:b w:val="0"/>
                <w:i w:val="0"/>
                <w:sz w:val="18"/>
              </w:rPr>
              <w:t>58.30±5.85</w:t>
            </w:r>
          </w:p>
        </w:tc>
        <w:tc>
          <w:tcPr>
            <w:tcW w:type="dxa" w:w="850"/>
          </w:tcPr>
          <w:p>
            <w:pPr>
              <w:spacing w:after="20" w:before="20" w:line="264" w:lineRule="auto"/>
              <w:jc w:val="center"/>
            </w:pPr>
            <w:r/>
            <w:r>
              <w:rPr>
                <w:rFonts w:ascii="바탕" w:hAnsi="바탕" w:eastAsia="바탕"/>
                <w:b w:val="0"/>
                <w:i w:val="0"/>
                <w:sz w:val="18"/>
              </w:rPr>
              <w:t>+13.32</w:t>
            </w:r>
          </w:p>
        </w:tc>
        <w:tc>
          <w:tcPr>
            <w:tcW w:type="dxa" w:w="1531"/>
          </w:tcPr>
          <w:p>
            <w:pPr>
              <w:spacing w:after="20" w:before="20" w:line="264" w:lineRule="auto"/>
              <w:jc w:val="center"/>
            </w:pPr>
            <w:r/>
            <w:r>
              <w:rPr>
                <w:rFonts w:ascii="바탕" w:hAnsi="바탕" w:eastAsia="바탕"/>
                <w:b w:val="0"/>
                <w:i w:val="0"/>
                <w:sz w:val="18"/>
              </w:rPr>
              <w:t>[+9.98, +16.65]</w:t>
            </w:r>
          </w:p>
        </w:tc>
        <w:tc>
          <w:tcPr>
            <w:tcW w:type="dxa" w:w="907"/>
          </w:tcPr>
          <w:p>
            <w:pPr>
              <w:spacing w:after="20" w:before="20" w:line="264" w:lineRule="auto"/>
              <w:jc w:val="center"/>
            </w:pPr>
            <w:r/>
            <w:r>
              <w:rPr>
                <w:rFonts w:ascii="바탕" w:hAnsi="바탕" w:eastAsia="바탕"/>
                <w:b w:val="0"/>
                <w:i w:val="0"/>
                <w:sz w:val="18"/>
              </w:rPr>
              <w:t>&lt;0.001***</w:t>
            </w:r>
          </w:p>
        </w:tc>
      </w:tr>
      <w:tr>
        <w:tc>
          <w:tcPr>
            <w:tcW w:type="dxa" w:w="1531"/>
          </w:tcPr>
          <w:p>
            <w:pPr>
              <w:spacing w:after="20" w:before="20" w:line="264" w:lineRule="auto"/>
              <w:jc w:val="center"/>
            </w:pPr>
            <w:r/>
            <w:r>
              <w:rPr>
                <w:rFonts w:ascii="바탕" w:hAnsi="바탕" w:eastAsia="바탕"/>
                <w:b w:val="0"/>
                <w:i w:val="0"/>
                <w:sz w:val="18"/>
              </w:rPr>
              <w:t>CVA</w:t>
            </w:r>
          </w:p>
        </w:tc>
        <w:tc>
          <w:tcPr>
            <w:tcW w:type="dxa" w:w="794"/>
          </w:tcPr>
          <w:p>
            <w:pPr>
              <w:spacing w:after="20" w:before="20" w:line="264" w:lineRule="auto"/>
              <w:jc w:val="center"/>
            </w:pPr>
            <w:r/>
            <w:r>
              <w:rPr>
                <w:rFonts w:ascii="바탕" w:hAnsi="바탕" w:eastAsia="바탕"/>
                <w:b w:val="0"/>
                <w:i w:val="0"/>
                <w:sz w:val="18"/>
              </w:rPr>
              <w:t>CG</w:t>
            </w:r>
          </w:p>
        </w:tc>
        <w:tc>
          <w:tcPr>
            <w:tcW w:type="dxa" w:w="1587"/>
          </w:tcPr>
          <w:p>
            <w:pPr>
              <w:spacing w:after="20" w:before="20" w:line="264" w:lineRule="auto"/>
              <w:jc w:val="center"/>
            </w:pPr>
            <w:r/>
            <w:r>
              <w:rPr>
                <w:rFonts w:ascii="바탕" w:hAnsi="바탕" w:eastAsia="바탕"/>
                <w:b w:val="0"/>
                <w:i w:val="0"/>
                <w:sz w:val="18"/>
              </w:rPr>
              <w:t>46.49±2.98</w:t>
            </w:r>
          </w:p>
        </w:tc>
        <w:tc>
          <w:tcPr>
            <w:tcW w:type="dxa" w:w="1587"/>
          </w:tcPr>
          <w:p>
            <w:pPr>
              <w:spacing w:after="20" w:before="20" w:line="264" w:lineRule="auto"/>
              <w:jc w:val="center"/>
            </w:pPr>
            <w:r/>
            <w:r>
              <w:rPr>
                <w:rFonts w:ascii="바탕" w:hAnsi="바탕" w:eastAsia="바탕"/>
                <w:b w:val="0"/>
                <w:i w:val="0"/>
                <w:sz w:val="18"/>
              </w:rPr>
              <w:t>57.26±7.32</w:t>
            </w:r>
          </w:p>
        </w:tc>
        <w:tc>
          <w:tcPr>
            <w:tcW w:type="dxa" w:w="850"/>
          </w:tcPr>
          <w:p>
            <w:pPr>
              <w:spacing w:after="20" w:before="20" w:line="264" w:lineRule="auto"/>
              <w:jc w:val="center"/>
            </w:pPr>
            <w:r/>
            <w:r>
              <w:rPr>
                <w:rFonts w:ascii="바탕" w:hAnsi="바탕" w:eastAsia="바탕"/>
                <w:b w:val="0"/>
                <w:i w:val="0"/>
                <w:sz w:val="18"/>
              </w:rPr>
              <w:t>+10.77</w:t>
            </w:r>
          </w:p>
        </w:tc>
        <w:tc>
          <w:tcPr>
            <w:tcW w:type="dxa" w:w="1531"/>
          </w:tcPr>
          <w:p>
            <w:pPr>
              <w:spacing w:after="20" w:before="20" w:line="264" w:lineRule="auto"/>
              <w:jc w:val="center"/>
            </w:pPr>
            <w:r/>
            <w:r>
              <w:rPr>
                <w:rFonts w:ascii="바탕" w:hAnsi="바탕" w:eastAsia="바탕"/>
                <w:b w:val="0"/>
                <w:i w:val="0"/>
                <w:sz w:val="18"/>
              </w:rPr>
              <w:t>[+7.66, +13.87]</w:t>
            </w:r>
          </w:p>
        </w:tc>
        <w:tc>
          <w:tcPr>
            <w:tcW w:type="dxa" w:w="907"/>
          </w:tcPr>
          <w:p>
            <w:pPr>
              <w:spacing w:after="20" w:before="20" w:line="264" w:lineRule="auto"/>
              <w:jc w:val="center"/>
            </w:pPr>
            <w:r/>
            <w:r>
              <w:rPr>
                <w:rFonts w:ascii="바탕" w:hAnsi="바탕" w:eastAsia="바탕"/>
                <w:b w:val="0"/>
                <w:i w:val="0"/>
                <w:sz w:val="18"/>
              </w:rPr>
              <w:t>&lt;0.001***</w:t>
            </w:r>
          </w:p>
        </w:tc>
      </w:tr>
      <w:tr>
        <w:tc>
          <w:tcPr>
            <w:tcW w:type="dxa" w:w="1531"/>
          </w:tcPr>
          <w:p>
            <w:pPr>
              <w:spacing w:after="20" w:before="20" w:line="264" w:lineRule="auto"/>
              <w:jc w:val="left"/>
            </w:pPr>
            <w:r/>
            <w:r>
              <w:rPr>
                <w:rFonts w:ascii="바탕" w:hAnsi="바탕" w:eastAsia="바탕"/>
                <w:b w:val="0"/>
                <w:i w:val="0"/>
                <w:sz w:val="18"/>
              </w:rPr>
              <w:t>Flexion</w:t>
            </w:r>
          </w:p>
        </w:tc>
        <w:tc>
          <w:tcPr>
            <w:tcW w:type="dxa" w:w="794"/>
          </w:tcPr>
          <w:p>
            <w:pPr>
              <w:spacing w:after="20" w:before="20" w:line="264" w:lineRule="auto"/>
              <w:jc w:val="center"/>
            </w:pPr>
            <w:r/>
            <w:r>
              <w:rPr>
                <w:rFonts w:ascii="바탕" w:hAnsi="바탕" w:eastAsia="바탕"/>
                <w:b w:val="0"/>
                <w:i w:val="0"/>
                <w:sz w:val="18"/>
              </w:rPr>
              <w:t>EG</w:t>
            </w:r>
          </w:p>
        </w:tc>
        <w:tc>
          <w:tcPr>
            <w:tcW w:type="dxa" w:w="1587"/>
          </w:tcPr>
          <w:p>
            <w:pPr>
              <w:spacing w:after="20" w:before="20" w:line="264" w:lineRule="auto"/>
              <w:jc w:val="center"/>
            </w:pPr>
            <w:r/>
            <w:r>
              <w:rPr>
                <w:rFonts w:ascii="바탕" w:hAnsi="바탕" w:eastAsia="바탕"/>
                <w:b w:val="0"/>
                <w:i w:val="0"/>
                <w:sz w:val="18"/>
              </w:rPr>
              <w:t>32.95±10.86</w:t>
            </w:r>
          </w:p>
        </w:tc>
        <w:tc>
          <w:tcPr>
            <w:tcW w:type="dxa" w:w="1587"/>
          </w:tcPr>
          <w:p>
            <w:pPr>
              <w:spacing w:after="20" w:before="20" w:line="264" w:lineRule="auto"/>
              <w:jc w:val="center"/>
            </w:pPr>
            <w:r/>
            <w:r>
              <w:rPr>
                <w:rFonts w:ascii="바탕" w:hAnsi="바탕" w:eastAsia="바탕"/>
                <w:b w:val="0"/>
                <w:i w:val="0"/>
                <w:sz w:val="18"/>
              </w:rPr>
              <w:t>35.97±10.28</w:t>
            </w:r>
          </w:p>
        </w:tc>
        <w:tc>
          <w:tcPr>
            <w:tcW w:type="dxa" w:w="850"/>
          </w:tcPr>
          <w:p>
            <w:pPr>
              <w:spacing w:after="20" w:before="20" w:line="264" w:lineRule="auto"/>
              <w:jc w:val="center"/>
            </w:pPr>
            <w:r/>
            <w:r>
              <w:rPr>
                <w:rFonts w:ascii="바탕" w:hAnsi="바탕" w:eastAsia="바탕"/>
                <w:b w:val="0"/>
                <w:i w:val="0"/>
                <w:sz w:val="18"/>
              </w:rPr>
              <w:t>+3.02</w:t>
            </w:r>
          </w:p>
        </w:tc>
        <w:tc>
          <w:tcPr>
            <w:tcW w:type="dxa" w:w="1531"/>
          </w:tcPr>
          <w:p>
            <w:pPr>
              <w:spacing w:after="20" w:before="20" w:line="264" w:lineRule="auto"/>
              <w:jc w:val="center"/>
            </w:pPr>
            <w:r/>
            <w:r>
              <w:rPr>
                <w:rFonts w:ascii="바탕" w:hAnsi="바탕" w:eastAsia="바탕"/>
                <w:b w:val="0"/>
                <w:i w:val="0"/>
                <w:sz w:val="18"/>
              </w:rPr>
              <w:t>[-2.25, +8.30]</w:t>
            </w:r>
          </w:p>
        </w:tc>
        <w:tc>
          <w:tcPr>
            <w:tcW w:type="dxa" w:w="907"/>
          </w:tcPr>
          <w:p>
            <w:pPr>
              <w:spacing w:after="20" w:before="20" w:line="264" w:lineRule="auto"/>
              <w:jc w:val="center"/>
            </w:pPr>
            <w:r/>
            <w:r>
              <w:rPr>
                <w:rFonts w:ascii="바탕" w:hAnsi="바탕" w:eastAsia="바탕"/>
                <w:b w:val="0"/>
                <w:i w:val="0"/>
                <w:sz w:val="18"/>
              </w:rPr>
              <w:t>0.242n.s.</w:t>
            </w:r>
          </w:p>
        </w:tc>
      </w:tr>
      <w:tr>
        <w:tc>
          <w:tcPr>
            <w:tcW w:type="dxa" w:w="1531"/>
          </w:tcPr>
          <w:p>
            <w:pPr>
              <w:spacing w:after="20" w:before="20" w:line="264" w:lineRule="auto"/>
              <w:jc w:val="left"/>
            </w:pPr>
            <w:r/>
            <w:r>
              <w:rPr>
                <w:rFonts w:ascii="바탕" w:hAnsi="바탕" w:eastAsia="바탕"/>
                <w:b w:val="0"/>
                <w:i w:val="0"/>
                <w:sz w:val="18"/>
              </w:rPr>
              <w:t>Flexion</w:t>
            </w:r>
          </w:p>
        </w:tc>
        <w:tc>
          <w:tcPr>
            <w:tcW w:type="dxa" w:w="794"/>
          </w:tcPr>
          <w:p>
            <w:pPr>
              <w:spacing w:after="20" w:before="20" w:line="264" w:lineRule="auto"/>
              <w:jc w:val="center"/>
            </w:pPr>
            <w:r/>
            <w:r>
              <w:rPr>
                <w:rFonts w:ascii="바탕" w:hAnsi="바탕" w:eastAsia="바탕"/>
                <w:b w:val="0"/>
                <w:i w:val="0"/>
                <w:sz w:val="18"/>
              </w:rPr>
              <w:t>CG</w:t>
            </w:r>
          </w:p>
        </w:tc>
        <w:tc>
          <w:tcPr>
            <w:tcW w:type="dxa" w:w="1587"/>
          </w:tcPr>
          <w:p>
            <w:pPr>
              <w:spacing w:after="20" w:before="20" w:line="264" w:lineRule="auto"/>
              <w:jc w:val="center"/>
            </w:pPr>
            <w:r/>
            <w:r>
              <w:rPr>
                <w:rFonts w:ascii="바탕" w:hAnsi="바탕" w:eastAsia="바탕"/>
                <w:b w:val="0"/>
                <w:i w:val="0"/>
                <w:sz w:val="18"/>
              </w:rPr>
              <w:t>35.11±8.36</w:t>
            </w:r>
          </w:p>
        </w:tc>
        <w:tc>
          <w:tcPr>
            <w:tcW w:type="dxa" w:w="1587"/>
          </w:tcPr>
          <w:p>
            <w:pPr>
              <w:spacing w:after="20" w:before="20" w:line="264" w:lineRule="auto"/>
              <w:jc w:val="center"/>
            </w:pPr>
            <w:r/>
            <w:r>
              <w:rPr>
                <w:rFonts w:ascii="바탕" w:hAnsi="바탕" w:eastAsia="바탕"/>
                <w:b w:val="0"/>
                <w:i w:val="0"/>
                <w:sz w:val="18"/>
              </w:rPr>
              <w:t>39.82±12.93</w:t>
            </w:r>
          </w:p>
        </w:tc>
        <w:tc>
          <w:tcPr>
            <w:tcW w:type="dxa" w:w="850"/>
          </w:tcPr>
          <w:p>
            <w:pPr>
              <w:spacing w:after="20" w:before="20" w:line="264" w:lineRule="auto"/>
              <w:jc w:val="center"/>
            </w:pPr>
            <w:r/>
            <w:r>
              <w:rPr>
                <w:rFonts w:ascii="바탕" w:hAnsi="바탕" w:eastAsia="바탕"/>
                <w:b w:val="0"/>
                <w:i w:val="0"/>
                <w:sz w:val="18"/>
              </w:rPr>
              <w:t>+4.71</w:t>
            </w:r>
          </w:p>
        </w:tc>
        <w:tc>
          <w:tcPr>
            <w:tcW w:type="dxa" w:w="1531"/>
          </w:tcPr>
          <w:p>
            <w:pPr>
              <w:spacing w:after="20" w:before="20" w:line="264" w:lineRule="auto"/>
              <w:jc w:val="center"/>
            </w:pPr>
            <w:r/>
            <w:r>
              <w:rPr>
                <w:rFonts w:ascii="바탕" w:hAnsi="바탕" w:eastAsia="바탕"/>
                <w:b w:val="0"/>
                <w:i w:val="0"/>
                <w:sz w:val="18"/>
              </w:rPr>
              <w:t>[-3.14, +12.56]</w:t>
            </w:r>
          </w:p>
        </w:tc>
        <w:tc>
          <w:tcPr>
            <w:tcW w:type="dxa" w:w="907"/>
          </w:tcPr>
          <w:p>
            <w:pPr>
              <w:spacing w:after="20" w:before="20" w:line="264" w:lineRule="auto"/>
              <w:jc w:val="center"/>
            </w:pPr>
            <w:r/>
            <w:r>
              <w:rPr>
                <w:rFonts w:ascii="바탕" w:hAnsi="바탕" w:eastAsia="바탕"/>
                <w:b w:val="0"/>
                <w:i w:val="0"/>
                <w:sz w:val="18"/>
              </w:rPr>
              <w:t>0.221n.s.</w:t>
            </w:r>
          </w:p>
        </w:tc>
      </w:tr>
      <w:tr>
        <w:tc>
          <w:tcPr>
            <w:tcW w:type="dxa" w:w="1531"/>
          </w:tcPr>
          <w:p>
            <w:pPr>
              <w:spacing w:after="20" w:before="20" w:line="264" w:lineRule="auto"/>
              <w:jc w:val="left"/>
            </w:pPr>
            <w:r/>
            <w:r>
              <w:rPr>
                <w:rFonts w:ascii="바탕" w:hAnsi="바탕" w:eastAsia="바탕"/>
                <w:b w:val="0"/>
                <w:i w:val="0"/>
                <w:sz w:val="18"/>
              </w:rPr>
              <w:t>Extension</w:t>
            </w:r>
          </w:p>
        </w:tc>
        <w:tc>
          <w:tcPr>
            <w:tcW w:type="dxa" w:w="794"/>
          </w:tcPr>
          <w:p>
            <w:pPr>
              <w:spacing w:after="20" w:before="20" w:line="264" w:lineRule="auto"/>
              <w:jc w:val="center"/>
            </w:pPr>
            <w:r/>
            <w:r>
              <w:rPr>
                <w:rFonts w:ascii="바탕" w:hAnsi="바탕" w:eastAsia="바탕"/>
                <w:b w:val="0"/>
                <w:i w:val="0"/>
                <w:sz w:val="18"/>
              </w:rPr>
              <w:t>EG</w:t>
            </w:r>
          </w:p>
        </w:tc>
        <w:tc>
          <w:tcPr>
            <w:tcW w:type="dxa" w:w="1587"/>
          </w:tcPr>
          <w:p>
            <w:pPr>
              <w:spacing w:after="20" w:before="20" w:line="264" w:lineRule="auto"/>
              <w:jc w:val="center"/>
            </w:pPr>
            <w:r/>
            <w:r>
              <w:rPr>
                <w:rFonts w:ascii="바탕" w:hAnsi="바탕" w:eastAsia="바탕"/>
                <w:b w:val="0"/>
                <w:i w:val="0"/>
                <w:sz w:val="18"/>
              </w:rPr>
              <w:t>40.75±13.61</w:t>
            </w:r>
          </w:p>
        </w:tc>
        <w:tc>
          <w:tcPr>
            <w:tcW w:type="dxa" w:w="1587"/>
          </w:tcPr>
          <w:p>
            <w:pPr>
              <w:spacing w:after="20" w:before="20" w:line="264" w:lineRule="auto"/>
              <w:jc w:val="center"/>
            </w:pPr>
            <w:r/>
            <w:r>
              <w:rPr>
                <w:rFonts w:ascii="바탕" w:hAnsi="바탕" w:eastAsia="바탕"/>
                <w:b w:val="0"/>
                <w:i w:val="0"/>
                <w:sz w:val="18"/>
              </w:rPr>
              <w:t>52.15±10.96</w:t>
            </w:r>
          </w:p>
        </w:tc>
        <w:tc>
          <w:tcPr>
            <w:tcW w:type="dxa" w:w="850"/>
          </w:tcPr>
          <w:p>
            <w:pPr>
              <w:spacing w:after="20" w:before="20" w:line="264" w:lineRule="auto"/>
              <w:jc w:val="center"/>
            </w:pPr>
            <w:r/>
            <w:r>
              <w:rPr>
                <w:rFonts w:ascii="바탕" w:hAnsi="바탕" w:eastAsia="바탕"/>
                <w:b w:val="0"/>
                <w:i w:val="0"/>
                <w:sz w:val="18"/>
              </w:rPr>
              <w:t>+11.40</w:t>
            </w:r>
          </w:p>
        </w:tc>
        <w:tc>
          <w:tcPr>
            <w:tcW w:type="dxa" w:w="1531"/>
          </w:tcPr>
          <w:p>
            <w:pPr>
              <w:spacing w:after="20" w:before="20" w:line="264" w:lineRule="auto"/>
              <w:jc w:val="center"/>
            </w:pPr>
            <w:r/>
            <w:r>
              <w:rPr>
                <w:rFonts w:ascii="바탕" w:hAnsi="바탕" w:eastAsia="바탕"/>
                <w:b w:val="0"/>
                <w:i w:val="0"/>
                <w:sz w:val="18"/>
              </w:rPr>
              <w:t>[+3.87, +18.93]</w:t>
            </w:r>
          </w:p>
        </w:tc>
        <w:tc>
          <w:tcPr>
            <w:tcW w:type="dxa" w:w="907"/>
          </w:tcPr>
          <w:p>
            <w:pPr>
              <w:spacing w:after="20" w:before="20" w:line="264" w:lineRule="auto"/>
              <w:jc w:val="center"/>
            </w:pPr>
            <w:r/>
            <w:r>
              <w:rPr>
                <w:rFonts w:ascii="바탕" w:hAnsi="바탕" w:eastAsia="바탕"/>
                <w:b w:val="0"/>
                <w:i w:val="0"/>
                <w:sz w:val="18"/>
              </w:rPr>
              <w:t>0.005**</w:t>
            </w:r>
          </w:p>
        </w:tc>
      </w:tr>
      <w:tr>
        <w:tc>
          <w:tcPr>
            <w:tcW w:type="dxa" w:w="1531"/>
          </w:tcPr>
          <w:p>
            <w:pPr>
              <w:spacing w:after="20" w:before="20" w:line="264" w:lineRule="auto"/>
              <w:jc w:val="left"/>
            </w:pPr>
            <w:r/>
            <w:r>
              <w:rPr>
                <w:rFonts w:ascii="바탕" w:hAnsi="바탕" w:eastAsia="바탕"/>
                <w:b w:val="0"/>
                <w:i w:val="0"/>
                <w:sz w:val="18"/>
              </w:rPr>
              <w:t>Extension</w:t>
            </w:r>
          </w:p>
        </w:tc>
        <w:tc>
          <w:tcPr>
            <w:tcW w:type="dxa" w:w="794"/>
          </w:tcPr>
          <w:p>
            <w:pPr>
              <w:spacing w:after="20" w:before="20" w:line="264" w:lineRule="auto"/>
              <w:jc w:val="center"/>
            </w:pPr>
            <w:r/>
            <w:r>
              <w:rPr>
                <w:rFonts w:ascii="바탕" w:hAnsi="바탕" w:eastAsia="바탕"/>
                <w:b w:val="0"/>
                <w:i w:val="0"/>
                <w:sz w:val="18"/>
              </w:rPr>
              <w:t>CG</w:t>
            </w:r>
          </w:p>
        </w:tc>
        <w:tc>
          <w:tcPr>
            <w:tcW w:type="dxa" w:w="1587"/>
          </w:tcPr>
          <w:p>
            <w:pPr>
              <w:spacing w:after="20" w:before="20" w:line="264" w:lineRule="auto"/>
              <w:jc w:val="center"/>
            </w:pPr>
            <w:r/>
            <w:r>
              <w:rPr>
                <w:rFonts w:ascii="바탕" w:hAnsi="바탕" w:eastAsia="바탕"/>
                <w:b w:val="0"/>
                <w:i w:val="0"/>
                <w:sz w:val="18"/>
              </w:rPr>
              <w:t>41.71±11.34</w:t>
            </w:r>
          </w:p>
        </w:tc>
        <w:tc>
          <w:tcPr>
            <w:tcW w:type="dxa" w:w="1587"/>
          </w:tcPr>
          <w:p>
            <w:pPr>
              <w:spacing w:after="20" w:before="20" w:line="264" w:lineRule="auto"/>
              <w:jc w:val="center"/>
            </w:pPr>
            <w:r/>
            <w:r>
              <w:rPr>
                <w:rFonts w:ascii="바탕" w:hAnsi="바탕" w:eastAsia="바탕"/>
                <w:b w:val="0"/>
                <w:i w:val="0"/>
                <w:sz w:val="18"/>
              </w:rPr>
              <w:t>49.76±13.08</w:t>
            </w:r>
          </w:p>
        </w:tc>
        <w:tc>
          <w:tcPr>
            <w:tcW w:type="dxa" w:w="850"/>
          </w:tcPr>
          <w:p>
            <w:pPr>
              <w:spacing w:after="20" w:before="20" w:line="264" w:lineRule="auto"/>
              <w:jc w:val="center"/>
            </w:pPr>
            <w:r/>
            <w:r>
              <w:rPr>
                <w:rFonts w:ascii="바탕" w:hAnsi="바탕" w:eastAsia="바탕"/>
                <w:b w:val="0"/>
                <w:i w:val="0"/>
                <w:sz w:val="18"/>
              </w:rPr>
              <w:t>+8.05</w:t>
            </w:r>
          </w:p>
        </w:tc>
        <w:tc>
          <w:tcPr>
            <w:tcW w:type="dxa" w:w="1531"/>
          </w:tcPr>
          <w:p>
            <w:pPr>
              <w:spacing w:after="20" w:before="20" w:line="264" w:lineRule="auto"/>
              <w:jc w:val="center"/>
            </w:pPr>
            <w:r/>
            <w:r>
              <w:rPr>
                <w:rFonts w:ascii="바탕" w:hAnsi="바탕" w:eastAsia="바탕"/>
                <w:b w:val="0"/>
                <w:i w:val="0"/>
                <w:sz w:val="18"/>
              </w:rPr>
              <w:t>[+1.10, +15.00]</w:t>
            </w:r>
          </w:p>
        </w:tc>
        <w:tc>
          <w:tcPr>
            <w:tcW w:type="dxa" w:w="907"/>
          </w:tcPr>
          <w:p>
            <w:pPr>
              <w:spacing w:after="20" w:before="20" w:line="264" w:lineRule="auto"/>
              <w:jc w:val="center"/>
            </w:pPr>
            <w:r/>
            <w:r>
              <w:rPr>
                <w:rFonts w:ascii="바탕" w:hAnsi="바탕" w:eastAsia="바탕"/>
                <w:b w:val="0"/>
                <w:i w:val="0"/>
                <w:sz w:val="18"/>
              </w:rPr>
              <w:t>0.026*</w:t>
            </w:r>
          </w:p>
        </w:tc>
      </w:tr>
      <w:tr>
        <w:tc>
          <w:tcPr>
            <w:tcW w:type="dxa" w:w="1531"/>
          </w:tcPr>
          <w:p>
            <w:pPr>
              <w:spacing w:after="20" w:before="20" w:line="264" w:lineRule="auto"/>
              <w:jc w:val="left"/>
            </w:pPr>
            <w:r/>
            <w:r>
              <w:rPr>
                <w:rFonts w:ascii="바탕" w:hAnsi="바탕" w:eastAsia="바탕"/>
                <w:b w:val="0"/>
                <w:i w:val="0"/>
                <w:sz w:val="18"/>
              </w:rPr>
              <w:t>Lat. flexion (R)</w:t>
            </w:r>
          </w:p>
        </w:tc>
        <w:tc>
          <w:tcPr>
            <w:tcW w:type="dxa" w:w="794"/>
          </w:tcPr>
          <w:p>
            <w:pPr>
              <w:spacing w:after="20" w:before="20" w:line="264" w:lineRule="auto"/>
              <w:jc w:val="center"/>
            </w:pPr>
            <w:r/>
            <w:r>
              <w:rPr>
                <w:rFonts w:ascii="바탕" w:hAnsi="바탕" w:eastAsia="바탕"/>
                <w:b w:val="0"/>
                <w:i w:val="0"/>
                <w:sz w:val="18"/>
              </w:rPr>
              <w:t>EG</w:t>
            </w:r>
          </w:p>
        </w:tc>
        <w:tc>
          <w:tcPr>
            <w:tcW w:type="dxa" w:w="1587"/>
          </w:tcPr>
          <w:p>
            <w:pPr>
              <w:spacing w:after="20" w:before="20" w:line="264" w:lineRule="auto"/>
              <w:jc w:val="center"/>
            </w:pPr>
            <w:r/>
            <w:r>
              <w:rPr>
                <w:rFonts w:ascii="바탕" w:hAnsi="바탕" w:eastAsia="바탕"/>
                <w:b w:val="0"/>
                <w:i w:val="0"/>
                <w:sz w:val="18"/>
              </w:rPr>
              <w:t>32.38±9.55</w:t>
            </w:r>
          </w:p>
        </w:tc>
        <w:tc>
          <w:tcPr>
            <w:tcW w:type="dxa" w:w="1587"/>
          </w:tcPr>
          <w:p>
            <w:pPr>
              <w:spacing w:after="20" w:before="20" w:line="264" w:lineRule="auto"/>
              <w:jc w:val="center"/>
            </w:pPr>
            <w:r/>
            <w:r>
              <w:rPr>
                <w:rFonts w:ascii="바탕" w:hAnsi="바탕" w:eastAsia="바탕"/>
                <w:b w:val="0"/>
                <w:i w:val="0"/>
                <w:sz w:val="18"/>
              </w:rPr>
              <w:t>36.40±9.11</w:t>
            </w:r>
          </w:p>
        </w:tc>
        <w:tc>
          <w:tcPr>
            <w:tcW w:type="dxa" w:w="850"/>
          </w:tcPr>
          <w:p>
            <w:pPr>
              <w:spacing w:after="20" w:before="20" w:line="264" w:lineRule="auto"/>
              <w:jc w:val="center"/>
            </w:pPr>
            <w:r/>
            <w:r>
              <w:rPr>
                <w:rFonts w:ascii="바탕" w:hAnsi="바탕" w:eastAsia="바탕"/>
                <w:b w:val="0"/>
                <w:i w:val="0"/>
                <w:sz w:val="18"/>
              </w:rPr>
              <w:t>+4.02</w:t>
            </w:r>
          </w:p>
        </w:tc>
        <w:tc>
          <w:tcPr>
            <w:tcW w:type="dxa" w:w="1531"/>
          </w:tcPr>
          <w:p>
            <w:pPr>
              <w:spacing w:after="20" w:before="20" w:line="264" w:lineRule="auto"/>
              <w:jc w:val="center"/>
            </w:pPr>
            <w:r/>
            <w:r>
              <w:rPr>
                <w:rFonts w:ascii="바탕" w:hAnsi="바탕" w:eastAsia="바탕"/>
                <w:b w:val="0"/>
                <w:i w:val="0"/>
                <w:sz w:val="18"/>
              </w:rPr>
              <w:t>[+0.45, +7.59]</w:t>
            </w:r>
          </w:p>
        </w:tc>
        <w:tc>
          <w:tcPr>
            <w:tcW w:type="dxa" w:w="907"/>
          </w:tcPr>
          <w:p>
            <w:pPr>
              <w:spacing w:after="20" w:before="20" w:line="264" w:lineRule="auto"/>
              <w:jc w:val="center"/>
            </w:pPr>
            <w:r/>
            <w:r>
              <w:rPr>
                <w:rFonts w:ascii="바탕" w:hAnsi="바탕" w:eastAsia="바탕"/>
                <w:b w:val="0"/>
                <w:i w:val="0"/>
                <w:sz w:val="18"/>
              </w:rPr>
              <w:t>0.030*</w:t>
            </w:r>
          </w:p>
        </w:tc>
      </w:tr>
      <w:tr>
        <w:tc>
          <w:tcPr>
            <w:tcW w:type="dxa" w:w="1531"/>
          </w:tcPr>
          <w:p>
            <w:pPr>
              <w:spacing w:after="20" w:before="20" w:line="264" w:lineRule="auto"/>
              <w:jc w:val="left"/>
            </w:pPr>
            <w:r/>
            <w:r>
              <w:rPr>
                <w:rFonts w:ascii="바탕" w:hAnsi="바탕" w:eastAsia="바탕"/>
                <w:b w:val="0"/>
                <w:i w:val="0"/>
                <w:sz w:val="18"/>
              </w:rPr>
              <w:t>Lat. flexion (R)</w:t>
            </w:r>
          </w:p>
        </w:tc>
        <w:tc>
          <w:tcPr>
            <w:tcW w:type="dxa" w:w="794"/>
          </w:tcPr>
          <w:p>
            <w:pPr>
              <w:spacing w:after="20" w:before="20" w:line="264" w:lineRule="auto"/>
              <w:jc w:val="center"/>
            </w:pPr>
            <w:r/>
            <w:r>
              <w:rPr>
                <w:rFonts w:ascii="바탕" w:hAnsi="바탕" w:eastAsia="바탕"/>
                <w:b w:val="0"/>
                <w:i w:val="0"/>
                <w:sz w:val="18"/>
              </w:rPr>
              <w:t>CG</w:t>
            </w:r>
          </w:p>
        </w:tc>
        <w:tc>
          <w:tcPr>
            <w:tcW w:type="dxa" w:w="1587"/>
          </w:tcPr>
          <w:p>
            <w:pPr>
              <w:spacing w:after="20" w:before="20" w:line="264" w:lineRule="auto"/>
              <w:jc w:val="center"/>
            </w:pPr>
            <w:r/>
            <w:r>
              <w:rPr>
                <w:rFonts w:ascii="바탕" w:hAnsi="바탕" w:eastAsia="바탕"/>
                <w:b w:val="0"/>
                <w:i w:val="0"/>
                <w:sz w:val="18"/>
              </w:rPr>
              <w:t>32.70±6.08</w:t>
            </w:r>
          </w:p>
        </w:tc>
        <w:tc>
          <w:tcPr>
            <w:tcW w:type="dxa" w:w="1587"/>
          </w:tcPr>
          <w:p>
            <w:pPr>
              <w:spacing w:after="20" w:before="20" w:line="264" w:lineRule="auto"/>
              <w:jc w:val="center"/>
            </w:pPr>
            <w:r/>
            <w:r>
              <w:rPr>
                <w:rFonts w:ascii="바탕" w:hAnsi="바탕" w:eastAsia="바탕"/>
                <w:b w:val="0"/>
                <w:i w:val="0"/>
                <w:sz w:val="18"/>
              </w:rPr>
              <w:t>35.88±9.29</w:t>
            </w:r>
          </w:p>
        </w:tc>
        <w:tc>
          <w:tcPr>
            <w:tcW w:type="dxa" w:w="850"/>
          </w:tcPr>
          <w:p>
            <w:pPr>
              <w:spacing w:after="20" w:before="20" w:line="264" w:lineRule="auto"/>
              <w:jc w:val="center"/>
            </w:pPr>
            <w:r/>
            <w:r>
              <w:rPr>
                <w:rFonts w:ascii="바탕" w:hAnsi="바탕" w:eastAsia="바탕"/>
                <w:b w:val="0"/>
                <w:i w:val="0"/>
                <w:sz w:val="18"/>
              </w:rPr>
              <w:t>+3.18</w:t>
            </w:r>
          </w:p>
        </w:tc>
        <w:tc>
          <w:tcPr>
            <w:tcW w:type="dxa" w:w="1531"/>
          </w:tcPr>
          <w:p>
            <w:pPr>
              <w:spacing w:after="20" w:before="20" w:line="264" w:lineRule="auto"/>
              <w:jc w:val="center"/>
            </w:pPr>
            <w:r/>
            <w:r>
              <w:rPr>
                <w:rFonts w:ascii="바탕" w:hAnsi="바탕" w:eastAsia="바탕"/>
                <w:b w:val="0"/>
                <w:i w:val="0"/>
                <w:sz w:val="18"/>
              </w:rPr>
              <w:t>[-0.62, +6.98]</w:t>
            </w:r>
          </w:p>
        </w:tc>
        <w:tc>
          <w:tcPr>
            <w:tcW w:type="dxa" w:w="907"/>
          </w:tcPr>
          <w:p>
            <w:pPr>
              <w:spacing w:after="20" w:before="20" w:line="264" w:lineRule="auto"/>
              <w:jc w:val="center"/>
            </w:pPr>
            <w:r/>
            <w:r>
              <w:rPr>
                <w:rFonts w:ascii="바탕" w:hAnsi="바탕" w:eastAsia="바탕"/>
                <w:b w:val="0"/>
                <w:i w:val="0"/>
                <w:sz w:val="18"/>
              </w:rPr>
              <w:t>0.095n.s.</w:t>
            </w:r>
          </w:p>
        </w:tc>
      </w:tr>
      <w:tr>
        <w:tc>
          <w:tcPr>
            <w:tcW w:type="dxa" w:w="1531"/>
          </w:tcPr>
          <w:p>
            <w:pPr>
              <w:spacing w:after="20" w:before="20" w:line="264" w:lineRule="auto"/>
              <w:jc w:val="left"/>
            </w:pPr>
            <w:r/>
            <w:r>
              <w:rPr>
                <w:rFonts w:ascii="바탕" w:hAnsi="바탕" w:eastAsia="바탕"/>
                <w:b w:val="0"/>
                <w:i w:val="0"/>
                <w:sz w:val="18"/>
              </w:rPr>
              <w:t>Lat. flexion (L)</w:t>
            </w:r>
          </w:p>
        </w:tc>
        <w:tc>
          <w:tcPr>
            <w:tcW w:type="dxa" w:w="794"/>
          </w:tcPr>
          <w:p>
            <w:pPr>
              <w:spacing w:after="20" w:before="20" w:line="264" w:lineRule="auto"/>
              <w:jc w:val="center"/>
            </w:pPr>
            <w:r/>
            <w:r>
              <w:rPr>
                <w:rFonts w:ascii="바탕" w:hAnsi="바탕" w:eastAsia="바탕"/>
                <w:b w:val="0"/>
                <w:i w:val="0"/>
                <w:sz w:val="18"/>
              </w:rPr>
              <w:t>EG</w:t>
            </w:r>
          </w:p>
        </w:tc>
        <w:tc>
          <w:tcPr>
            <w:tcW w:type="dxa" w:w="1587"/>
          </w:tcPr>
          <w:p>
            <w:pPr>
              <w:spacing w:after="20" w:before="20" w:line="264" w:lineRule="auto"/>
              <w:jc w:val="center"/>
            </w:pPr>
            <w:r/>
            <w:r>
              <w:rPr>
                <w:rFonts w:ascii="바탕" w:hAnsi="바탕" w:eastAsia="바탕"/>
                <w:b w:val="0"/>
                <w:i w:val="0"/>
                <w:sz w:val="18"/>
              </w:rPr>
              <w:t>32.81±10.30</w:t>
            </w:r>
          </w:p>
        </w:tc>
        <w:tc>
          <w:tcPr>
            <w:tcW w:type="dxa" w:w="1587"/>
          </w:tcPr>
          <w:p>
            <w:pPr>
              <w:spacing w:after="20" w:before="20" w:line="264" w:lineRule="auto"/>
              <w:jc w:val="center"/>
            </w:pPr>
            <w:r/>
            <w:r>
              <w:rPr>
                <w:rFonts w:ascii="바탕" w:hAnsi="바탕" w:eastAsia="바탕"/>
                <w:b w:val="0"/>
                <w:i w:val="0"/>
                <w:sz w:val="18"/>
              </w:rPr>
              <w:t>38.54±10.52</w:t>
            </w:r>
          </w:p>
        </w:tc>
        <w:tc>
          <w:tcPr>
            <w:tcW w:type="dxa" w:w="850"/>
          </w:tcPr>
          <w:p>
            <w:pPr>
              <w:spacing w:after="20" w:before="20" w:line="264" w:lineRule="auto"/>
              <w:jc w:val="center"/>
            </w:pPr>
            <w:r/>
            <w:r>
              <w:rPr>
                <w:rFonts w:ascii="바탕" w:hAnsi="바탕" w:eastAsia="바탕"/>
                <w:b w:val="0"/>
                <w:i w:val="0"/>
                <w:sz w:val="18"/>
              </w:rPr>
              <w:t>+5.73</w:t>
            </w:r>
          </w:p>
        </w:tc>
        <w:tc>
          <w:tcPr>
            <w:tcW w:type="dxa" w:w="1531"/>
          </w:tcPr>
          <w:p>
            <w:pPr>
              <w:spacing w:after="20" w:before="20" w:line="264" w:lineRule="auto"/>
              <w:jc w:val="center"/>
            </w:pPr>
            <w:r/>
            <w:r>
              <w:rPr>
                <w:rFonts w:ascii="바탕" w:hAnsi="바탕" w:eastAsia="바탕"/>
                <w:b w:val="0"/>
                <w:i w:val="0"/>
                <w:sz w:val="18"/>
              </w:rPr>
              <w:t>[+0.03, +11.43]</w:t>
            </w:r>
          </w:p>
        </w:tc>
        <w:tc>
          <w:tcPr>
            <w:tcW w:type="dxa" w:w="907"/>
          </w:tcPr>
          <w:p>
            <w:pPr>
              <w:spacing w:after="20" w:before="20" w:line="264" w:lineRule="auto"/>
              <w:jc w:val="center"/>
            </w:pPr>
            <w:r/>
            <w:r>
              <w:rPr>
                <w:rFonts w:ascii="바탕" w:hAnsi="바탕" w:eastAsia="바탕"/>
                <w:b w:val="0"/>
                <w:i w:val="0"/>
                <w:sz w:val="18"/>
              </w:rPr>
              <w:t>0.049*</w:t>
            </w:r>
          </w:p>
        </w:tc>
      </w:tr>
      <w:tr>
        <w:tc>
          <w:tcPr>
            <w:tcW w:type="dxa" w:w="1531"/>
          </w:tcPr>
          <w:p>
            <w:pPr>
              <w:spacing w:after="20" w:before="20" w:line="264" w:lineRule="auto"/>
              <w:jc w:val="left"/>
            </w:pPr>
            <w:r/>
            <w:r>
              <w:rPr>
                <w:rFonts w:ascii="바탕" w:hAnsi="바탕" w:eastAsia="바탕"/>
                <w:b w:val="0"/>
                <w:i w:val="0"/>
                <w:sz w:val="18"/>
              </w:rPr>
              <w:t>Lat. flexion (L)</w:t>
            </w:r>
          </w:p>
        </w:tc>
        <w:tc>
          <w:tcPr>
            <w:tcW w:type="dxa" w:w="794"/>
          </w:tcPr>
          <w:p>
            <w:pPr>
              <w:spacing w:after="20" w:before="20" w:line="264" w:lineRule="auto"/>
              <w:jc w:val="center"/>
            </w:pPr>
            <w:r/>
            <w:r>
              <w:rPr>
                <w:rFonts w:ascii="바탕" w:hAnsi="바탕" w:eastAsia="바탕"/>
                <w:b w:val="0"/>
                <w:i w:val="0"/>
                <w:sz w:val="18"/>
              </w:rPr>
              <w:t>CG</w:t>
            </w:r>
          </w:p>
        </w:tc>
        <w:tc>
          <w:tcPr>
            <w:tcW w:type="dxa" w:w="1587"/>
          </w:tcPr>
          <w:p>
            <w:pPr>
              <w:spacing w:after="20" w:before="20" w:line="264" w:lineRule="auto"/>
              <w:jc w:val="center"/>
            </w:pPr>
            <w:r/>
            <w:r>
              <w:rPr>
                <w:rFonts w:ascii="바탕" w:hAnsi="바탕" w:eastAsia="바탕"/>
                <w:b w:val="0"/>
                <w:i w:val="0"/>
                <w:sz w:val="18"/>
              </w:rPr>
              <w:t>31.38±8.92</w:t>
            </w:r>
          </w:p>
        </w:tc>
        <w:tc>
          <w:tcPr>
            <w:tcW w:type="dxa" w:w="1587"/>
          </w:tcPr>
          <w:p>
            <w:pPr>
              <w:spacing w:after="20" w:before="20" w:line="264" w:lineRule="auto"/>
              <w:jc w:val="center"/>
            </w:pPr>
            <w:r/>
            <w:r>
              <w:rPr>
                <w:rFonts w:ascii="바탕" w:hAnsi="바탕" w:eastAsia="바탕"/>
                <w:b w:val="0"/>
                <w:i w:val="0"/>
                <w:sz w:val="18"/>
              </w:rPr>
              <w:t>37.39±14.17</w:t>
            </w:r>
          </w:p>
        </w:tc>
        <w:tc>
          <w:tcPr>
            <w:tcW w:type="dxa" w:w="850"/>
          </w:tcPr>
          <w:p>
            <w:pPr>
              <w:spacing w:after="20" w:before="20" w:line="264" w:lineRule="auto"/>
              <w:jc w:val="center"/>
            </w:pPr>
            <w:r/>
            <w:r>
              <w:rPr>
                <w:rFonts w:ascii="바탕" w:hAnsi="바탕" w:eastAsia="바탕"/>
                <w:b w:val="0"/>
                <w:i w:val="0"/>
                <w:sz w:val="18"/>
              </w:rPr>
              <w:t>+6.01</w:t>
            </w:r>
          </w:p>
        </w:tc>
        <w:tc>
          <w:tcPr>
            <w:tcW w:type="dxa" w:w="1531"/>
          </w:tcPr>
          <w:p>
            <w:pPr>
              <w:spacing w:after="20" w:before="20" w:line="264" w:lineRule="auto"/>
              <w:jc w:val="center"/>
            </w:pPr>
            <w:r/>
            <w:r>
              <w:rPr>
                <w:rFonts w:ascii="바탕" w:hAnsi="바탕" w:eastAsia="바탕"/>
                <w:b w:val="0"/>
                <w:i w:val="0"/>
                <w:sz w:val="18"/>
              </w:rPr>
              <w:t>[-0.15, +12.17]</w:t>
            </w:r>
          </w:p>
        </w:tc>
        <w:tc>
          <w:tcPr>
            <w:tcW w:type="dxa" w:w="907"/>
          </w:tcPr>
          <w:p>
            <w:pPr>
              <w:spacing w:after="20" w:before="20" w:line="264" w:lineRule="auto"/>
              <w:jc w:val="center"/>
            </w:pPr>
            <w:r/>
            <w:r>
              <w:rPr>
                <w:rFonts w:ascii="바탕" w:hAnsi="바탕" w:eastAsia="바탕"/>
                <w:b w:val="0"/>
                <w:i w:val="0"/>
                <w:sz w:val="18"/>
              </w:rPr>
              <w:t>0.055n.s.</w:t>
            </w:r>
          </w:p>
        </w:tc>
      </w:tr>
      <w:tr>
        <w:tc>
          <w:tcPr>
            <w:tcW w:type="dxa" w:w="1531"/>
          </w:tcPr>
          <w:p>
            <w:pPr>
              <w:spacing w:after="20" w:before="20" w:line="264" w:lineRule="auto"/>
              <w:jc w:val="left"/>
            </w:pPr>
            <w:r/>
            <w:r>
              <w:rPr>
                <w:rFonts w:ascii="바탕" w:hAnsi="바탕" w:eastAsia="바탕"/>
                <w:b w:val="0"/>
                <w:i w:val="0"/>
                <w:sz w:val="18"/>
              </w:rPr>
              <w:t>Rotation (R)</w:t>
            </w:r>
          </w:p>
        </w:tc>
        <w:tc>
          <w:tcPr>
            <w:tcW w:type="dxa" w:w="794"/>
          </w:tcPr>
          <w:p>
            <w:pPr>
              <w:spacing w:after="20" w:before="20" w:line="264" w:lineRule="auto"/>
              <w:jc w:val="center"/>
            </w:pPr>
            <w:r/>
            <w:r>
              <w:rPr>
                <w:rFonts w:ascii="바탕" w:hAnsi="바탕" w:eastAsia="바탕"/>
                <w:b w:val="0"/>
                <w:i w:val="0"/>
                <w:sz w:val="18"/>
              </w:rPr>
              <w:t>EG</w:t>
            </w:r>
          </w:p>
        </w:tc>
        <w:tc>
          <w:tcPr>
            <w:tcW w:type="dxa" w:w="1587"/>
          </w:tcPr>
          <w:p>
            <w:pPr>
              <w:spacing w:after="20" w:before="20" w:line="264" w:lineRule="auto"/>
              <w:jc w:val="center"/>
            </w:pPr>
            <w:r/>
            <w:r>
              <w:rPr>
                <w:rFonts w:ascii="바탕" w:hAnsi="바탕" w:eastAsia="바탕"/>
                <w:b w:val="0"/>
                <w:i w:val="0"/>
                <w:sz w:val="18"/>
              </w:rPr>
              <w:t>49.25±14.33</w:t>
            </w:r>
          </w:p>
        </w:tc>
        <w:tc>
          <w:tcPr>
            <w:tcW w:type="dxa" w:w="1587"/>
          </w:tcPr>
          <w:p>
            <w:pPr>
              <w:spacing w:after="20" w:before="20" w:line="264" w:lineRule="auto"/>
              <w:jc w:val="center"/>
            </w:pPr>
            <w:r/>
            <w:r>
              <w:rPr>
                <w:rFonts w:ascii="바탕" w:hAnsi="바탕" w:eastAsia="바탕"/>
                <w:b w:val="0"/>
                <w:i w:val="0"/>
                <w:sz w:val="18"/>
              </w:rPr>
              <w:t>58.22±9.10</w:t>
            </w:r>
          </w:p>
        </w:tc>
        <w:tc>
          <w:tcPr>
            <w:tcW w:type="dxa" w:w="850"/>
          </w:tcPr>
          <w:p>
            <w:pPr>
              <w:spacing w:after="20" w:before="20" w:line="264" w:lineRule="auto"/>
              <w:jc w:val="center"/>
            </w:pPr>
            <w:r/>
            <w:r>
              <w:rPr>
                <w:rFonts w:ascii="바탕" w:hAnsi="바탕" w:eastAsia="바탕"/>
                <w:b w:val="0"/>
                <w:i w:val="0"/>
                <w:sz w:val="18"/>
              </w:rPr>
              <w:t>+8.96</w:t>
            </w:r>
          </w:p>
        </w:tc>
        <w:tc>
          <w:tcPr>
            <w:tcW w:type="dxa" w:w="1531"/>
          </w:tcPr>
          <w:p>
            <w:pPr>
              <w:spacing w:after="20" w:before="20" w:line="264" w:lineRule="auto"/>
              <w:jc w:val="center"/>
            </w:pPr>
            <w:r/>
            <w:r>
              <w:rPr>
                <w:rFonts w:ascii="바탕" w:hAnsi="바탕" w:eastAsia="바탕"/>
                <w:b w:val="0"/>
                <w:i w:val="0"/>
                <w:sz w:val="18"/>
              </w:rPr>
              <w:t>[+3.04, +14.88]</w:t>
            </w:r>
          </w:p>
        </w:tc>
        <w:tc>
          <w:tcPr>
            <w:tcW w:type="dxa" w:w="907"/>
          </w:tcPr>
          <w:p>
            <w:pPr>
              <w:spacing w:after="20" w:before="20" w:line="264" w:lineRule="auto"/>
              <w:jc w:val="center"/>
            </w:pPr>
            <w:r/>
            <w:r>
              <w:rPr>
                <w:rFonts w:ascii="바탕" w:hAnsi="바탕" w:eastAsia="바탕"/>
                <w:b w:val="0"/>
                <w:i w:val="0"/>
                <w:sz w:val="18"/>
              </w:rPr>
              <w:t>0.005**</w:t>
            </w:r>
          </w:p>
        </w:tc>
      </w:tr>
      <w:tr>
        <w:tc>
          <w:tcPr>
            <w:tcW w:type="dxa" w:w="1531"/>
          </w:tcPr>
          <w:p>
            <w:pPr>
              <w:spacing w:after="20" w:before="20" w:line="264" w:lineRule="auto"/>
              <w:jc w:val="left"/>
            </w:pPr>
            <w:r/>
            <w:r>
              <w:rPr>
                <w:rFonts w:ascii="바탕" w:hAnsi="바탕" w:eastAsia="바탕"/>
                <w:b w:val="0"/>
                <w:i w:val="0"/>
                <w:sz w:val="18"/>
              </w:rPr>
              <w:t>Rotation (R)</w:t>
            </w:r>
          </w:p>
        </w:tc>
        <w:tc>
          <w:tcPr>
            <w:tcW w:type="dxa" w:w="794"/>
          </w:tcPr>
          <w:p>
            <w:pPr>
              <w:spacing w:after="20" w:before="20" w:line="264" w:lineRule="auto"/>
              <w:jc w:val="center"/>
            </w:pPr>
            <w:r/>
            <w:r>
              <w:rPr>
                <w:rFonts w:ascii="바탕" w:hAnsi="바탕" w:eastAsia="바탕"/>
                <w:b w:val="0"/>
                <w:i w:val="0"/>
                <w:sz w:val="18"/>
              </w:rPr>
              <w:t>CG</w:t>
            </w:r>
          </w:p>
        </w:tc>
        <w:tc>
          <w:tcPr>
            <w:tcW w:type="dxa" w:w="1587"/>
          </w:tcPr>
          <w:p>
            <w:pPr>
              <w:spacing w:after="20" w:before="20" w:line="264" w:lineRule="auto"/>
              <w:jc w:val="center"/>
            </w:pPr>
            <w:r/>
            <w:r>
              <w:rPr>
                <w:rFonts w:ascii="바탕" w:hAnsi="바탕" w:eastAsia="바탕"/>
                <w:b w:val="0"/>
                <w:i w:val="0"/>
                <w:sz w:val="18"/>
              </w:rPr>
              <w:t>43.23±6.04</w:t>
            </w:r>
          </w:p>
        </w:tc>
        <w:tc>
          <w:tcPr>
            <w:tcW w:type="dxa" w:w="1587"/>
          </w:tcPr>
          <w:p>
            <w:pPr>
              <w:spacing w:after="20" w:before="20" w:line="264" w:lineRule="auto"/>
              <w:jc w:val="center"/>
            </w:pPr>
            <w:r/>
            <w:r>
              <w:rPr>
                <w:rFonts w:ascii="바탕" w:hAnsi="바탕" w:eastAsia="바탕"/>
                <w:b w:val="0"/>
                <w:i w:val="0"/>
                <w:sz w:val="18"/>
              </w:rPr>
              <w:t>59.35±12.10</w:t>
            </w:r>
          </w:p>
        </w:tc>
        <w:tc>
          <w:tcPr>
            <w:tcW w:type="dxa" w:w="850"/>
          </w:tcPr>
          <w:p>
            <w:pPr>
              <w:spacing w:after="20" w:before="20" w:line="264" w:lineRule="auto"/>
              <w:jc w:val="center"/>
            </w:pPr>
            <w:r/>
            <w:r>
              <w:rPr>
                <w:rFonts w:ascii="바탕" w:hAnsi="바탕" w:eastAsia="바탕"/>
                <w:b w:val="0"/>
                <w:i w:val="0"/>
                <w:sz w:val="18"/>
              </w:rPr>
              <w:t>+16.12</w:t>
            </w:r>
          </w:p>
        </w:tc>
        <w:tc>
          <w:tcPr>
            <w:tcW w:type="dxa" w:w="1531"/>
          </w:tcPr>
          <w:p>
            <w:pPr>
              <w:spacing w:after="20" w:before="20" w:line="264" w:lineRule="auto"/>
              <w:jc w:val="center"/>
            </w:pPr>
            <w:r/>
            <w:r>
              <w:rPr>
                <w:rFonts w:ascii="바탕" w:hAnsi="바탕" w:eastAsia="바탕"/>
                <w:b w:val="0"/>
                <w:i w:val="0"/>
                <w:sz w:val="18"/>
              </w:rPr>
              <w:t>[+9.34, +22.90]</w:t>
            </w:r>
          </w:p>
        </w:tc>
        <w:tc>
          <w:tcPr>
            <w:tcW w:type="dxa" w:w="907"/>
          </w:tcPr>
          <w:p>
            <w:pPr>
              <w:spacing w:after="20" w:before="20" w:line="264" w:lineRule="auto"/>
              <w:jc w:val="center"/>
            </w:pPr>
            <w:r/>
            <w:r>
              <w:rPr>
                <w:rFonts w:ascii="바탕" w:hAnsi="바탕" w:eastAsia="바탕"/>
                <w:b w:val="0"/>
                <w:i w:val="0"/>
                <w:sz w:val="18"/>
              </w:rPr>
              <w:t>&lt;0.001***</w:t>
            </w:r>
          </w:p>
        </w:tc>
      </w:tr>
      <w:tr>
        <w:tc>
          <w:tcPr>
            <w:tcW w:type="dxa" w:w="1531"/>
          </w:tcPr>
          <w:p>
            <w:pPr>
              <w:spacing w:after="20" w:before="20" w:line="264" w:lineRule="auto"/>
              <w:jc w:val="left"/>
            </w:pPr>
            <w:r/>
            <w:r>
              <w:rPr>
                <w:rFonts w:ascii="바탕" w:hAnsi="바탕" w:eastAsia="바탕"/>
                <w:b w:val="0"/>
                <w:i w:val="0"/>
                <w:sz w:val="18"/>
              </w:rPr>
              <w:t>Rotation (L)</w:t>
            </w:r>
          </w:p>
        </w:tc>
        <w:tc>
          <w:tcPr>
            <w:tcW w:type="dxa" w:w="794"/>
          </w:tcPr>
          <w:p>
            <w:pPr>
              <w:spacing w:after="20" w:before="20" w:line="264" w:lineRule="auto"/>
              <w:jc w:val="center"/>
            </w:pPr>
            <w:r/>
            <w:r>
              <w:rPr>
                <w:rFonts w:ascii="바탕" w:hAnsi="바탕" w:eastAsia="바탕"/>
                <w:b w:val="0"/>
                <w:i w:val="0"/>
                <w:sz w:val="18"/>
              </w:rPr>
              <w:t>EG</w:t>
            </w:r>
          </w:p>
        </w:tc>
        <w:tc>
          <w:tcPr>
            <w:tcW w:type="dxa" w:w="1587"/>
          </w:tcPr>
          <w:p>
            <w:pPr>
              <w:spacing w:after="20" w:before="20" w:line="264" w:lineRule="auto"/>
              <w:jc w:val="center"/>
            </w:pPr>
            <w:r/>
            <w:r>
              <w:rPr>
                <w:rFonts w:ascii="바탕" w:hAnsi="바탕" w:eastAsia="바탕"/>
                <w:b w:val="0"/>
                <w:i w:val="0"/>
                <w:sz w:val="18"/>
              </w:rPr>
              <w:t>46.86±15.27</w:t>
            </w:r>
          </w:p>
        </w:tc>
        <w:tc>
          <w:tcPr>
            <w:tcW w:type="dxa" w:w="1587"/>
          </w:tcPr>
          <w:p>
            <w:pPr>
              <w:spacing w:after="20" w:before="20" w:line="264" w:lineRule="auto"/>
              <w:jc w:val="center"/>
            </w:pPr>
            <w:r/>
            <w:r>
              <w:rPr>
                <w:rFonts w:ascii="바탕" w:hAnsi="바탕" w:eastAsia="바탕"/>
                <w:b w:val="0"/>
                <w:i w:val="0"/>
                <w:sz w:val="18"/>
              </w:rPr>
              <w:t>58.84±9.97</w:t>
            </w:r>
          </w:p>
        </w:tc>
        <w:tc>
          <w:tcPr>
            <w:tcW w:type="dxa" w:w="850"/>
          </w:tcPr>
          <w:p>
            <w:pPr>
              <w:spacing w:after="20" w:before="20" w:line="264" w:lineRule="auto"/>
              <w:jc w:val="center"/>
            </w:pPr>
            <w:r/>
            <w:r>
              <w:rPr>
                <w:rFonts w:ascii="바탕" w:hAnsi="바탕" w:eastAsia="바탕"/>
                <w:b w:val="0"/>
                <w:i w:val="0"/>
                <w:sz w:val="18"/>
              </w:rPr>
              <w:t>+11.98</w:t>
            </w:r>
          </w:p>
        </w:tc>
        <w:tc>
          <w:tcPr>
            <w:tcW w:type="dxa" w:w="1531"/>
          </w:tcPr>
          <w:p>
            <w:pPr>
              <w:spacing w:after="20" w:before="20" w:line="264" w:lineRule="auto"/>
              <w:jc w:val="center"/>
            </w:pPr>
            <w:r/>
            <w:r>
              <w:rPr>
                <w:rFonts w:ascii="바탕" w:hAnsi="바탕" w:eastAsia="바탕"/>
                <w:b w:val="0"/>
                <w:i w:val="0"/>
                <w:sz w:val="18"/>
              </w:rPr>
              <w:t>[+6.72, +17.24]</w:t>
            </w:r>
          </w:p>
        </w:tc>
        <w:tc>
          <w:tcPr>
            <w:tcW w:type="dxa" w:w="907"/>
          </w:tcPr>
          <w:p>
            <w:pPr>
              <w:spacing w:after="20" w:before="20" w:line="264" w:lineRule="auto"/>
              <w:jc w:val="center"/>
            </w:pPr>
            <w:r/>
            <w:r>
              <w:rPr>
                <w:rFonts w:ascii="바탕" w:hAnsi="바탕" w:eastAsia="바탕"/>
                <w:b w:val="0"/>
                <w:i w:val="0"/>
                <w:sz w:val="18"/>
              </w:rPr>
              <w:t>&lt;0.001***</w:t>
            </w:r>
          </w:p>
        </w:tc>
      </w:tr>
      <w:tr>
        <w:tc>
          <w:tcPr>
            <w:tcW w:type="dxa" w:w="1531"/>
            <w:tcBorders>
              <w:bottom w:val="single" w:sz="8" w:color="000000"/>
            </w:tcBorders>
          </w:tcPr>
          <w:p>
            <w:pPr>
              <w:spacing w:after="20" w:before="20" w:line="264" w:lineRule="auto"/>
              <w:jc w:val="left"/>
            </w:pPr>
            <w:r/>
            <w:r>
              <w:rPr>
                <w:rFonts w:ascii="바탕" w:hAnsi="바탕" w:eastAsia="바탕"/>
                <w:b w:val="0"/>
                <w:i w:val="0"/>
                <w:sz w:val="18"/>
              </w:rPr>
              <w:t>Rotation (L)</w:t>
            </w:r>
          </w:p>
        </w:tc>
        <w:tc>
          <w:tcPr>
            <w:tcW w:type="dxa" w:w="794"/>
            <w:tcBorders>
              <w:bottom w:val="single" w:sz="8" w:color="000000"/>
            </w:tcBorders>
          </w:tcPr>
          <w:p>
            <w:pPr>
              <w:spacing w:after="20" w:before="20" w:line="264" w:lineRule="auto"/>
              <w:jc w:val="center"/>
            </w:pPr>
            <w:r/>
            <w:r>
              <w:rPr>
                <w:rFonts w:ascii="바탕" w:hAnsi="바탕" w:eastAsia="바탕"/>
                <w:b w:val="0"/>
                <w:i w:val="0"/>
                <w:sz w:val="18"/>
              </w:rPr>
              <w:t>CG</w:t>
            </w:r>
          </w:p>
        </w:tc>
        <w:tc>
          <w:tcPr>
            <w:tcW w:type="dxa" w:w="1587"/>
            <w:tcBorders>
              <w:bottom w:val="single" w:sz="8" w:color="000000"/>
            </w:tcBorders>
          </w:tcPr>
          <w:p>
            <w:pPr>
              <w:spacing w:after="20" w:before="20" w:line="264" w:lineRule="auto"/>
              <w:jc w:val="center"/>
            </w:pPr>
            <w:r/>
            <w:r>
              <w:rPr>
                <w:rFonts w:ascii="바탕" w:hAnsi="바탕" w:eastAsia="바탕"/>
                <w:b w:val="0"/>
                <w:i w:val="0"/>
                <w:sz w:val="18"/>
              </w:rPr>
              <w:t>42.91±6.53</w:t>
            </w:r>
          </w:p>
        </w:tc>
        <w:tc>
          <w:tcPr>
            <w:tcW w:type="dxa" w:w="1587"/>
            <w:tcBorders>
              <w:bottom w:val="single" w:sz="8" w:color="000000"/>
            </w:tcBorders>
          </w:tcPr>
          <w:p>
            <w:pPr>
              <w:spacing w:after="20" w:before="20" w:line="264" w:lineRule="auto"/>
              <w:jc w:val="center"/>
            </w:pPr>
            <w:r/>
            <w:r>
              <w:rPr>
                <w:rFonts w:ascii="바탕" w:hAnsi="바탕" w:eastAsia="바탕"/>
                <w:b w:val="0"/>
                <w:i w:val="0"/>
                <w:sz w:val="18"/>
              </w:rPr>
              <w:t>59.98±9.76</w:t>
            </w:r>
          </w:p>
        </w:tc>
        <w:tc>
          <w:tcPr>
            <w:tcW w:type="dxa" w:w="850"/>
            <w:tcBorders>
              <w:bottom w:val="single" w:sz="8" w:color="000000"/>
            </w:tcBorders>
          </w:tcPr>
          <w:p>
            <w:pPr>
              <w:spacing w:after="20" w:before="20" w:line="264" w:lineRule="auto"/>
              <w:jc w:val="center"/>
            </w:pPr>
            <w:r/>
            <w:r>
              <w:rPr>
                <w:rFonts w:ascii="바탕" w:hAnsi="바탕" w:eastAsia="바탕"/>
                <w:b w:val="0"/>
                <w:i w:val="0"/>
                <w:sz w:val="18"/>
              </w:rPr>
              <w:t>+17.07</w:t>
            </w:r>
          </w:p>
        </w:tc>
        <w:tc>
          <w:tcPr>
            <w:tcW w:type="dxa" w:w="1531"/>
            <w:tcBorders>
              <w:bottom w:val="single" w:sz="8" w:color="000000"/>
            </w:tcBorders>
          </w:tcPr>
          <w:p>
            <w:pPr>
              <w:spacing w:after="20" w:before="20" w:line="264" w:lineRule="auto"/>
              <w:jc w:val="center"/>
            </w:pPr>
            <w:r/>
            <w:r>
              <w:rPr>
                <w:rFonts w:ascii="바탕" w:hAnsi="바탕" w:eastAsia="바탕"/>
                <w:b w:val="0"/>
                <w:i w:val="0"/>
                <w:sz w:val="18"/>
              </w:rPr>
              <w:t>[+11.05, +23.09]</w:t>
            </w:r>
          </w:p>
        </w:tc>
        <w:tc>
          <w:tcPr>
            <w:tcW w:type="dxa" w:w="907"/>
            <w:tcBorders>
              <w:bottom w:val="single" w:sz="8" w:color="000000"/>
            </w:tcBorders>
          </w:tcPr>
          <w:p>
            <w:pPr>
              <w:spacing w:after="20" w:before="20" w:line="264" w:lineRule="auto"/>
              <w:jc w:val="center"/>
            </w:pPr>
            <w:r/>
            <w:r>
              <w:rPr>
                <w:rFonts w:ascii="바탕" w:hAnsi="바탕" w:eastAsia="바탕"/>
                <w:b w:val="0"/>
                <w:i w:val="0"/>
                <w:sz w:val="18"/>
              </w:rPr>
              <w:t>&lt;0.001***</w:t>
            </w:r>
          </w:p>
        </w:tc>
      </w:tr>
    </w:tbl>
    <w:p>
      <w:pPr>
        <w:spacing w:before="20" w:after="60" w:line="264" w:lineRule="auto"/>
      </w:pPr>
      <w:r>
        <w:rPr>
          <w:rFonts w:ascii="바탕" w:hAnsi="바탕" w:eastAsia="바탕"/>
          <w:b w:val="0"/>
          <w:i w:val="0"/>
          <w:sz w:val="17"/>
        </w:rPr>
        <w:t>Δ: change (post − pre); 95% CI: 95% confidence interval of within-group change. * p&lt;0.05, ** p&lt;0.01, *** p&lt;0.001 (paired t-test). EG: experimental group; CG: control group.</w:t>
      </w:r>
    </w:p>
    <w:p>
      <w:pPr>
        <w:spacing w:before="160"/>
        <w:jc w:val="center"/>
      </w:pPr>
      <w:r>
        <w:drawing>
          <wp:inline xmlns:a="http://schemas.openxmlformats.org/drawingml/2006/main" xmlns:pic="http://schemas.openxmlformats.org/drawingml/2006/picture">
            <wp:extent cx="3780000" cy="2981576"/>
            <wp:docPr id="2" name="Picture 2"/>
            <wp:cNvGraphicFramePr>
              <a:graphicFrameLocks noChangeAspect="1"/>
            </wp:cNvGraphicFramePr>
            <a:graphic>
              <a:graphicData uri="http://schemas.openxmlformats.org/drawingml/2006/picture">
                <pic:pic>
                  <pic:nvPicPr>
                    <pic:cNvPr id="0" name="Fig1_CVA.png"/>
                    <pic:cNvPicPr/>
                  </pic:nvPicPr>
                  <pic:blipFill>
                    <a:blip r:embed="rId10"/>
                    <a:stretch>
                      <a:fillRect/>
                    </a:stretch>
                  </pic:blipFill>
                  <pic:spPr>
                    <a:xfrm>
                      <a:off x="0" y="0"/>
                      <a:ext cx="3780000" cy="2981576"/>
                    </a:xfrm>
                    <a:prstGeom prst="rect"/>
                  </pic:spPr>
                </pic:pic>
              </a:graphicData>
            </a:graphic>
          </wp:inline>
        </w:drawing>
      </w:r>
    </w:p>
    <w:p>
      <w:pPr>
        <w:spacing w:after="200"/>
        <w:jc w:val="center"/>
      </w:pPr>
      <w:r>
        <w:rPr>
          <w:rFonts w:ascii="맑은 고딕" w:hAnsi="맑은 고딕" w:eastAsia="맑은 고딕"/>
          <w:b/>
          <w:i w:val="0"/>
          <w:sz w:val="18"/>
        </w:rPr>
        <w:t xml:space="preserve">그림 2. </w:t>
      </w:r>
      <w:r>
        <w:rPr>
          <w:rFonts w:ascii="맑은 고딕" w:hAnsi="맑은 고딕" w:eastAsia="맑은 고딕"/>
          <w:b w:val="0"/>
          <w:i w:val="0"/>
          <w:sz w:val="18"/>
        </w:rPr>
        <w:t>Pre- and post-intervention craniovertebral angle (CVA) by group (individual trajectories; group mean ± 95% CI).</w:t>
      </w:r>
    </w:p>
    <w:p>
      <w:pPr>
        <w:spacing w:before="160"/>
        <w:jc w:val="center"/>
      </w:pPr>
      <w:r>
        <w:drawing>
          <wp:inline xmlns:a="http://schemas.openxmlformats.org/drawingml/2006/main" xmlns:pic="http://schemas.openxmlformats.org/drawingml/2006/picture">
            <wp:extent cx="4680000" cy="2447949"/>
            <wp:docPr id="3" name="Picture 3"/>
            <wp:cNvGraphicFramePr>
              <a:graphicFrameLocks noChangeAspect="1"/>
            </wp:cNvGraphicFramePr>
            <a:graphic>
              <a:graphicData uri="http://schemas.openxmlformats.org/drawingml/2006/picture">
                <pic:pic>
                  <pic:nvPicPr>
                    <pic:cNvPr id="0" name="Fig2_ROM.png"/>
                    <pic:cNvPicPr/>
                  </pic:nvPicPr>
                  <pic:blipFill>
                    <a:blip r:embed="rId11"/>
                    <a:stretch>
                      <a:fillRect/>
                    </a:stretch>
                  </pic:blipFill>
                  <pic:spPr>
                    <a:xfrm>
                      <a:off x="0" y="0"/>
                      <a:ext cx="4680000" cy="2447949"/>
                    </a:xfrm>
                    <a:prstGeom prst="rect"/>
                  </pic:spPr>
                </pic:pic>
              </a:graphicData>
            </a:graphic>
          </wp:inline>
        </w:drawing>
      </w:r>
    </w:p>
    <w:p>
      <w:pPr>
        <w:spacing w:after="200"/>
        <w:jc w:val="center"/>
      </w:pPr>
      <w:r>
        <w:rPr>
          <w:rFonts w:ascii="맑은 고딕" w:hAnsi="맑은 고딕" w:eastAsia="맑은 고딕"/>
          <w:b/>
          <w:i w:val="0"/>
          <w:sz w:val="18"/>
        </w:rPr>
        <w:t xml:space="preserve">그림 3. </w:t>
      </w:r>
      <w:r>
        <w:rPr>
          <w:rFonts w:ascii="맑은 고딕" w:hAnsi="맑은 고딕" w:eastAsia="맑은 고딕"/>
          <w:b w:val="0"/>
          <w:i w:val="0"/>
          <w:sz w:val="18"/>
        </w:rPr>
        <w:t>Radar plots of cervical range of motion in six directions (dashed, pre; solid, post) for each group.</w:t>
      </w:r>
    </w:p>
    <w:p>
      <w:pPr>
        <w:spacing w:before="180" w:after="80" w:line="312" w:lineRule="auto"/>
      </w:pPr>
      <w:r>
        <w:rPr>
          <w:rFonts w:ascii="맑은 고딕" w:hAnsi="맑은 고딕" w:eastAsia="맑은 고딕"/>
          <w:b/>
          <w:i w:val="0"/>
          <w:sz w:val="22"/>
        </w:rPr>
        <w:t>3. 군×시점 반복측정 분산분석</w:t>
      </w:r>
    </w:p>
    <w:p>
      <w:pPr>
        <w:spacing w:before="0" w:after="120" w:line="384" w:lineRule="auto"/>
        <w:ind w:firstLine="567"/>
      </w:pPr>
      <w:r>
        <w:rPr>
          <w:rFonts w:ascii="바탕" w:hAnsi="바탕" w:eastAsia="바탕"/>
          <w:b w:val="0"/>
          <w:i w:val="0"/>
          <w:sz w:val="20"/>
        </w:rPr>
        <w:t>군×시점 반복측정 이원분산분석 결과는 Table 5와 같다. CVA에서 시점의 주효과가 유의하였으며(F(1,32)=125.41, p&lt;.001, partial η²=0.797, 큰 효과크기), 이는 두 군 모두 중재 후 CVA가 개선되었음을 의미한다. CROM에서도 신전, 측방굴곡(우), 측방굴곡(좌), 회전(우), 회전(좌) 방향에서 시점의 주효과가 유의하였다. 반면 군×시점 상호작용은 측정한 모든 변수에서 통계적으로 유의하지 않았으며(CVA: F=1.41, p=.244, partial η²=0.042), 군의 주효과 또한 모든 변수에서 유의하지 않았다. 즉, 중재에 따른 개선의 양상이 두 군 간에 다르지 않았다. (Table 5).</w:t>
      </w:r>
    </w:p>
    <w:p>
      <w:pPr>
        <w:spacing w:before="200" w:after="60"/>
      </w:pPr>
      <w:r>
        <w:rPr>
          <w:rFonts w:ascii="맑은 고딕" w:hAnsi="맑은 고딕" w:eastAsia="맑은 고딕"/>
          <w:b/>
          <w:i w:val="0"/>
          <w:sz w:val="20"/>
        </w:rPr>
        <w:t xml:space="preserve">Table 5. </w:t>
      </w:r>
      <w:r>
        <w:rPr>
          <w:rFonts w:ascii="맑은 고딕" w:hAnsi="맑은 고딕" w:eastAsia="맑은 고딕"/>
          <w:b w:val="0"/>
          <w:i w:val="0"/>
          <w:sz w:val="20"/>
        </w:rPr>
        <w:t>Two-way repeated-measures ANOVA (group × time)</w:t>
      </w:r>
    </w:p>
    <w:tbl>
      <w:tblPr>
        <w:tblW w:type="auto" w:w="0"/>
        <w:jc w:val="center"/>
        <w:tblLook w:firstColumn="1" w:firstRow="1" w:lastColumn="0" w:lastRow="0" w:noHBand="0" w:noVBand="1" w:val="04A0"/>
      </w:tblPr>
      <w:tblGrid>
        <w:gridCol w:w="1531"/>
        <w:gridCol w:w="1531"/>
        <w:gridCol w:w="1531"/>
        <w:gridCol w:w="1531"/>
        <w:gridCol w:w="1531"/>
        <w:gridCol w:w="1531"/>
      </w:tblGrid>
      <w:tr>
        <w:tc>
          <w:tcPr>
            <w:tcW w:type="dxa" w:w="1701"/>
            <w:tcBorders>
              <w:top w:val="single" w:sz="8" w:color="000000"/>
              <w:bottom w:val="single" w:sz="8" w:color="000000"/>
            </w:tcBorders>
          </w:tcPr>
          <w:p>
            <w:pPr>
              <w:spacing w:after="20" w:before="20" w:line="264" w:lineRule="auto"/>
              <w:jc w:val="center"/>
            </w:pPr>
            <w:r/>
            <w:r>
              <w:rPr>
                <w:rFonts w:ascii="바탕" w:hAnsi="바탕" w:eastAsia="바탕"/>
                <w:b/>
                <w:i w:val="0"/>
                <w:sz w:val="18"/>
              </w:rPr>
              <w:t>Outcome</w:t>
            </w:r>
          </w:p>
        </w:tc>
        <w:tc>
          <w:tcPr>
            <w:tcW w:type="dxa" w:w="1474"/>
            <w:tcBorders>
              <w:top w:val="single" w:sz="8" w:color="000000"/>
              <w:bottom w:val="single" w:sz="8" w:color="000000"/>
            </w:tcBorders>
          </w:tcPr>
          <w:p>
            <w:pPr>
              <w:spacing w:after="20" w:before="20" w:line="264" w:lineRule="auto"/>
              <w:jc w:val="center"/>
            </w:pPr>
            <w:r/>
            <w:r>
              <w:rPr>
                <w:rFonts w:ascii="바탕" w:hAnsi="바탕" w:eastAsia="바탕"/>
                <w:b/>
                <w:i w:val="0"/>
                <w:sz w:val="18"/>
              </w:rPr>
              <w:t>Effect</w:t>
            </w:r>
          </w:p>
        </w:tc>
        <w:tc>
          <w:tcPr>
            <w:tcW w:type="dxa" w:w="1077"/>
            <w:tcBorders>
              <w:top w:val="single" w:sz="8" w:color="000000"/>
              <w:bottom w:val="single" w:sz="8" w:color="000000"/>
            </w:tcBorders>
          </w:tcPr>
          <w:p>
            <w:pPr>
              <w:spacing w:after="20" w:before="20" w:line="264" w:lineRule="auto"/>
              <w:jc w:val="center"/>
            </w:pPr>
            <w:r/>
            <w:r>
              <w:rPr>
                <w:rFonts w:ascii="바탕" w:hAnsi="바탕" w:eastAsia="바탕"/>
                <w:b/>
                <w:i w:val="0"/>
                <w:sz w:val="18"/>
              </w:rPr>
              <w:t>F</w:t>
            </w:r>
          </w:p>
        </w:tc>
        <w:tc>
          <w:tcPr>
            <w:tcW w:type="dxa" w:w="1304"/>
            <w:tcBorders>
              <w:top w:val="single" w:sz="8" w:color="000000"/>
              <w:bottom w:val="single" w:sz="8" w:color="000000"/>
            </w:tcBorders>
          </w:tcPr>
          <w:p>
            <w:pPr>
              <w:spacing w:after="20" w:before="20" w:line="264" w:lineRule="auto"/>
              <w:jc w:val="center"/>
            </w:pPr>
            <w:r/>
            <w:r>
              <w:rPr>
                <w:rFonts w:ascii="바탕" w:hAnsi="바탕" w:eastAsia="바탕"/>
                <w:b/>
                <w:i w:val="0"/>
                <w:sz w:val="18"/>
              </w:rPr>
              <w:t>p</w:t>
            </w:r>
          </w:p>
        </w:tc>
        <w:tc>
          <w:tcPr>
            <w:tcW w:type="dxa" w:w="1474"/>
            <w:tcBorders>
              <w:top w:val="single" w:sz="8" w:color="000000"/>
              <w:bottom w:val="single" w:sz="8" w:color="000000"/>
            </w:tcBorders>
          </w:tcPr>
          <w:p>
            <w:pPr>
              <w:spacing w:after="20" w:before="20" w:line="264" w:lineRule="auto"/>
              <w:jc w:val="center"/>
            </w:pPr>
            <w:r/>
            <w:r>
              <w:rPr>
                <w:rFonts w:ascii="바탕" w:hAnsi="바탕" w:eastAsia="바탕"/>
                <w:b/>
                <w:i w:val="0"/>
                <w:sz w:val="18"/>
              </w:rPr>
              <w:t>partial η²</w:t>
            </w:r>
          </w:p>
        </w:tc>
        <w:tc>
          <w:tcPr>
            <w:tcW w:type="dxa" w:w="1134"/>
            <w:tcBorders>
              <w:top w:val="single" w:sz="8" w:color="000000"/>
              <w:bottom w:val="single" w:sz="8" w:color="000000"/>
            </w:tcBorders>
          </w:tcPr>
          <w:p>
            <w:pPr>
              <w:spacing w:after="20" w:before="20" w:line="264" w:lineRule="auto"/>
              <w:jc w:val="center"/>
            </w:pPr>
            <w:r/>
            <w:r>
              <w:rPr>
                <w:rFonts w:ascii="바탕" w:hAnsi="바탕" w:eastAsia="바탕"/>
                <w:b/>
                <w:i w:val="0"/>
                <w:sz w:val="18"/>
              </w:rPr>
              <w:t>ES</w:t>
            </w:r>
          </w:p>
        </w:tc>
      </w:tr>
      <w:tr>
        <w:tc>
          <w:tcPr>
            <w:tcW w:type="dxa" w:w="1701"/>
          </w:tcPr>
          <w:p>
            <w:pPr>
              <w:spacing w:after="20" w:before="20" w:line="264" w:lineRule="auto"/>
              <w:jc w:val="center"/>
            </w:pPr>
            <w:r/>
            <w:r>
              <w:rPr>
                <w:rFonts w:ascii="바탕" w:hAnsi="바탕" w:eastAsia="바탕"/>
                <w:b w:val="0"/>
                <w:i w:val="0"/>
                <w:sz w:val="18"/>
              </w:rPr>
              <w:t>CVA</w:t>
            </w:r>
          </w:p>
        </w:tc>
        <w:tc>
          <w:tcPr>
            <w:tcW w:type="dxa" w:w="1474"/>
          </w:tcPr>
          <w:p>
            <w:pPr>
              <w:spacing w:after="20" w:before="20" w:line="264" w:lineRule="auto"/>
              <w:jc w:val="center"/>
            </w:pPr>
            <w:r/>
            <w:r>
              <w:rPr>
                <w:rFonts w:ascii="바탕" w:hAnsi="바탕" w:eastAsia="바탕"/>
                <w:b w:val="0"/>
                <w:i w:val="0"/>
                <w:sz w:val="18"/>
              </w:rPr>
              <w:t>Time</w:t>
            </w:r>
          </w:p>
        </w:tc>
        <w:tc>
          <w:tcPr>
            <w:tcW w:type="dxa" w:w="1077"/>
          </w:tcPr>
          <w:p>
            <w:pPr>
              <w:spacing w:after="20" w:before="20" w:line="264" w:lineRule="auto"/>
              <w:jc w:val="center"/>
            </w:pPr>
            <w:r/>
            <w:r>
              <w:rPr>
                <w:rFonts w:ascii="바탕" w:hAnsi="바탕" w:eastAsia="바탕"/>
                <w:b w:val="0"/>
                <w:i w:val="0"/>
                <w:sz w:val="18"/>
              </w:rPr>
              <w:t>125.41</w:t>
            </w:r>
          </w:p>
        </w:tc>
        <w:tc>
          <w:tcPr>
            <w:tcW w:type="dxa" w:w="1304"/>
          </w:tcPr>
          <w:p>
            <w:pPr>
              <w:spacing w:after="20" w:before="20" w:line="264" w:lineRule="auto"/>
              <w:jc w:val="center"/>
            </w:pPr>
            <w:r/>
            <w:r>
              <w:rPr>
                <w:rFonts w:ascii="바탕" w:hAnsi="바탕" w:eastAsia="바탕"/>
                <w:b w:val="0"/>
                <w:i w:val="0"/>
                <w:sz w:val="18"/>
              </w:rPr>
              <w:t>&lt;0.001***</w:t>
            </w:r>
          </w:p>
        </w:tc>
        <w:tc>
          <w:tcPr>
            <w:tcW w:type="dxa" w:w="1474"/>
          </w:tcPr>
          <w:p>
            <w:pPr>
              <w:spacing w:after="20" w:before="20" w:line="264" w:lineRule="auto"/>
              <w:jc w:val="center"/>
            </w:pPr>
            <w:r/>
            <w:r>
              <w:rPr>
                <w:rFonts w:ascii="바탕" w:hAnsi="바탕" w:eastAsia="바탕"/>
                <w:b w:val="0"/>
                <w:i w:val="0"/>
                <w:sz w:val="18"/>
              </w:rPr>
              <w:t>0.797</w:t>
            </w:r>
          </w:p>
        </w:tc>
        <w:tc>
          <w:tcPr>
            <w:tcW w:type="dxa" w:w="1134"/>
          </w:tcPr>
          <w:p>
            <w:pPr>
              <w:spacing w:after="20" w:before="20" w:line="264" w:lineRule="auto"/>
              <w:jc w:val="center"/>
            </w:pPr>
            <w:r/>
            <w:r>
              <w:rPr>
                <w:rFonts w:ascii="바탕" w:hAnsi="바탕" w:eastAsia="바탕"/>
                <w:b w:val="0"/>
                <w:i w:val="0"/>
                <w:sz w:val="18"/>
              </w:rPr>
              <w:t>large</w:t>
            </w:r>
          </w:p>
        </w:tc>
      </w:tr>
      <w:tr>
        <w:tc>
          <w:tcPr>
            <w:tcW w:type="dxa" w:w="1701"/>
          </w:tcPr>
          <w:p>
            <w:pPr>
              <w:spacing w:after="20" w:before="20" w:line="264" w:lineRule="auto"/>
              <w:jc w:val="center"/>
            </w:pPr>
            <w:r/>
            <w:r>
              <w:rPr>
                <w:rFonts w:ascii="바탕" w:hAnsi="바탕" w:eastAsia="바탕"/>
                <w:b w:val="0"/>
                <w:i w:val="0"/>
                <w:sz w:val="18"/>
              </w:rPr>
              <w:t>CVA</w:t>
            </w:r>
          </w:p>
        </w:tc>
        <w:tc>
          <w:tcPr>
            <w:tcW w:type="dxa" w:w="1474"/>
          </w:tcPr>
          <w:p>
            <w:pPr>
              <w:spacing w:after="20" w:before="20" w:line="264" w:lineRule="auto"/>
              <w:jc w:val="center"/>
            </w:pPr>
            <w:r/>
            <w:r>
              <w:rPr>
                <w:rFonts w:ascii="바탕" w:hAnsi="바탕" w:eastAsia="바탕"/>
                <w:b w:val="0"/>
                <w:i w:val="0"/>
                <w:sz w:val="18"/>
              </w:rPr>
              <w:t>Group</w:t>
            </w:r>
          </w:p>
        </w:tc>
        <w:tc>
          <w:tcPr>
            <w:tcW w:type="dxa" w:w="1077"/>
          </w:tcPr>
          <w:p>
            <w:pPr>
              <w:spacing w:after="20" w:before="20" w:line="264" w:lineRule="auto"/>
              <w:jc w:val="center"/>
            </w:pPr>
            <w:r/>
            <w:r>
              <w:rPr>
                <w:rFonts w:ascii="바탕" w:hAnsi="바탕" w:eastAsia="바탕"/>
                <w:b w:val="0"/>
                <w:i w:val="0"/>
                <w:sz w:val="18"/>
              </w:rPr>
              <w:t>0.02</w:t>
            </w:r>
          </w:p>
        </w:tc>
        <w:tc>
          <w:tcPr>
            <w:tcW w:type="dxa" w:w="1304"/>
          </w:tcPr>
          <w:p>
            <w:pPr>
              <w:spacing w:after="20" w:before="20" w:line="264" w:lineRule="auto"/>
              <w:jc w:val="center"/>
            </w:pPr>
            <w:r/>
            <w:r>
              <w:rPr>
                <w:rFonts w:ascii="바탕" w:hAnsi="바탕" w:eastAsia="바탕"/>
                <w:b w:val="0"/>
                <w:i w:val="0"/>
                <w:sz w:val="18"/>
              </w:rPr>
              <w:t>0.877n.s.</w:t>
            </w:r>
          </w:p>
        </w:tc>
        <w:tc>
          <w:tcPr>
            <w:tcW w:type="dxa" w:w="1474"/>
          </w:tcPr>
          <w:p>
            <w:pPr>
              <w:spacing w:after="20" w:before="20" w:line="264" w:lineRule="auto"/>
              <w:jc w:val="center"/>
            </w:pPr>
            <w:r/>
            <w:r>
              <w:rPr>
                <w:rFonts w:ascii="바탕" w:hAnsi="바탕" w:eastAsia="바탕"/>
                <w:b w:val="0"/>
                <w:i w:val="0"/>
                <w:sz w:val="18"/>
              </w:rPr>
              <w:t>0.001</w:t>
            </w:r>
          </w:p>
        </w:tc>
        <w:tc>
          <w:tcPr>
            <w:tcW w:type="dxa" w:w="1134"/>
          </w:tcPr>
          <w:p>
            <w:pPr>
              <w:spacing w:after="20" w:before="20" w:line="264" w:lineRule="auto"/>
              <w:jc w:val="center"/>
            </w:pPr>
            <w:r/>
            <w:r>
              <w:rPr>
                <w:rFonts w:ascii="바탕" w:hAnsi="바탕" w:eastAsia="바탕"/>
                <w:b w:val="0"/>
                <w:i w:val="0"/>
                <w:sz w:val="18"/>
              </w:rPr>
              <w:t>—</w:t>
            </w:r>
          </w:p>
        </w:tc>
      </w:tr>
      <w:tr>
        <w:tc>
          <w:tcPr>
            <w:tcW w:type="dxa" w:w="1701"/>
          </w:tcPr>
          <w:p>
            <w:pPr>
              <w:spacing w:after="20" w:before="20" w:line="264" w:lineRule="auto"/>
              <w:jc w:val="center"/>
            </w:pPr>
            <w:r/>
            <w:r>
              <w:rPr>
                <w:rFonts w:ascii="바탕" w:hAnsi="바탕" w:eastAsia="바탕"/>
                <w:b w:val="0"/>
                <w:i w:val="0"/>
                <w:sz w:val="18"/>
              </w:rPr>
              <w:t>CVA</w:t>
            </w:r>
          </w:p>
        </w:tc>
        <w:tc>
          <w:tcPr>
            <w:tcW w:type="dxa" w:w="1474"/>
          </w:tcPr>
          <w:p>
            <w:pPr>
              <w:spacing w:after="20" w:before="20" w:line="264" w:lineRule="auto"/>
              <w:jc w:val="center"/>
            </w:pPr>
            <w:r/>
            <w:r>
              <w:rPr>
                <w:rFonts w:ascii="바탕" w:hAnsi="바탕" w:eastAsia="바탕"/>
                <w:b w:val="0"/>
                <w:i w:val="0"/>
                <w:sz w:val="18"/>
              </w:rPr>
              <w:t>Group × Time</w:t>
            </w:r>
          </w:p>
        </w:tc>
        <w:tc>
          <w:tcPr>
            <w:tcW w:type="dxa" w:w="1077"/>
          </w:tcPr>
          <w:p>
            <w:pPr>
              <w:spacing w:after="20" w:before="20" w:line="264" w:lineRule="auto"/>
              <w:jc w:val="center"/>
            </w:pPr>
            <w:r/>
            <w:r>
              <w:rPr>
                <w:rFonts w:ascii="바탕" w:hAnsi="바탕" w:eastAsia="바탕"/>
                <w:b w:val="0"/>
                <w:i w:val="0"/>
                <w:sz w:val="18"/>
              </w:rPr>
              <w:t>1.41</w:t>
            </w:r>
          </w:p>
        </w:tc>
        <w:tc>
          <w:tcPr>
            <w:tcW w:type="dxa" w:w="1304"/>
          </w:tcPr>
          <w:p>
            <w:pPr>
              <w:spacing w:after="20" w:before="20" w:line="264" w:lineRule="auto"/>
              <w:jc w:val="center"/>
            </w:pPr>
            <w:r/>
            <w:r>
              <w:rPr>
                <w:rFonts w:ascii="바탕" w:hAnsi="바탕" w:eastAsia="바탕"/>
                <w:b w:val="0"/>
                <w:i w:val="0"/>
                <w:sz w:val="18"/>
              </w:rPr>
              <w:t>0.244n.s.</w:t>
            </w:r>
          </w:p>
        </w:tc>
        <w:tc>
          <w:tcPr>
            <w:tcW w:type="dxa" w:w="1474"/>
          </w:tcPr>
          <w:p>
            <w:pPr>
              <w:spacing w:after="20" w:before="20" w:line="264" w:lineRule="auto"/>
              <w:jc w:val="center"/>
            </w:pPr>
            <w:r/>
            <w:r>
              <w:rPr>
                <w:rFonts w:ascii="바탕" w:hAnsi="바탕" w:eastAsia="바탕"/>
                <w:b w:val="0"/>
                <w:i w:val="0"/>
                <w:sz w:val="18"/>
              </w:rPr>
              <w:t>0.042</w:t>
            </w:r>
          </w:p>
        </w:tc>
        <w:tc>
          <w:tcPr>
            <w:tcW w:type="dxa" w:w="1134"/>
          </w:tcPr>
          <w:p>
            <w:pPr>
              <w:spacing w:after="20" w:before="20" w:line="264" w:lineRule="auto"/>
              <w:jc w:val="center"/>
            </w:pPr>
            <w:r/>
            <w:r>
              <w:rPr>
                <w:rFonts w:ascii="바탕" w:hAnsi="바탕" w:eastAsia="바탕"/>
                <w:b w:val="0"/>
                <w:i w:val="0"/>
                <w:sz w:val="18"/>
              </w:rPr>
              <w:t>small</w:t>
            </w:r>
          </w:p>
        </w:tc>
      </w:tr>
      <w:tr>
        <w:tc>
          <w:tcPr>
            <w:tcW w:type="dxa" w:w="1701"/>
          </w:tcPr>
          <w:p>
            <w:pPr>
              <w:spacing w:after="20" w:before="20" w:line="264" w:lineRule="auto"/>
              <w:jc w:val="left"/>
            </w:pPr>
            <w:r/>
            <w:r>
              <w:rPr>
                <w:rFonts w:ascii="바탕" w:hAnsi="바탕" w:eastAsia="바탕"/>
                <w:b w:val="0"/>
                <w:i w:val="0"/>
                <w:sz w:val="18"/>
              </w:rPr>
              <w:t>Flexion</w:t>
            </w:r>
          </w:p>
        </w:tc>
        <w:tc>
          <w:tcPr>
            <w:tcW w:type="dxa" w:w="1474"/>
          </w:tcPr>
          <w:p>
            <w:pPr>
              <w:spacing w:after="20" w:before="20" w:line="264" w:lineRule="auto"/>
              <w:jc w:val="center"/>
            </w:pPr>
            <w:r/>
            <w:r>
              <w:rPr>
                <w:rFonts w:ascii="바탕" w:hAnsi="바탕" w:eastAsia="바탕"/>
                <w:b w:val="0"/>
                <w:i w:val="0"/>
                <w:sz w:val="18"/>
              </w:rPr>
              <w:t>Time</w:t>
            </w:r>
          </w:p>
        </w:tc>
        <w:tc>
          <w:tcPr>
            <w:tcW w:type="dxa" w:w="1077"/>
          </w:tcPr>
          <w:p>
            <w:pPr>
              <w:spacing w:after="20" w:before="20" w:line="264" w:lineRule="auto"/>
              <w:jc w:val="center"/>
            </w:pPr>
            <w:r/>
            <w:r>
              <w:rPr>
                <w:rFonts w:ascii="바탕" w:hAnsi="바탕" w:eastAsia="바탕"/>
                <w:b w:val="0"/>
                <w:i w:val="0"/>
                <w:sz w:val="18"/>
              </w:rPr>
              <w:t>3.01</w:t>
            </w:r>
          </w:p>
        </w:tc>
        <w:tc>
          <w:tcPr>
            <w:tcW w:type="dxa" w:w="1304"/>
          </w:tcPr>
          <w:p>
            <w:pPr>
              <w:spacing w:after="20" w:before="20" w:line="264" w:lineRule="auto"/>
              <w:jc w:val="center"/>
            </w:pPr>
            <w:r/>
            <w:r>
              <w:rPr>
                <w:rFonts w:ascii="바탕" w:hAnsi="바탕" w:eastAsia="바탕"/>
                <w:b w:val="0"/>
                <w:i w:val="0"/>
                <w:sz w:val="18"/>
              </w:rPr>
              <w:t>0.093n.s.</w:t>
            </w:r>
          </w:p>
        </w:tc>
        <w:tc>
          <w:tcPr>
            <w:tcW w:type="dxa" w:w="1474"/>
          </w:tcPr>
          <w:p>
            <w:pPr>
              <w:spacing w:after="20" w:before="20" w:line="264" w:lineRule="auto"/>
              <w:jc w:val="center"/>
            </w:pPr>
            <w:r/>
            <w:r>
              <w:rPr>
                <w:rFonts w:ascii="바탕" w:hAnsi="바탕" w:eastAsia="바탕"/>
                <w:b w:val="0"/>
                <w:i w:val="0"/>
                <w:sz w:val="18"/>
              </w:rPr>
              <w:t>0.086</w:t>
            </w:r>
          </w:p>
        </w:tc>
        <w:tc>
          <w:tcPr>
            <w:tcW w:type="dxa" w:w="1134"/>
          </w:tcPr>
          <w:p>
            <w:pPr>
              <w:spacing w:after="20" w:before="20" w:line="264" w:lineRule="auto"/>
              <w:jc w:val="center"/>
            </w:pPr>
            <w:r/>
            <w:r>
              <w:rPr>
                <w:rFonts w:ascii="바탕" w:hAnsi="바탕" w:eastAsia="바탕"/>
                <w:b w:val="0"/>
                <w:i w:val="0"/>
                <w:sz w:val="18"/>
              </w:rPr>
              <w:t>medium</w:t>
            </w:r>
          </w:p>
        </w:tc>
      </w:tr>
      <w:tr>
        <w:tc>
          <w:tcPr>
            <w:tcW w:type="dxa" w:w="1701"/>
          </w:tcPr>
          <w:p>
            <w:pPr>
              <w:spacing w:after="20" w:before="20" w:line="264" w:lineRule="auto"/>
              <w:jc w:val="left"/>
            </w:pPr>
            <w:r/>
            <w:r>
              <w:rPr>
                <w:rFonts w:ascii="바탕" w:hAnsi="바탕" w:eastAsia="바탕"/>
                <w:b w:val="0"/>
                <w:i w:val="0"/>
                <w:sz w:val="18"/>
              </w:rPr>
              <w:t>Flexion</w:t>
            </w:r>
          </w:p>
        </w:tc>
        <w:tc>
          <w:tcPr>
            <w:tcW w:type="dxa" w:w="1474"/>
          </w:tcPr>
          <w:p>
            <w:pPr>
              <w:spacing w:after="20" w:before="20" w:line="264" w:lineRule="auto"/>
              <w:jc w:val="center"/>
            </w:pPr>
            <w:r/>
            <w:r>
              <w:rPr>
                <w:rFonts w:ascii="바탕" w:hAnsi="바탕" w:eastAsia="바탕"/>
                <w:b w:val="0"/>
                <w:i w:val="0"/>
                <w:sz w:val="18"/>
              </w:rPr>
              <w:t>Group</w:t>
            </w:r>
          </w:p>
        </w:tc>
        <w:tc>
          <w:tcPr>
            <w:tcW w:type="dxa" w:w="1077"/>
          </w:tcPr>
          <w:p>
            <w:pPr>
              <w:spacing w:after="20" w:before="20" w:line="264" w:lineRule="auto"/>
              <w:jc w:val="center"/>
            </w:pPr>
            <w:r/>
            <w:r>
              <w:rPr>
                <w:rFonts w:ascii="바탕" w:hAnsi="바탕" w:eastAsia="바탕"/>
                <w:b w:val="0"/>
                <w:i w:val="0"/>
                <w:sz w:val="18"/>
              </w:rPr>
              <w:t>1.05</w:t>
            </w:r>
          </w:p>
        </w:tc>
        <w:tc>
          <w:tcPr>
            <w:tcW w:type="dxa" w:w="1304"/>
          </w:tcPr>
          <w:p>
            <w:pPr>
              <w:spacing w:after="20" w:before="20" w:line="264" w:lineRule="auto"/>
              <w:jc w:val="center"/>
            </w:pPr>
            <w:r/>
            <w:r>
              <w:rPr>
                <w:rFonts w:ascii="바탕" w:hAnsi="바탕" w:eastAsia="바탕"/>
                <w:b w:val="0"/>
                <w:i w:val="0"/>
                <w:sz w:val="18"/>
              </w:rPr>
              <w:t>0.313n.s.</w:t>
            </w:r>
          </w:p>
        </w:tc>
        <w:tc>
          <w:tcPr>
            <w:tcW w:type="dxa" w:w="1474"/>
          </w:tcPr>
          <w:p>
            <w:pPr>
              <w:spacing w:after="20" w:before="20" w:line="264" w:lineRule="auto"/>
              <w:jc w:val="center"/>
            </w:pPr>
            <w:r/>
            <w:r>
              <w:rPr>
                <w:rFonts w:ascii="바탕" w:hAnsi="바탕" w:eastAsia="바탕"/>
                <w:b w:val="0"/>
                <w:i w:val="0"/>
                <w:sz w:val="18"/>
              </w:rPr>
              <w:t>0.032</w:t>
            </w:r>
          </w:p>
        </w:tc>
        <w:tc>
          <w:tcPr>
            <w:tcW w:type="dxa" w:w="1134"/>
          </w:tcPr>
          <w:p>
            <w:pPr>
              <w:spacing w:after="20" w:before="20" w:line="264" w:lineRule="auto"/>
              <w:jc w:val="center"/>
            </w:pPr>
            <w:r/>
            <w:r>
              <w:rPr>
                <w:rFonts w:ascii="바탕" w:hAnsi="바탕" w:eastAsia="바탕"/>
                <w:b w:val="0"/>
                <w:i w:val="0"/>
                <w:sz w:val="18"/>
              </w:rPr>
              <w:t>small</w:t>
            </w:r>
          </w:p>
        </w:tc>
      </w:tr>
      <w:tr>
        <w:tc>
          <w:tcPr>
            <w:tcW w:type="dxa" w:w="1701"/>
          </w:tcPr>
          <w:p>
            <w:pPr>
              <w:spacing w:after="20" w:before="20" w:line="264" w:lineRule="auto"/>
              <w:jc w:val="left"/>
            </w:pPr>
            <w:r/>
            <w:r>
              <w:rPr>
                <w:rFonts w:ascii="바탕" w:hAnsi="바탕" w:eastAsia="바탕"/>
                <w:b w:val="0"/>
                <w:i w:val="0"/>
                <w:sz w:val="18"/>
              </w:rPr>
              <w:t>Flexion</w:t>
            </w:r>
          </w:p>
        </w:tc>
        <w:tc>
          <w:tcPr>
            <w:tcW w:type="dxa" w:w="1474"/>
          </w:tcPr>
          <w:p>
            <w:pPr>
              <w:spacing w:after="20" w:before="20" w:line="264" w:lineRule="auto"/>
              <w:jc w:val="center"/>
            </w:pPr>
            <w:r/>
            <w:r>
              <w:rPr>
                <w:rFonts w:ascii="바탕" w:hAnsi="바탕" w:eastAsia="바탕"/>
                <w:b w:val="0"/>
                <w:i w:val="0"/>
                <w:sz w:val="18"/>
              </w:rPr>
              <w:t>Group × Time</w:t>
            </w:r>
          </w:p>
        </w:tc>
        <w:tc>
          <w:tcPr>
            <w:tcW w:type="dxa" w:w="1077"/>
          </w:tcPr>
          <w:p>
            <w:pPr>
              <w:spacing w:after="20" w:before="20" w:line="264" w:lineRule="auto"/>
              <w:jc w:val="center"/>
            </w:pPr>
            <w:r/>
            <w:r>
              <w:rPr>
                <w:rFonts w:ascii="바탕" w:hAnsi="바탕" w:eastAsia="바탕"/>
                <w:b w:val="0"/>
                <w:i w:val="0"/>
                <w:sz w:val="18"/>
              </w:rPr>
              <w:t>0.14</w:t>
            </w:r>
          </w:p>
        </w:tc>
        <w:tc>
          <w:tcPr>
            <w:tcW w:type="dxa" w:w="1304"/>
          </w:tcPr>
          <w:p>
            <w:pPr>
              <w:spacing w:after="20" w:before="20" w:line="264" w:lineRule="auto"/>
              <w:jc w:val="center"/>
            </w:pPr>
            <w:r/>
            <w:r>
              <w:rPr>
                <w:rFonts w:ascii="바탕" w:hAnsi="바탕" w:eastAsia="바탕"/>
                <w:b w:val="0"/>
                <w:i w:val="0"/>
                <w:sz w:val="18"/>
              </w:rPr>
              <w:t>0.708n.s.</w:t>
            </w:r>
          </w:p>
        </w:tc>
        <w:tc>
          <w:tcPr>
            <w:tcW w:type="dxa" w:w="1474"/>
          </w:tcPr>
          <w:p>
            <w:pPr>
              <w:spacing w:after="20" w:before="20" w:line="264" w:lineRule="auto"/>
              <w:jc w:val="center"/>
            </w:pPr>
            <w:r/>
            <w:r>
              <w:rPr>
                <w:rFonts w:ascii="바탕" w:hAnsi="바탕" w:eastAsia="바탕"/>
                <w:b w:val="0"/>
                <w:i w:val="0"/>
                <w:sz w:val="18"/>
              </w:rPr>
              <w:t>0.004</w:t>
            </w:r>
          </w:p>
        </w:tc>
        <w:tc>
          <w:tcPr>
            <w:tcW w:type="dxa" w:w="1134"/>
          </w:tcPr>
          <w:p>
            <w:pPr>
              <w:spacing w:after="20" w:before="20" w:line="264" w:lineRule="auto"/>
              <w:jc w:val="center"/>
            </w:pPr>
            <w:r/>
            <w:r>
              <w:rPr>
                <w:rFonts w:ascii="바탕" w:hAnsi="바탕" w:eastAsia="바탕"/>
                <w:b w:val="0"/>
                <w:i w:val="0"/>
                <w:sz w:val="18"/>
              </w:rPr>
              <w:t>—</w:t>
            </w:r>
          </w:p>
        </w:tc>
      </w:tr>
      <w:tr>
        <w:tc>
          <w:tcPr>
            <w:tcW w:type="dxa" w:w="1701"/>
          </w:tcPr>
          <w:p>
            <w:pPr>
              <w:spacing w:after="20" w:before="20" w:line="264" w:lineRule="auto"/>
              <w:jc w:val="left"/>
            </w:pPr>
            <w:r/>
            <w:r>
              <w:rPr>
                <w:rFonts w:ascii="바탕" w:hAnsi="바탕" w:eastAsia="바탕"/>
                <w:b w:val="0"/>
                <w:i w:val="0"/>
                <w:sz w:val="18"/>
              </w:rPr>
              <w:t>Extension</w:t>
            </w:r>
          </w:p>
        </w:tc>
        <w:tc>
          <w:tcPr>
            <w:tcW w:type="dxa" w:w="1474"/>
          </w:tcPr>
          <w:p>
            <w:pPr>
              <w:spacing w:after="20" w:before="20" w:line="264" w:lineRule="auto"/>
              <w:jc w:val="center"/>
            </w:pPr>
            <w:r/>
            <w:r>
              <w:rPr>
                <w:rFonts w:ascii="바탕" w:hAnsi="바탕" w:eastAsia="바탕"/>
                <w:b w:val="0"/>
                <w:i w:val="0"/>
                <w:sz w:val="18"/>
              </w:rPr>
              <w:t>Time</w:t>
            </w:r>
          </w:p>
        </w:tc>
        <w:tc>
          <w:tcPr>
            <w:tcW w:type="dxa" w:w="1077"/>
          </w:tcPr>
          <w:p>
            <w:pPr>
              <w:spacing w:after="20" w:before="20" w:line="264" w:lineRule="auto"/>
              <w:jc w:val="center"/>
            </w:pPr>
            <w:r/>
            <w:r>
              <w:rPr>
                <w:rFonts w:ascii="바탕" w:hAnsi="바탕" w:eastAsia="바탕"/>
                <w:b w:val="0"/>
                <w:i w:val="0"/>
                <w:sz w:val="18"/>
              </w:rPr>
              <w:t>16.18</w:t>
            </w:r>
          </w:p>
        </w:tc>
        <w:tc>
          <w:tcPr>
            <w:tcW w:type="dxa" w:w="1304"/>
          </w:tcPr>
          <w:p>
            <w:pPr>
              <w:spacing w:after="20" w:before="20" w:line="264" w:lineRule="auto"/>
              <w:jc w:val="center"/>
            </w:pPr>
            <w:r/>
            <w:r>
              <w:rPr>
                <w:rFonts w:ascii="바탕" w:hAnsi="바탕" w:eastAsia="바탕"/>
                <w:b w:val="0"/>
                <w:i w:val="0"/>
                <w:sz w:val="18"/>
              </w:rPr>
              <w:t>&lt;0.001***</w:t>
            </w:r>
          </w:p>
        </w:tc>
        <w:tc>
          <w:tcPr>
            <w:tcW w:type="dxa" w:w="1474"/>
          </w:tcPr>
          <w:p>
            <w:pPr>
              <w:spacing w:after="20" w:before="20" w:line="264" w:lineRule="auto"/>
              <w:jc w:val="center"/>
            </w:pPr>
            <w:r/>
            <w:r>
              <w:rPr>
                <w:rFonts w:ascii="바탕" w:hAnsi="바탕" w:eastAsia="바탕"/>
                <w:b w:val="0"/>
                <w:i w:val="0"/>
                <w:sz w:val="18"/>
              </w:rPr>
              <w:t>0.336</w:t>
            </w:r>
          </w:p>
        </w:tc>
        <w:tc>
          <w:tcPr>
            <w:tcW w:type="dxa" w:w="1134"/>
          </w:tcPr>
          <w:p>
            <w:pPr>
              <w:spacing w:after="20" w:before="20" w:line="264" w:lineRule="auto"/>
              <w:jc w:val="center"/>
            </w:pPr>
            <w:r/>
            <w:r>
              <w:rPr>
                <w:rFonts w:ascii="바탕" w:hAnsi="바탕" w:eastAsia="바탕"/>
                <w:b w:val="0"/>
                <w:i w:val="0"/>
                <w:sz w:val="18"/>
              </w:rPr>
              <w:t>large</w:t>
            </w:r>
          </w:p>
        </w:tc>
      </w:tr>
      <w:tr>
        <w:tc>
          <w:tcPr>
            <w:tcW w:type="dxa" w:w="1701"/>
          </w:tcPr>
          <w:p>
            <w:pPr>
              <w:spacing w:after="20" w:before="20" w:line="264" w:lineRule="auto"/>
              <w:jc w:val="left"/>
            </w:pPr>
            <w:r/>
            <w:r>
              <w:rPr>
                <w:rFonts w:ascii="바탕" w:hAnsi="바탕" w:eastAsia="바탕"/>
                <w:b w:val="0"/>
                <w:i w:val="0"/>
                <w:sz w:val="18"/>
              </w:rPr>
              <w:t>Extension</w:t>
            </w:r>
          </w:p>
        </w:tc>
        <w:tc>
          <w:tcPr>
            <w:tcW w:type="dxa" w:w="1474"/>
          </w:tcPr>
          <w:p>
            <w:pPr>
              <w:spacing w:after="20" w:before="20" w:line="264" w:lineRule="auto"/>
              <w:jc w:val="center"/>
            </w:pPr>
            <w:r/>
            <w:r>
              <w:rPr>
                <w:rFonts w:ascii="바탕" w:hAnsi="바탕" w:eastAsia="바탕"/>
                <w:b w:val="0"/>
                <w:i w:val="0"/>
                <w:sz w:val="18"/>
              </w:rPr>
              <w:t>Group</w:t>
            </w:r>
          </w:p>
        </w:tc>
        <w:tc>
          <w:tcPr>
            <w:tcW w:type="dxa" w:w="1077"/>
          </w:tcPr>
          <w:p>
            <w:pPr>
              <w:spacing w:after="20" w:before="20" w:line="264" w:lineRule="auto"/>
              <w:jc w:val="center"/>
            </w:pPr>
            <w:r/>
            <w:r>
              <w:rPr>
                <w:rFonts w:ascii="바탕" w:hAnsi="바탕" w:eastAsia="바탕"/>
                <w:b w:val="0"/>
                <w:i w:val="0"/>
                <w:sz w:val="18"/>
              </w:rPr>
              <w:t>0.04</w:t>
            </w:r>
          </w:p>
        </w:tc>
        <w:tc>
          <w:tcPr>
            <w:tcW w:type="dxa" w:w="1304"/>
          </w:tcPr>
          <w:p>
            <w:pPr>
              <w:spacing w:after="20" w:before="20" w:line="264" w:lineRule="auto"/>
              <w:jc w:val="center"/>
            </w:pPr>
            <w:r/>
            <w:r>
              <w:rPr>
                <w:rFonts w:ascii="바탕" w:hAnsi="바탕" w:eastAsia="바탕"/>
                <w:b w:val="0"/>
                <w:i w:val="0"/>
                <w:sz w:val="18"/>
              </w:rPr>
              <w:t>0.837n.s.</w:t>
            </w:r>
          </w:p>
        </w:tc>
        <w:tc>
          <w:tcPr>
            <w:tcW w:type="dxa" w:w="1474"/>
          </w:tcPr>
          <w:p>
            <w:pPr>
              <w:spacing w:after="20" w:before="20" w:line="264" w:lineRule="auto"/>
              <w:jc w:val="center"/>
            </w:pPr>
            <w:r/>
            <w:r>
              <w:rPr>
                <w:rFonts w:ascii="바탕" w:hAnsi="바탕" w:eastAsia="바탕"/>
                <w:b w:val="0"/>
                <w:i w:val="0"/>
                <w:sz w:val="18"/>
              </w:rPr>
              <w:t>0.001</w:t>
            </w:r>
          </w:p>
        </w:tc>
        <w:tc>
          <w:tcPr>
            <w:tcW w:type="dxa" w:w="1134"/>
          </w:tcPr>
          <w:p>
            <w:pPr>
              <w:spacing w:after="20" w:before="20" w:line="264" w:lineRule="auto"/>
              <w:jc w:val="center"/>
            </w:pPr>
            <w:r/>
            <w:r>
              <w:rPr>
                <w:rFonts w:ascii="바탕" w:hAnsi="바탕" w:eastAsia="바탕"/>
                <w:b w:val="0"/>
                <w:i w:val="0"/>
                <w:sz w:val="18"/>
              </w:rPr>
              <w:t>—</w:t>
            </w:r>
          </w:p>
        </w:tc>
      </w:tr>
      <w:tr>
        <w:tc>
          <w:tcPr>
            <w:tcW w:type="dxa" w:w="1701"/>
          </w:tcPr>
          <w:p>
            <w:pPr>
              <w:spacing w:after="20" w:before="20" w:line="264" w:lineRule="auto"/>
              <w:jc w:val="left"/>
            </w:pPr>
            <w:r/>
            <w:r>
              <w:rPr>
                <w:rFonts w:ascii="바탕" w:hAnsi="바탕" w:eastAsia="바탕"/>
                <w:b w:val="0"/>
                <w:i w:val="0"/>
                <w:sz w:val="18"/>
              </w:rPr>
              <w:t>Extension</w:t>
            </w:r>
          </w:p>
        </w:tc>
        <w:tc>
          <w:tcPr>
            <w:tcW w:type="dxa" w:w="1474"/>
          </w:tcPr>
          <w:p>
            <w:pPr>
              <w:spacing w:after="20" w:before="20" w:line="264" w:lineRule="auto"/>
              <w:jc w:val="center"/>
            </w:pPr>
            <w:r/>
            <w:r>
              <w:rPr>
                <w:rFonts w:ascii="바탕" w:hAnsi="바탕" w:eastAsia="바탕"/>
                <w:b w:val="0"/>
                <w:i w:val="0"/>
                <w:sz w:val="18"/>
              </w:rPr>
              <w:t>Group × Time</w:t>
            </w:r>
          </w:p>
        </w:tc>
        <w:tc>
          <w:tcPr>
            <w:tcW w:type="dxa" w:w="1077"/>
          </w:tcPr>
          <w:p>
            <w:pPr>
              <w:spacing w:after="20" w:before="20" w:line="264" w:lineRule="auto"/>
              <w:jc w:val="center"/>
            </w:pPr>
            <w:r/>
            <w:r>
              <w:rPr>
                <w:rFonts w:ascii="바탕" w:hAnsi="바탕" w:eastAsia="바탕"/>
                <w:b w:val="0"/>
                <w:i w:val="0"/>
                <w:sz w:val="18"/>
              </w:rPr>
              <w:t>0.48</w:t>
            </w:r>
          </w:p>
        </w:tc>
        <w:tc>
          <w:tcPr>
            <w:tcW w:type="dxa" w:w="1304"/>
          </w:tcPr>
          <w:p>
            <w:pPr>
              <w:spacing w:after="20" w:before="20" w:line="264" w:lineRule="auto"/>
              <w:jc w:val="center"/>
            </w:pPr>
            <w:r/>
            <w:r>
              <w:rPr>
                <w:rFonts w:ascii="바탕" w:hAnsi="바탕" w:eastAsia="바탕"/>
                <w:b w:val="0"/>
                <w:i w:val="0"/>
                <w:sz w:val="18"/>
              </w:rPr>
              <w:t>0.493n.s.</w:t>
            </w:r>
          </w:p>
        </w:tc>
        <w:tc>
          <w:tcPr>
            <w:tcW w:type="dxa" w:w="1474"/>
          </w:tcPr>
          <w:p>
            <w:pPr>
              <w:spacing w:after="20" w:before="20" w:line="264" w:lineRule="auto"/>
              <w:jc w:val="center"/>
            </w:pPr>
            <w:r/>
            <w:r>
              <w:rPr>
                <w:rFonts w:ascii="바탕" w:hAnsi="바탕" w:eastAsia="바탕"/>
                <w:b w:val="0"/>
                <w:i w:val="0"/>
                <w:sz w:val="18"/>
              </w:rPr>
              <w:t>0.015</w:t>
            </w:r>
          </w:p>
        </w:tc>
        <w:tc>
          <w:tcPr>
            <w:tcW w:type="dxa" w:w="1134"/>
          </w:tcPr>
          <w:p>
            <w:pPr>
              <w:spacing w:after="20" w:before="20" w:line="264" w:lineRule="auto"/>
              <w:jc w:val="center"/>
            </w:pPr>
            <w:r/>
            <w:r>
              <w:rPr>
                <w:rFonts w:ascii="바탕" w:hAnsi="바탕" w:eastAsia="바탕"/>
                <w:b w:val="0"/>
                <w:i w:val="0"/>
                <w:sz w:val="18"/>
              </w:rPr>
              <w:t>small</w:t>
            </w:r>
          </w:p>
        </w:tc>
      </w:tr>
      <w:tr>
        <w:tc>
          <w:tcPr>
            <w:tcW w:type="dxa" w:w="1701"/>
          </w:tcPr>
          <w:p>
            <w:pPr>
              <w:spacing w:after="20" w:before="20" w:line="264" w:lineRule="auto"/>
              <w:jc w:val="left"/>
            </w:pPr>
            <w:r/>
            <w:r>
              <w:rPr>
                <w:rFonts w:ascii="바탕" w:hAnsi="바탕" w:eastAsia="바탕"/>
                <w:b w:val="0"/>
                <w:i w:val="0"/>
                <w:sz w:val="18"/>
              </w:rPr>
              <w:t>Lat. flexion (R)</w:t>
            </w:r>
          </w:p>
        </w:tc>
        <w:tc>
          <w:tcPr>
            <w:tcW w:type="dxa" w:w="1474"/>
          </w:tcPr>
          <w:p>
            <w:pPr>
              <w:spacing w:after="20" w:before="20" w:line="264" w:lineRule="auto"/>
              <w:jc w:val="center"/>
            </w:pPr>
            <w:r/>
            <w:r>
              <w:rPr>
                <w:rFonts w:ascii="바탕" w:hAnsi="바탕" w:eastAsia="바탕"/>
                <w:b w:val="0"/>
                <w:i w:val="0"/>
                <w:sz w:val="18"/>
              </w:rPr>
              <w:t>Time</w:t>
            </w:r>
          </w:p>
        </w:tc>
        <w:tc>
          <w:tcPr>
            <w:tcW w:type="dxa" w:w="1077"/>
          </w:tcPr>
          <w:p>
            <w:pPr>
              <w:spacing w:after="20" w:before="20" w:line="264" w:lineRule="auto"/>
              <w:jc w:val="center"/>
            </w:pPr>
            <w:r/>
            <w:r>
              <w:rPr>
                <w:rFonts w:ascii="바탕" w:hAnsi="바탕" w:eastAsia="바탕"/>
                <w:b w:val="0"/>
                <w:i w:val="0"/>
                <w:sz w:val="18"/>
              </w:rPr>
              <w:t>8.58</w:t>
            </w:r>
          </w:p>
        </w:tc>
        <w:tc>
          <w:tcPr>
            <w:tcW w:type="dxa" w:w="1304"/>
          </w:tcPr>
          <w:p>
            <w:pPr>
              <w:spacing w:after="20" w:before="20" w:line="264" w:lineRule="auto"/>
              <w:jc w:val="center"/>
            </w:pPr>
            <w:r/>
            <w:r>
              <w:rPr>
                <w:rFonts w:ascii="바탕" w:hAnsi="바탕" w:eastAsia="바탕"/>
                <w:b w:val="0"/>
                <w:i w:val="0"/>
                <w:sz w:val="18"/>
              </w:rPr>
              <w:t>0.006**</w:t>
            </w:r>
          </w:p>
        </w:tc>
        <w:tc>
          <w:tcPr>
            <w:tcW w:type="dxa" w:w="1474"/>
          </w:tcPr>
          <w:p>
            <w:pPr>
              <w:spacing w:after="20" w:before="20" w:line="264" w:lineRule="auto"/>
              <w:jc w:val="center"/>
            </w:pPr>
            <w:r/>
            <w:r>
              <w:rPr>
                <w:rFonts w:ascii="바탕" w:hAnsi="바탕" w:eastAsia="바탕"/>
                <w:b w:val="0"/>
                <w:i w:val="0"/>
                <w:sz w:val="18"/>
              </w:rPr>
              <w:t>0.212</w:t>
            </w:r>
          </w:p>
        </w:tc>
        <w:tc>
          <w:tcPr>
            <w:tcW w:type="dxa" w:w="1134"/>
          </w:tcPr>
          <w:p>
            <w:pPr>
              <w:spacing w:after="20" w:before="20" w:line="264" w:lineRule="auto"/>
              <w:jc w:val="center"/>
            </w:pPr>
            <w:r/>
            <w:r>
              <w:rPr>
                <w:rFonts w:ascii="바탕" w:hAnsi="바탕" w:eastAsia="바탕"/>
                <w:b w:val="0"/>
                <w:i w:val="0"/>
                <w:sz w:val="18"/>
              </w:rPr>
              <w:t>large</w:t>
            </w:r>
          </w:p>
        </w:tc>
      </w:tr>
      <w:tr>
        <w:tc>
          <w:tcPr>
            <w:tcW w:type="dxa" w:w="1701"/>
          </w:tcPr>
          <w:p>
            <w:pPr>
              <w:spacing w:after="20" w:before="20" w:line="264" w:lineRule="auto"/>
              <w:jc w:val="left"/>
            </w:pPr>
            <w:r/>
            <w:r>
              <w:rPr>
                <w:rFonts w:ascii="바탕" w:hAnsi="바탕" w:eastAsia="바탕"/>
                <w:b w:val="0"/>
                <w:i w:val="0"/>
                <w:sz w:val="18"/>
              </w:rPr>
              <w:t>Lat. flexion (R)</w:t>
            </w:r>
          </w:p>
        </w:tc>
        <w:tc>
          <w:tcPr>
            <w:tcW w:type="dxa" w:w="1474"/>
          </w:tcPr>
          <w:p>
            <w:pPr>
              <w:spacing w:after="20" w:before="20" w:line="264" w:lineRule="auto"/>
              <w:jc w:val="center"/>
            </w:pPr>
            <w:r/>
            <w:r>
              <w:rPr>
                <w:rFonts w:ascii="바탕" w:hAnsi="바탕" w:eastAsia="바탕"/>
                <w:b w:val="0"/>
                <w:i w:val="0"/>
                <w:sz w:val="18"/>
              </w:rPr>
              <w:t>Group</w:t>
            </w:r>
          </w:p>
        </w:tc>
        <w:tc>
          <w:tcPr>
            <w:tcW w:type="dxa" w:w="1077"/>
          </w:tcPr>
          <w:p>
            <w:pPr>
              <w:spacing w:after="20" w:before="20" w:line="264" w:lineRule="auto"/>
              <w:jc w:val="center"/>
            </w:pPr>
            <w:r/>
            <w:r>
              <w:rPr>
                <w:rFonts w:ascii="바탕" w:hAnsi="바탕" w:eastAsia="바탕"/>
                <w:b w:val="0"/>
                <w:i w:val="0"/>
                <w:sz w:val="18"/>
              </w:rPr>
              <w:t>0.00</w:t>
            </w:r>
          </w:p>
        </w:tc>
        <w:tc>
          <w:tcPr>
            <w:tcW w:type="dxa" w:w="1304"/>
          </w:tcPr>
          <w:p>
            <w:pPr>
              <w:spacing w:after="20" w:before="20" w:line="264" w:lineRule="auto"/>
              <w:jc w:val="center"/>
            </w:pPr>
            <w:r/>
            <w:r>
              <w:rPr>
                <w:rFonts w:ascii="바탕" w:hAnsi="바탕" w:eastAsia="바탕"/>
                <w:b w:val="0"/>
                <w:i w:val="0"/>
                <w:sz w:val="18"/>
              </w:rPr>
              <w:t>0.971n.s.</w:t>
            </w:r>
          </w:p>
        </w:tc>
        <w:tc>
          <w:tcPr>
            <w:tcW w:type="dxa" w:w="1474"/>
          </w:tcPr>
          <w:p>
            <w:pPr>
              <w:spacing w:after="20" w:before="20" w:line="264" w:lineRule="auto"/>
              <w:jc w:val="center"/>
            </w:pPr>
            <w:r/>
            <w:r>
              <w:rPr>
                <w:rFonts w:ascii="바탕" w:hAnsi="바탕" w:eastAsia="바탕"/>
                <w:b w:val="0"/>
                <w:i w:val="0"/>
                <w:sz w:val="18"/>
              </w:rPr>
              <w:t>0.000</w:t>
            </w:r>
          </w:p>
        </w:tc>
        <w:tc>
          <w:tcPr>
            <w:tcW w:type="dxa" w:w="1134"/>
          </w:tcPr>
          <w:p>
            <w:pPr>
              <w:spacing w:after="20" w:before="20" w:line="264" w:lineRule="auto"/>
              <w:jc w:val="center"/>
            </w:pPr>
            <w:r/>
            <w:r>
              <w:rPr>
                <w:rFonts w:ascii="바탕" w:hAnsi="바탕" w:eastAsia="바탕"/>
                <w:b w:val="0"/>
                <w:i w:val="0"/>
                <w:sz w:val="18"/>
              </w:rPr>
              <w:t>—</w:t>
            </w:r>
          </w:p>
        </w:tc>
      </w:tr>
      <w:tr>
        <w:tc>
          <w:tcPr>
            <w:tcW w:type="dxa" w:w="1701"/>
          </w:tcPr>
          <w:p>
            <w:pPr>
              <w:spacing w:after="20" w:before="20" w:line="264" w:lineRule="auto"/>
              <w:jc w:val="left"/>
            </w:pPr>
            <w:r/>
            <w:r>
              <w:rPr>
                <w:rFonts w:ascii="바탕" w:hAnsi="바탕" w:eastAsia="바탕"/>
                <w:b w:val="0"/>
                <w:i w:val="0"/>
                <w:sz w:val="18"/>
              </w:rPr>
              <w:t>Lat. flexion (R)</w:t>
            </w:r>
          </w:p>
        </w:tc>
        <w:tc>
          <w:tcPr>
            <w:tcW w:type="dxa" w:w="1474"/>
          </w:tcPr>
          <w:p>
            <w:pPr>
              <w:spacing w:after="20" w:before="20" w:line="264" w:lineRule="auto"/>
              <w:jc w:val="center"/>
            </w:pPr>
            <w:r/>
            <w:r>
              <w:rPr>
                <w:rFonts w:ascii="바탕" w:hAnsi="바탕" w:eastAsia="바탕"/>
                <w:b w:val="0"/>
                <w:i w:val="0"/>
                <w:sz w:val="18"/>
              </w:rPr>
              <w:t>Group × Time</w:t>
            </w:r>
          </w:p>
        </w:tc>
        <w:tc>
          <w:tcPr>
            <w:tcW w:type="dxa" w:w="1077"/>
          </w:tcPr>
          <w:p>
            <w:pPr>
              <w:spacing w:after="20" w:before="20" w:line="264" w:lineRule="auto"/>
              <w:jc w:val="center"/>
            </w:pPr>
            <w:r/>
            <w:r>
              <w:rPr>
                <w:rFonts w:ascii="바탕" w:hAnsi="바탕" w:eastAsia="바탕"/>
                <w:b w:val="0"/>
                <w:i w:val="0"/>
                <w:sz w:val="18"/>
              </w:rPr>
              <w:t>0.12</w:t>
            </w:r>
          </w:p>
        </w:tc>
        <w:tc>
          <w:tcPr>
            <w:tcW w:type="dxa" w:w="1304"/>
          </w:tcPr>
          <w:p>
            <w:pPr>
              <w:spacing w:after="20" w:before="20" w:line="264" w:lineRule="auto"/>
              <w:jc w:val="center"/>
            </w:pPr>
            <w:r/>
            <w:r>
              <w:rPr>
                <w:rFonts w:ascii="바탕" w:hAnsi="바탕" w:eastAsia="바탕"/>
                <w:b w:val="0"/>
                <w:i w:val="0"/>
                <w:sz w:val="18"/>
              </w:rPr>
              <w:t>0.735n.s.</w:t>
            </w:r>
          </w:p>
        </w:tc>
        <w:tc>
          <w:tcPr>
            <w:tcW w:type="dxa" w:w="1474"/>
          </w:tcPr>
          <w:p>
            <w:pPr>
              <w:spacing w:after="20" w:before="20" w:line="264" w:lineRule="auto"/>
              <w:jc w:val="center"/>
            </w:pPr>
            <w:r/>
            <w:r>
              <w:rPr>
                <w:rFonts w:ascii="바탕" w:hAnsi="바탕" w:eastAsia="바탕"/>
                <w:b w:val="0"/>
                <w:i w:val="0"/>
                <w:sz w:val="18"/>
              </w:rPr>
              <w:t>0.004</w:t>
            </w:r>
          </w:p>
        </w:tc>
        <w:tc>
          <w:tcPr>
            <w:tcW w:type="dxa" w:w="1134"/>
          </w:tcPr>
          <w:p>
            <w:pPr>
              <w:spacing w:after="20" w:before="20" w:line="264" w:lineRule="auto"/>
              <w:jc w:val="center"/>
            </w:pPr>
            <w:r/>
            <w:r>
              <w:rPr>
                <w:rFonts w:ascii="바탕" w:hAnsi="바탕" w:eastAsia="바탕"/>
                <w:b w:val="0"/>
                <w:i w:val="0"/>
                <w:sz w:val="18"/>
              </w:rPr>
              <w:t>—</w:t>
            </w:r>
          </w:p>
        </w:tc>
      </w:tr>
      <w:tr>
        <w:tc>
          <w:tcPr>
            <w:tcW w:type="dxa" w:w="1701"/>
          </w:tcPr>
          <w:p>
            <w:pPr>
              <w:spacing w:after="20" w:before="20" w:line="264" w:lineRule="auto"/>
              <w:jc w:val="left"/>
            </w:pPr>
            <w:r/>
            <w:r>
              <w:rPr>
                <w:rFonts w:ascii="바탕" w:hAnsi="바탕" w:eastAsia="바탕"/>
                <w:b w:val="0"/>
                <w:i w:val="0"/>
                <w:sz w:val="18"/>
              </w:rPr>
              <w:t>Lat. flexion (L)</w:t>
            </w:r>
          </w:p>
        </w:tc>
        <w:tc>
          <w:tcPr>
            <w:tcW w:type="dxa" w:w="1474"/>
          </w:tcPr>
          <w:p>
            <w:pPr>
              <w:spacing w:after="20" w:before="20" w:line="264" w:lineRule="auto"/>
              <w:jc w:val="center"/>
            </w:pPr>
            <w:r/>
            <w:r>
              <w:rPr>
                <w:rFonts w:ascii="바탕" w:hAnsi="바탕" w:eastAsia="바탕"/>
                <w:b w:val="0"/>
                <w:i w:val="0"/>
                <w:sz w:val="18"/>
              </w:rPr>
              <w:t>Time</w:t>
            </w:r>
          </w:p>
        </w:tc>
        <w:tc>
          <w:tcPr>
            <w:tcW w:type="dxa" w:w="1077"/>
          </w:tcPr>
          <w:p>
            <w:pPr>
              <w:spacing w:after="20" w:before="20" w:line="264" w:lineRule="auto"/>
              <w:jc w:val="center"/>
            </w:pPr>
            <w:r/>
            <w:r>
              <w:rPr>
                <w:rFonts w:ascii="바탕" w:hAnsi="바탕" w:eastAsia="바탕"/>
                <w:b w:val="0"/>
                <w:i w:val="0"/>
                <w:sz w:val="18"/>
              </w:rPr>
              <w:t>8.78</w:t>
            </w:r>
          </w:p>
        </w:tc>
        <w:tc>
          <w:tcPr>
            <w:tcW w:type="dxa" w:w="1304"/>
          </w:tcPr>
          <w:p>
            <w:pPr>
              <w:spacing w:after="20" w:before="20" w:line="264" w:lineRule="auto"/>
              <w:jc w:val="center"/>
            </w:pPr>
            <w:r/>
            <w:r>
              <w:rPr>
                <w:rFonts w:ascii="바탕" w:hAnsi="바탕" w:eastAsia="바탕"/>
                <w:b w:val="0"/>
                <w:i w:val="0"/>
                <w:sz w:val="18"/>
              </w:rPr>
              <w:t>0.006**</w:t>
            </w:r>
          </w:p>
        </w:tc>
        <w:tc>
          <w:tcPr>
            <w:tcW w:type="dxa" w:w="1474"/>
          </w:tcPr>
          <w:p>
            <w:pPr>
              <w:spacing w:after="20" w:before="20" w:line="264" w:lineRule="auto"/>
              <w:jc w:val="center"/>
            </w:pPr>
            <w:r/>
            <w:r>
              <w:rPr>
                <w:rFonts w:ascii="바탕" w:hAnsi="바탕" w:eastAsia="바탕"/>
                <w:b w:val="0"/>
                <w:i w:val="0"/>
                <w:sz w:val="18"/>
              </w:rPr>
              <w:t>0.215</w:t>
            </w:r>
          </w:p>
        </w:tc>
        <w:tc>
          <w:tcPr>
            <w:tcW w:type="dxa" w:w="1134"/>
          </w:tcPr>
          <w:p>
            <w:pPr>
              <w:spacing w:after="20" w:before="20" w:line="264" w:lineRule="auto"/>
              <w:jc w:val="center"/>
            </w:pPr>
            <w:r/>
            <w:r>
              <w:rPr>
                <w:rFonts w:ascii="바탕" w:hAnsi="바탕" w:eastAsia="바탕"/>
                <w:b w:val="0"/>
                <w:i w:val="0"/>
                <w:sz w:val="18"/>
              </w:rPr>
              <w:t>large</w:t>
            </w:r>
          </w:p>
        </w:tc>
      </w:tr>
      <w:tr>
        <w:tc>
          <w:tcPr>
            <w:tcW w:type="dxa" w:w="1701"/>
          </w:tcPr>
          <w:p>
            <w:pPr>
              <w:spacing w:after="20" w:before="20" w:line="264" w:lineRule="auto"/>
              <w:jc w:val="left"/>
            </w:pPr>
            <w:r/>
            <w:r>
              <w:rPr>
                <w:rFonts w:ascii="바탕" w:hAnsi="바탕" w:eastAsia="바탕"/>
                <w:b w:val="0"/>
                <w:i w:val="0"/>
                <w:sz w:val="18"/>
              </w:rPr>
              <w:t>Lat. flexion (L)</w:t>
            </w:r>
          </w:p>
        </w:tc>
        <w:tc>
          <w:tcPr>
            <w:tcW w:type="dxa" w:w="1474"/>
          </w:tcPr>
          <w:p>
            <w:pPr>
              <w:spacing w:after="20" w:before="20" w:line="264" w:lineRule="auto"/>
              <w:jc w:val="center"/>
            </w:pPr>
            <w:r/>
            <w:r>
              <w:rPr>
                <w:rFonts w:ascii="바탕" w:hAnsi="바탕" w:eastAsia="바탕"/>
                <w:b w:val="0"/>
                <w:i w:val="0"/>
                <w:sz w:val="18"/>
              </w:rPr>
              <w:t>Group</w:t>
            </w:r>
          </w:p>
        </w:tc>
        <w:tc>
          <w:tcPr>
            <w:tcW w:type="dxa" w:w="1077"/>
          </w:tcPr>
          <w:p>
            <w:pPr>
              <w:spacing w:after="20" w:before="20" w:line="264" w:lineRule="auto"/>
              <w:jc w:val="center"/>
            </w:pPr>
            <w:r/>
            <w:r>
              <w:rPr>
                <w:rFonts w:ascii="바탕" w:hAnsi="바탕" w:eastAsia="바탕"/>
                <w:b w:val="0"/>
                <w:i w:val="0"/>
                <w:sz w:val="18"/>
              </w:rPr>
              <w:t>0.16</w:t>
            </w:r>
          </w:p>
        </w:tc>
        <w:tc>
          <w:tcPr>
            <w:tcW w:type="dxa" w:w="1304"/>
          </w:tcPr>
          <w:p>
            <w:pPr>
              <w:spacing w:after="20" w:before="20" w:line="264" w:lineRule="auto"/>
              <w:jc w:val="center"/>
            </w:pPr>
            <w:r/>
            <w:r>
              <w:rPr>
                <w:rFonts w:ascii="바탕" w:hAnsi="바탕" w:eastAsia="바탕"/>
                <w:b w:val="0"/>
                <w:i w:val="0"/>
                <w:sz w:val="18"/>
              </w:rPr>
              <w:t>0.695n.s.</w:t>
            </w:r>
          </w:p>
        </w:tc>
        <w:tc>
          <w:tcPr>
            <w:tcW w:type="dxa" w:w="1474"/>
          </w:tcPr>
          <w:p>
            <w:pPr>
              <w:spacing w:after="20" w:before="20" w:line="264" w:lineRule="auto"/>
              <w:jc w:val="center"/>
            </w:pPr>
            <w:r/>
            <w:r>
              <w:rPr>
                <w:rFonts w:ascii="바탕" w:hAnsi="바탕" w:eastAsia="바탕"/>
                <w:b w:val="0"/>
                <w:i w:val="0"/>
                <w:sz w:val="18"/>
              </w:rPr>
              <w:t>0.005</w:t>
            </w:r>
          </w:p>
        </w:tc>
        <w:tc>
          <w:tcPr>
            <w:tcW w:type="dxa" w:w="1134"/>
          </w:tcPr>
          <w:p>
            <w:pPr>
              <w:spacing w:after="20" w:before="20" w:line="264" w:lineRule="auto"/>
              <w:jc w:val="center"/>
            </w:pPr>
            <w:r/>
            <w:r>
              <w:rPr>
                <w:rFonts w:ascii="바탕" w:hAnsi="바탕" w:eastAsia="바탕"/>
                <w:b w:val="0"/>
                <w:i w:val="0"/>
                <w:sz w:val="18"/>
              </w:rPr>
              <w:t>—</w:t>
            </w:r>
          </w:p>
        </w:tc>
      </w:tr>
      <w:tr>
        <w:tc>
          <w:tcPr>
            <w:tcW w:type="dxa" w:w="1701"/>
          </w:tcPr>
          <w:p>
            <w:pPr>
              <w:spacing w:after="20" w:before="20" w:line="264" w:lineRule="auto"/>
              <w:jc w:val="left"/>
            </w:pPr>
            <w:r/>
            <w:r>
              <w:rPr>
                <w:rFonts w:ascii="바탕" w:hAnsi="바탕" w:eastAsia="바탕"/>
                <w:b w:val="0"/>
                <w:i w:val="0"/>
                <w:sz w:val="18"/>
              </w:rPr>
              <w:t>Lat. flexion (L)</w:t>
            </w:r>
          </w:p>
        </w:tc>
        <w:tc>
          <w:tcPr>
            <w:tcW w:type="dxa" w:w="1474"/>
          </w:tcPr>
          <w:p>
            <w:pPr>
              <w:spacing w:after="20" w:before="20" w:line="264" w:lineRule="auto"/>
              <w:jc w:val="center"/>
            </w:pPr>
            <w:r/>
            <w:r>
              <w:rPr>
                <w:rFonts w:ascii="바탕" w:hAnsi="바탕" w:eastAsia="바탕"/>
                <w:b w:val="0"/>
                <w:i w:val="0"/>
                <w:sz w:val="18"/>
              </w:rPr>
              <w:t>Group × Time</w:t>
            </w:r>
          </w:p>
        </w:tc>
        <w:tc>
          <w:tcPr>
            <w:tcW w:type="dxa" w:w="1077"/>
          </w:tcPr>
          <w:p>
            <w:pPr>
              <w:spacing w:after="20" w:before="20" w:line="264" w:lineRule="auto"/>
              <w:jc w:val="center"/>
            </w:pPr>
            <w:r/>
            <w:r>
              <w:rPr>
                <w:rFonts w:ascii="바탕" w:hAnsi="바탕" w:eastAsia="바탕"/>
                <w:b w:val="0"/>
                <w:i w:val="0"/>
                <w:sz w:val="18"/>
              </w:rPr>
              <w:t>0.01</w:t>
            </w:r>
          </w:p>
        </w:tc>
        <w:tc>
          <w:tcPr>
            <w:tcW w:type="dxa" w:w="1304"/>
          </w:tcPr>
          <w:p>
            <w:pPr>
              <w:spacing w:after="20" w:before="20" w:line="264" w:lineRule="auto"/>
              <w:jc w:val="center"/>
            </w:pPr>
            <w:r/>
            <w:r>
              <w:rPr>
                <w:rFonts w:ascii="바탕" w:hAnsi="바탕" w:eastAsia="바탕"/>
                <w:b w:val="0"/>
                <w:i w:val="0"/>
                <w:sz w:val="18"/>
              </w:rPr>
              <w:t>0.944n.s.</w:t>
            </w:r>
          </w:p>
        </w:tc>
        <w:tc>
          <w:tcPr>
            <w:tcW w:type="dxa" w:w="1474"/>
          </w:tcPr>
          <w:p>
            <w:pPr>
              <w:spacing w:after="20" w:before="20" w:line="264" w:lineRule="auto"/>
              <w:jc w:val="center"/>
            </w:pPr>
            <w:r/>
            <w:r>
              <w:rPr>
                <w:rFonts w:ascii="바탕" w:hAnsi="바탕" w:eastAsia="바탕"/>
                <w:b w:val="0"/>
                <w:i w:val="0"/>
                <w:sz w:val="18"/>
              </w:rPr>
              <w:t>0.000</w:t>
            </w:r>
          </w:p>
        </w:tc>
        <w:tc>
          <w:tcPr>
            <w:tcW w:type="dxa" w:w="1134"/>
          </w:tcPr>
          <w:p>
            <w:pPr>
              <w:spacing w:after="20" w:before="20" w:line="264" w:lineRule="auto"/>
              <w:jc w:val="center"/>
            </w:pPr>
            <w:r/>
            <w:r>
              <w:rPr>
                <w:rFonts w:ascii="바탕" w:hAnsi="바탕" w:eastAsia="바탕"/>
                <w:b w:val="0"/>
                <w:i w:val="0"/>
                <w:sz w:val="18"/>
              </w:rPr>
              <w:t>—</w:t>
            </w:r>
          </w:p>
        </w:tc>
      </w:tr>
      <w:tr>
        <w:tc>
          <w:tcPr>
            <w:tcW w:type="dxa" w:w="1701"/>
          </w:tcPr>
          <w:p>
            <w:pPr>
              <w:spacing w:after="20" w:before="20" w:line="264" w:lineRule="auto"/>
              <w:jc w:val="left"/>
            </w:pPr>
            <w:r/>
            <w:r>
              <w:rPr>
                <w:rFonts w:ascii="바탕" w:hAnsi="바탕" w:eastAsia="바탕"/>
                <w:b w:val="0"/>
                <w:i w:val="0"/>
                <w:sz w:val="18"/>
              </w:rPr>
              <w:t>Rotation (R)</w:t>
            </w:r>
          </w:p>
        </w:tc>
        <w:tc>
          <w:tcPr>
            <w:tcW w:type="dxa" w:w="1474"/>
          </w:tcPr>
          <w:p>
            <w:pPr>
              <w:spacing w:after="20" w:before="20" w:line="264" w:lineRule="auto"/>
              <w:jc w:val="center"/>
            </w:pPr>
            <w:r/>
            <w:r>
              <w:rPr>
                <w:rFonts w:ascii="바탕" w:hAnsi="바탕" w:eastAsia="바탕"/>
                <w:b w:val="0"/>
                <w:i w:val="0"/>
                <w:sz w:val="18"/>
              </w:rPr>
              <w:t>Time</w:t>
            </w:r>
          </w:p>
        </w:tc>
        <w:tc>
          <w:tcPr>
            <w:tcW w:type="dxa" w:w="1077"/>
          </w:tcPr>
          <w:p>
            <w:pPr>
              <w:spacing w:after="20" w:before="20" w:line="264" w:lineRule="auto"/>
              <w:jc w:val="center"/>
            </w:pPr>
            <w:r/>
            <w:r>
              <w:rPr>
                <w:rFonts w:ascii="바탕" w:hAnsi="바탕" w:eastAsia="바탕"/>
                <w:b w:val="0"/>
                <w:i w:val="0"/>
                <w:sz w:val="18"/>
              </w:rPr>
              <w:t>34.91</w:t>
            </w:r>
          </w:p>
        </w:tc>
        <w:tc>
          <w:tcPr>
            <w:tcW w:type="dxa" w:w="1304"/>
          </w:tcPr>
          <w:p>
            <w:pPr>
              <w:spacing w:after="20" w:before="20" w:line="264" w:lineRule="auto"/>
              <w:jc w:val="center"/>
            </w:pPr>
            <w:r/>
            <w:r>
              <w:rPr>
                <w:rFonts w:ascii="바탕" w:hAnsi="바탕" w:eastAsia="바탕"/>
                <w:b w:val="0"/>
                <w:i w:val="0"/>
                <w:sz w:val="18"/>
              </w:rPr>
              <w:t>&lt;0.001***</w:t>
            </w:r>
          </w:p>
        </w:tc>
        <w:tc>
          <w:tcPr>
            <w:tcW w:type="dxa" w:w="1474"/>
          </w:tcPr>
          <w:p>
            <w:pPr>
              <w:spacing w:after="20" w:before="20" w:line="264" w:lineRule="auto"/>
              <w:jc w:val="center"/>
            </w:pPr>
            <w:r/>
            <w:r>
              <w:rPr>
                <w:rFonts w:ascii="바탕" w:hAnsi="바탕" w:eastAsia="바탕"/>
                <w:b w:val="0"/>
                <w:i w:val="0"/>
                <w:sz w:val="18"/>
              </w:rPr>
              <w:t>0.522</w:t>
            </w:r>
          </w:p>
        </w:tc>
        <w:tc>
          <w:tcPr>
            <w:tcW w:type="dxa" w:w="1134"/>
          </w:tcPr>
          <w:p>
            <w:pPr>
              <w:spacing w:after="20" w:before="20" w:line="264" w:lineRule="auto"/>
              <w:jc w:val="center"/>
            </w:pPr>
            <w:r/>
            <w:r>
              <w:rPr>
                <w:rFonts w:ascii="바탕" w:hAnsi="바탕" w:eastAsia="바탕"/>
                <w:b w:val="0"/>
                <w:i w:val="0"/>
                <w:sz w:val="18"/>
              </w:rPr>
              <w:t>large</w:t>
            </w:r>
          </w:p>
        </w:tc>
      </w:tr>
      <w:tr>
        <w:tc>
          <w:tcPr>
            <w:tcW w:type="dxa" w:w="1701"/>
          </w:tcPr>
          <w:p>
            <w:pPr>
              <w:spacing w:after="20" w:before="20" w:line="264" w:lineRule="auto"/>
              <w:jc w:val="left"/>
            </w:pPr>
            <w:r/>
            <w:r>
              <w:rPr>
                <w:rFonts w:ascii="바탕" w:hAnsi="바탕" w:eastAsia="바탕"/>
                <w:b w:val="0"/>
                <w:i w:val="0"/>
                <w:sz w:val="18"/>
              </w:rPr>
              <w:t>Rotation (R)</w:t>
            </w:r>
          </w:p>
        </w:tc>
        <w:tc>
          <w:tcPr>
            <w:tcW w:type="dxa" w:w="1474"/>
          </w:tcPr>
          <w:p>
            <w:pPr>
              <w:spacing w:after="20" w:before="20" w:line="264" w:lineRule="auto"/>
              <w:jc w:val="center"/>
            </w:pPr>
            <w:r/>
            <w:r>
              <w:rPr>
                <w:rFonts w:ascii="바탕" w:hAnsi="바탕" w:eastAsia="바탕"/>
                <w:b w:val="0"/>
                <w:i w:val="0"/>
                <w:sz w:val="18"/>
              </w:rPr>
              <w:t>Group</w:t>
            </w:r>
          </w:p>
        </w:tc>
        <w:tc>
          <w:tcPr>
            <w:tcW w:type="dxa" w:w="1077"/>
          </w:tcPr>
          <w:p>
            <w:pPr>
              <w:spacing w:after="20" w:before="20" w:line="264" w:lineRule="auto"/>
              <w:jc w:val="center"/>
            </w:pPr>
            <w:r/>
            <w:r>
              <w:rPr>
                <w:rFonts w:ascii="바탕" w:hAnsi="바탕" w:eastAsia="바탕"/>
                <w:b w:val="0"/>
                <w:i w:val="0"/>
                <w:sz w:val="18"/>
              </w:rPr>
              <w:t>0.64</w:t>
            </w:r>
          </w:p>
        </w:tc>
        <w:tc>
          <w:tcPr>
            <w:tcW w:type="dxa" w:w="1304"/>
          </w:tcPr>
          <w:p>
            <w:pPr>
              <w:spacing w:after="20" w:before="20" w:line="264" w:lineRule="auto"/>
              <w:jc w:val="center"/>
            </w:pPr>
            <w:r/>
            <w:r>
              <w:rPr>
                <w:rFonts w:ascii="바탕" w:hAnsi="바탕" w:eastAsia="바탕"/>
                <w:b w:val="0"/>
                <w:i w:val="0"/>
                <w:sz w:val="18"/>
              </w:rPr>
              <w:t>0.430n.s.</w:t>
            </w:r>
          </w:p>
        </w:tc>
        <w:tc>
          <w:tcPr>
            <w:tcW w:type="dxa" w:w="1474"/>
          </w:tcPr>
          <w:p>
            <w:pPr>
              <w:spacing w:after="20" w:before="20" w:line="264" w:lineRule="auto"/>
              <w:jc w:val="center"/>
            </w:pPr>
            <w:r/>
            <w:r>
              <w:rPr>
                <w:rFonts w:ascii="바탕" w:hAnsi="바탕" w:eastAsia="바탕"/>
                <w:b w:val="0"/>
                <w:i w:val="0"/>
                <w:sz w:val="18"/>
              </w:rPr>
              <w:t>0.020</w:t>
            </w:r>
          </w:p>
        </w:tc>
        <w:tc>
          <w:tcPr>
            <w:tcW w:type="dxa" w:w="1134"/>
          </w:tcPr>
          <w:p>
            <w:pPr>
              <w:spacing w:after="20" w:before="20" w:line="264" w:lineRule="auto"/>
              <w:jc w:val="center"/>
            </w:pPr>
            <w:r/>
            <w:r>
              <w:rPr>
                <w:rFonts w:ascii="바탕" w:hAnsi="바탕" w:eastAsia="바탕"/>
                <w:b w:val="0"/>
                <w:i w:val="0"/>
                <w:sz w:val="18"/>
              </w:rPr>
              <w:t>small</w:t>
            </w:r>
          </w:p>
        </w:tc>
      </w:tr>
      <w:tr>
        <w:tc>
          <w:tcPr>
            <w:tcW w:type="dxa" w:w="1701"/>
          </w:tcPr>
          <w:p>
            <w:pPr>
              <w:spacing w:after="20" w:before="20" w:line="264" w:lineRule="auto"/>
              <w:jc w:val="left"/>
            </w:pPr>
            <w:r/>
            <w:r>
              <w:rPr>
                <w:rFonts w:ascii="바탕" w:hAnsi="바탕" w:eastAsia="바탕"/>
                <w:b w:val="0"/>
                <w:i w:val="0"/>
                <w:sz w:val="18"/>
              </w:rPr>
              <w:t>Rotation (R)</w:t>
            </w:r>
          </w:p>
        </w:tc>
        <w:tc>
          <w:tcPr>
            <w:tcW w:type="dxa" w:w="1474"/>
          </w:tcPr>
          <w:p>
            <w:pPr>
              <w:spacing w:after="20" w:before="20" w:line="264" w:lineRule="auto"/>
              <w:jc w:val="center"/>
            </w:pPr>
            <w:r/>
            <w:r>
              <w:rPr>
                <w:rFonts w:ascii="바탕" w:hAnsi="바탕" w:eastAsia="바탕"/>
                <w:b w:val="0"/>
                <w:i w:val="0"/>
                <w:sz w:val="18"/>
              </w:rPr>
              <w:t>Group × Time</w:t>
            </w:r>
          </w:p>
        </w:tc>
        <w:tc>
          <w:tcPr>
            <w:tcW w:type="dxa" w:w="1077"/>
          </w:tcPr>
          <w:p>
            <w:pPr>
              <w:spacing w:after="20" w:before="20" w:line="264" w:lineRule="auto"/>
              <w:jc w:val="center"/>
            </w:pPr>
            <w:r/>
            <w:r>
              <w:rPr>
                <w:rFonts w:ascii="바탕" w:hAnsi="바탕" w:eastAsia="바탕"/>
                <w:b w:val="0"/>
                <w:i w:val="0"/>
                <w:sz w:val="18"/>
              </w:rPr>
              <w:t>2.84</w:t>
            </w:r>
          </w:p>
        </w:tc>
        <w:tc>
          <w:tcPr>
            <w:tcW w:type="dxa" w:w="1304"/>
          </w:tcPr>
          <w:p>
            <w:pPr>
              <w:spacing w:after="20" w:before="20" w:line="264" w:lineRule="auto"/>
              <w:jc w:val="center"/>
            </w:pPr>
            <w:r/>
            <w:r>
              <w:rPr>
                <w:rFonts w:ascii="바탕" w:hAnsi="바탕" w:eastAsia="바탕"/>
                <w:b w:val="0"/>
                <w:i w:val="0"/>
                <w:sz w:val="18"/>
              </w:rPr>
              <w:t>0.102n.s.</w:t>
            </w:r>
          </w:p>
        </w:tc>
        <w:tc>
          <w:tcPr>
            <w:tcW w:type="dxa" w:w="1474"/>
          </w:tcPr>
          <w:p>
            <w:pPr>
              <w:spacing w:after="20" w:before="20" w:line="264" w:lineRule="auto"/>
              <w:jc w:val="center"/>
            </w:pPr>
            <w:r/>
            <w:r>
              <w:rPr>
                <w:rFonts w:ascii="바탕" w:hAnsi="바탕" w:eastAsia="바탕"/>
                <w:b w:val="0"/>
                <w:i w:val="0"/>
                <w:sz w:val="18"/>
              </w:rPr>
              <w:t>0.082</w:t>
            </w:r>
          </w:p>
        </w:tc>
        <w:tc>
          <w:tcPr>
            <w:tcW w:type="dxa" w:w="1134"/>
          </w:tcPr>
          <w:p>
            <w:pPr>
              <w:spacing w:after="20" w:before="20" w:line="264" w:lineRule="auto"/>
              <w:jc w:val="center"/>
            </w:pPr>
            <w:r/>
            <w:r>
              <w:rPr>
                <w:rFonts w:ascii="바탕" w:hAnsi="바탕" w:eastAsia="바탕"/>
                <w:b w:val="0"/>
                <w:i w:val="0"/>
                <w:sz w:val="18"/>
              </w:rPr>
              <w:t>medium</w:t>
            </w:r>
          </w:p>
        </w:tc>
      </w:tr>
      <w:tr>
        <w:tc>
          <w:tcPr>
            <w:tcW w:type="dxa" w:w="1701"/>
          </w:tcPr>
          <w:p>
            <w:pPr>
              <w:spacing w:after="20" w:before="20" w:line="264" w:lineRule="auto"/>
              <w:jc w:val="left"/>
            </w:pPr>
            <w:r/>
            <w:r>
              <w:rPr>
                <w:rFonts w:ascii="바탕" w:hAnsi="바탕" w:eastAsia="바탕"/>
                <w:b w:val="0"/>
                <w:i w:val="0"/>
                <w:sz w:val="18"/>
              </w:rPr>
              <w:t>Rotation (L)</w:t>
            </w:r>
          </w:p>
        </w:tc>
        <w:tc>
          <w:tcPr>
            <w:tcW w:type="dxa" w:w="1474"/>
          </w:tcPr>
          <w:p>
            <w:pPr>
              <w:spacing w:after="20" w:before="20" w:line="264" w:lineRule="auto"/>
              <w:jc w:val="center"/>
            </w:pPr>
            <w:r/>
            <w:r>
              <w:rPr>
                <w:rFonts w:ascii="바탕" w:hAnsi="바탕" w:eastAsia="바탕"/>
                <w:b w:val="0"/>
                <w:i w:val="0"/>
                <w:sz w:val="18"/>
              </w:rPr>
              <w:t>Time</w:t>
            </w:r>
          </w:p>
        </w:tc>
        <w:tc>
          <w:tcPr>
            <w:tcW w:type="dxa" w:w="1077"/>
          </w:tcPr>
          <w:p>
            <w:pPr>
              <w:spacing w:after="20" w:before="20" w:line="264" w:lineRule="auto"/>
              <w:jc w:val="center"/>
            </w:pPr>
            <w:r/>
            <w:r>
              <w:rPr>
                <w:rFonts w:ascii="바탕" w:hAnsi="바탕" w:eastAsia="바탕"/>
                <w:b w:val="0"/>
                <w:i w:val="0"/>
                <w:sz w:val="18"/>
              </w:rPr>
              <w:t>59.34</w:t>
            </w:r>
          </w:p>
        </w:tc>
        <w:tc>
          <w:tcPr>
            <w:tcW w:type="dxa" w:w="1304"/>
          </w:tcPr>
          <w:p>
            <w:pPr>
              <w:spacing w:after="20" w:before="20" w:line="264" w:lineRule="auto"/>
              <w:jc w:val="center"/>
            </w:pPr>
            <w:r/>
            <w:r>
              <w:rPr>
                <w:rFonts w:ascii="바탕" w:hAnsi="바탕" w:eastAsia="바탕"/>
                <w:b w:val="0"/>
                <w:i w:val="0"/>
                <w:sz w:val="18"/>
              </w:rPr>
              <w:t>&lt;0.001***</w:t>
            </w:r>
          </w:p>
        </w:tc>
        <w:tc>
          <w:tcPr>
            <w:tcW w:type="dxa" w:w="1474"/>
          </w:tcPr>
          <w:p>
            <w:pPr>
              <w:spacing w:after="20" w:before="20" w:line="264" w:lineRule="auto"/>
              <w:jc w:val="center"/>
            </w:pPr>
            <w:r/>
            <w:r>
              <w:rPr>
                <w:rFonts w:ascii="바탕" w:hAnsi="바탕" w:eastAsia="바탕"/>
                <w:b w:val="0"/>
                <w:i w:val="0"/>
                <w:sz w:val="18"/>
              </w:rPr>
              <w:t>0.650</w:t>
            </w:r>
          </w:p>
        </w:tc>
        <w:tc>
          <w:tcPr>
            <w:tcW w:type="dxa" w:w="1134"/>
          </w:tcPr>
          <w:p>
            <w:pPr>
              <w:spacing w:after="20" w:before="20" w:line="264" w:lineRule="auto"/>
              <w:jc w:val="center"/>
            </w:pPr>
            <w:r/>
            <w:r>
              <w:rPr>
                <w:rFonts w:ascii="바탕" w:hAnsi="바탕" w:eastAsia="바탕"/>
                <w:b w:val="0"/>
                <w:i w:val="0"/>
                <w:sz w:val="18"/>
              </w:rPr>
              <w:t>large</w:t>
            </w:r>
          </w:p>
        </w:tc>
      </w:tr>
      <w:tr>
        <w:tc>
          <w:tcPr>
            <w:tcW w:type="dxa" w:w="1701"/>
          </w:tcPr>
          <w:p>
            <w:pPr>
              <w:spacing w:after="20" w:before="20" w:line="264" w:lineRule="auto"/>
              <w:jc w:val="left"/>
            </w:pPr>
            <w:r/>
            <w:r>
              <w:rPr>
                <w:rFonts w:ascii="바탕" w:hAnsi="바탕" w:eastAsia="바탕"/>
                <w:b w:val="0"/>
                <w:i w:val="0"/>
                <w:sz w:val="18"/>
              </w:rPr>
              <w:t>Rotation (L)</w:t>
            </w:r>
          </w:p>
        </w:tc>
        <w:tc>
          <w:tcPr>
            <w:tcW w:type="dxa" w:w="1474"/>
          </w:tcPr>
          <w:p>
            <w:pPr>
              <w:spacing w:after="20" w:before="20" w:line="264" w:lineRule="auto"/>
              <w:jc w:val="center"/>
            </w:pPr>
            <w:r/>
            <w:r>
              <w:rPr>
                <w:rFonts w:ascii="바탕" w:hAnsi="바탕" w:eastAsia="바탕"/>
                <w:b w:val="0"/>
                <w:i w:val="0"/>
                <w:sz w:val="18"/>
              </w:rPr>
              <w:t>Group</w:t>
            </w:r>
          </w:p>
        </w:tc>
        <w:tc>
          <w:tcPr>
            <w:tcW w:type="dxa" w:w="1077"/>
          </w:tcPr>
          <w:p>
            <w:pPr>
              <w:spacing w:after="20" w:before="20" w:line="264" w:lineRule="auto"/>
              <w:jc w:val="center"/>
            </w:pPr>
            <w:r/>
            <w:r>
              <w:rPr>
                <w:rFonts w:ascii="바탕" w:hAnsi="바탕" w:eastAsia="바탕"/>
                <w:b w:val="0"/>
                <w:i w:val="0"/>
                <w:sz w:val="18"/>
              </w:rPr>
              <w:t>0.19</w:t>
            </w:r>
          </w:p>
        </w:tc>
        <w:tc>
          <w:tcPr>
            <w:tcW w:type="dxa" w:w="1304"/>
          </w:tcPr>
          <w:p>
            <w:pPr>
              <w:spacing w:after="20" w:before="20" w:line="264" w:lineRule="auto"/>
              <w:jc w:val="center"/>
            </w:pPr>
            <w:r/>
            <w:r>
              <w:rPr>
                <w:rFonts w:ascii="바탕" w:hAnsi="바탕" w:eastAsia="바탕"/>
                <w:b w:val="0"/>
                <w:i w:val="0"/>
                <w:sz w:val="18"/>
              </w:rPr>
              <w:t>0.665n.s.</w:t>
            </w:r>
          </w:p>
        </w:tc>
        <w:tc>
          <w:tcPr>
            <w:tcW w:type="dxa" w:w="1474"/>
          </w:tcPr>
          <w:p>
            <w:pPr>
              <w:spacing w:after="20" w:before="20" w:line="264" w:lineRule="auto"/>
              <w:jc w:val="center"/>
            </w:pPr>
            <w:r/>
            <w:r>
              <w:rPr>
                <w:rFonts w:ascii="바탕" w:hAnsi="바탕" w:eastAsia="바탕"/>
                <w:b w:val="0"/>
                <w:i w:val="0"/>
                <w:sz w:val="18"/>
              </w:rPr>
              <w:t>0.006</w:t>
            </w:r>
          </w:p>
        </w:tc>
        <w:tc>
          <w:tcPr>
            <w:tcW w:type="dxa" w:w="1134"/>
          </w:tcPr>
          <w:p>
            <w:pPr>
              <w:spacing w:after="20" w:before="20" w:line="264" w:lineRule="auto"/>
              <w:jc w:val="center"/>
            </w:pPr>
            <w:r/>
            <w:r>
              <w:rPr>
                <w:rFonts w:ascii="바탕" w:hAnsi="바탕" w:eastAsia="바탕"/>
                <w:b w:val="0"/>
                <w:i w:val="0"/>
                <w:sz w:val="18"/>
              </w:rPr>
              <w:t>—</w:t>
            </w:r>
          </w:p>
        </w:tc>
      </w:tr>
      <w:tr>
        <w:tc>
          <w:tcPr>
            <w:tcW w:type="dxa" w:w="1701"/>
            <w:tcBorders>
              <w:bottom w:val="single" w:sz="8" w:color="000000"/>
            </w:tcBorders>
          </w:tcPr>
          <w:p>
            <w:pPr>
              <w:spacing w:after="20" w:before="20" w:line="264" w:lineRule="auto"/>
              <w:jc w:val="left"/>
            </w:pPr>
            <w:r/>
            <w:r>
              <w:rPr>
                <w:rFonts w:ascii="바탕" w:hAnsi="바탕" w:eastAsia="바탕"/>
                <w:b w:val="0"/>
                <w:i w:val="0"/>
                <w:sz w:val="18"/>
              </w:rPr>
              <w:t>Rotation (L)</w:t>
            </w:r>
          </w:p>
        </w:tc>
        <w:tc>
          <w:tcPr>
            <w:tcW w:type="dxa" w:w="1474"/>
            <w:tcBorders>
              <w:bottom w:val="single" w:sz="8" w:color="000000"/>
            </w:tcBorders>
          </w:tcPr>
          <w:p>
            <w:pPr>
              <w:spacing w:after="20" w:before="20" w:line="264" w:lineRule="auto"/>
              <w:jc w:val="center"/>
            </w:pPr>
            <w:r/>
            <w:r>
              <w:rPr>
                <w:rFonts w:ascii="바탕" w:hAnsi="바탕" w:eastAsia="바탕"/>
                <w:b w:val="0"/>
                <w:i w:val="0"/>
                <w:sz w:val="18"/>
              </w:rPr>
              <w:t>Group × Time</w:t>
            </w:r>
          </w:p>
        </w:tc>
        <w:tc>
          <w:tcPr>
            <w:tcW w:type="dxa" w:w="1077"/>
            <w:tcBorders>
              <w:bottom w:val="single" w:sz="8" w:color="000000"/>
            </w:tcBorders>
          </w:tcPr>
          <w:p>
            <w:pPr>
              <w:spacing w:after="20" w:before="20" w:line="264" w:lineRule="auto"/>
              <w:jc w:val="center"/>
            </w:pPr>
            <w:r/>
            <w:r>
              <w:rPr>
                <w:rFonts w:ascii="바탕" w:hAnsi="바탕" w:eastAsia="바탕"/>
                <w:b w:val="0"/>
                <w:i w:val="0"/>
                <w:sz w:val="18"/>
              </w:rPr>
              <w:t>1.82</w:t>
            </w:r>
          </w:p>
        </w:tc>
        <w:tc>
          <w:tcPr>
            <w:tcW w:type="dxa" w:w="1304"/>
            <w:tcBorders>
              <w:bottom w:val="single" w:sz="8" w:color="000000"/>
            </w:tcBorders>
          </w:tcPr>
          <w:p>
            <w:pPr>
              <w:spacing w:after="20" w:before="20" w:line="264" w:lineRule="auto"/>
              <w:jc w:val="center"/>
            </w:pPr>
            <w:r/>
            <w:r>
              <w:rPr>
                <w:rFonts w:ascii="바탕" w:hAnsi="바탕" w:eastAsia="바탕"/>
                <w:b w:val="0"/>
                <w:i w:val="0"/>
                <w:sz w:val="18"/>
              </w:rPr>
              <w:t>0.187n.s.</w:t>
            </w:r>
          </w:p>
        </w:tc>
        <w:tc>
          <w:tcPr>
            <w:tcW w:type="dxa" w:w="1474"/>
            <w:tcBorders>
              <w:bottom w:val="single" w:sz="8" w:color="000000"/>
            </w:tcBorders>
          </w:tcPr>
          <w:p>
            <w:pPr>
              <w:spacing w:after="20" w:before="20" w:line="264" w:lineRule="auto"/>
              <w:jc w:val="center"/>
            </w:pPr>
            <w:r/>
            <w:r>
              <w:rPr>
                <w:rFonts w:ascii="바탕" w:hAnsi="바탕" w:eastAsia="바탕"/>
                <w:b w:val="0"/>
                <w:i w:val="0"/>
                <w:sz w:val="18"/>
              </w:rPr>
              <w:t>0.054</w:t>
            </w:r>
          </w:p>
        </w:tc>
        <w:tc>
          <w:tcPr>
            <w:tcW w:type="dxa" w:w="1134"/>
            <w:tcBorders>
              <w:bottom w:val="single" w:sz="8" w:color="000000"/>
            </w:tcBorders>
          </w:tcPr>
          <w:p>
            <w:pPr>
              <w:spacing w:after="20" w:before="20" w:line="264" w:lineRule="auto"/>
              <w:jc w:val="center"/>
            </w:pPr>
            <w:r/>
            <w:r>
              <w:rPr>
                <w:rFonts w:ascii="바탕" w:hAnsi="바탕" w:eastAsia="바탕"/>
                <w:b w:val="0"/>
                <w:i w:val="0"/>
                <w:sz w:val="18"/>
              </w:rPr>
              <w:t>small</w:t>
            </w:r>
          </w:p>
        </w:tc>
      </w:tr>
    </w:tbl>
    <w:p>
      <w:pPr>
        <w:spacing w:before="20" w:after="60" w:line="264" w:lineRule="auto"/>
      </w:pPr>
      <w:r>
        <w:rPr>
          <w:rFonts w:ascii="바탕" w:hAnsi="바탕" w:eastAsia="바탕"/>
          <w:b w:val="0"/>
          <w:i w:val="0"/>
          <w:sz w:val="17"/>
        </w:rPr>
        <w:t>partial η²: 0.01 small, 0.06 medium, 0.14 large. n.s.: not significant. ES: effect size.</w:t>
      </w:r>
    </w:p>
    <w:p>
      <w:pPr>
        <w:spacing w:before="180" w:after="80" w:line="312" w:lineRule="auto"/>
      </w:pPr>
      <w:r>
        <w:rPr>
          <w:rFonts w:ascii="맑은 고딕" w:hAnsi="맑은 고딕" w:eastAsia="맑은 고딕"/>
          <w:b/>
          <w:i w:val="0"/>
          <w:sz w:val="22"/>
        </w:rPr>
        <w:t>4. 변화량의 군간 비교 및 임상적 개선</w:t>
      </w:r>
    </w:p>
    <w:p>
      <w:pPr>
        <w:spacing w:before="0" w:after="120" w:line="384" w:lineRule="auto"/>
        <w:ind w:firstLine="567"/>
      </w:pPr>
      <w:r>
        <w:rPr>
          <w:rFonts w:ascii="바탕" w:hAnsi="바탕" w:eastAsia="바탕"/>
          <w:b w:val="0"/>
          <w:i w:val="0"/>
          <w:sz w:val="20"/>
        </w:rPr>
        <w:t>중재 전·후 변화량의 군간 비교 결과는 Table 6과 같다. 모든 결과변수에서 변화량의 군간 차이는 통계적으로 유의하지 않았으며, 95% 신뢰구간이 모두 0을 포함하였다. 주요 결과변수인 CVA의 변화량 차이는 +2.55°(95% CI -1.83~+6.93°, t=1.19, p=.244, Cohen's d=+0.41)로 작은 수준이었다. 따라서 AI 생성 운동군이 표준 임상 운동군에 비해 더 큰 개선을 보일 것이라는 대립가설(H1)은 지지되지 않았다. 임상적 측면에서, 중재 후 CVA가 50° 이상으로 회복되어 FHP 기준에서 벗어난 대상자는 실험군 16/17명(94%), 대조군 14/17명(82%)이었다(사전에는 양 군 모두 전원이 CVA&lt;50°). 두 군 모두 대부분의 대상자가 정상 범위로 회복되었으며, 군내 사전–사후 효과크기는 특히 CVA와 회전에서 컸다. FHP 정상화율과 군내 효과크기는 Figure 4에 제시하였다.</w:t>
      </w:r>
    </w:p>
    <w:p>
      <w:pPr>
        <w:spacing w:before="200" w:after="60"/>
      </w:pPr>
      <w:r>
        <w:rPr>
          <w:rFonts w:ascii="맑은 고딕" w:hAnsi="맑은 고딕" w:eastAsia="맑은 고딕"/>
          <w:b/>
          <w:i w:val="0"/>
          <w:sz w:val="20"/>
        </w:rPr>
        <w:t xml:space="preserve">Table 6. </w:t>
      </w:r>
      <w:r>
        <w:rPr>
          <w:rFonts w:ascii="맑은 고딕" w:hAnsi="맑은 고딕" w:eastAsia="맑은 고딕"/>
          <w:b w:val="0"/>
          <w:i w:val="0"/>
          <w:sz w:val="20"/>
        </w:rPr>
        <w:t>Between-group comparison of pre-to-post change (independent t-test)</w:t>
      </w:r>
    </w:p>
    <w:tbl>
      <w:tblPr>
        <w:tblW w:type="auto" w:w="0"/>
        <w:jc w:val="center"/>
        <w:tblLook w:firstColumn="1" w:firstRow="1" w:lastColumn="0" w:lastRow="0" w:noHBand="0" w:noVBand="1" w:val="04A0"/>
      </w:tblPr>
      <w:tblGrid>
        <w:gridCol w:w="1531"/>
        <w:gridCol w:w="1531"/>
        <w:gridCol w:w="1531"/>
        <w:gridCol w:w="1531"/>
        <w:gridCol w:w="1531"/>
        <w:gridCol w:w="1531"/>
      </w:tblGrid>
      <w:tr>
        <w:tc>
          <w:tcPr>
            <w:tcW w:type="dxa" w:w="1701"/>
            <w:tcBorders>
              <w:top w:val="single" w:sz="8" w:color="000000"/>
              <w:bottom w:val="single" w:sz="8" w:color="000000"/>
            </w:tcBorders>
          </w:tcPr>
          <w:p>
            <w:pPr>
              <w:spacing w:after="20" w:before="20" w:line="264" w:lineRule="auto"/>
              <w:jc w:val="center"/>
            </w:pPr>
            <w:r/>
            <w:r>
              <w:rPr>
                <w:rFonts w:ascii="바탕" w:hAnsi="바탕" w:eastAsia="바탕"/>
                <w:b/>
                <w:i w:val="0"/>
                <w:sz w:val="18"/>
              </w:rPr>
              <w:t>Outcome</w:t>
            </w:r>
          </w:p>
        </w:tc>
        <w:tc>
          <w:tcPr>
            <w:tcW w:type="dxa" w:w="2154"/>
            <w:tcBorders>
              <w:top w:val="single" w:sz="8" w:color="000000"/>
              <w:bottom w:val="single" w:sz="8" w:color="000000"/>
            </w:tcBorders>
          </w:tcPr>
          <w:p>
            <w:pPr>
              <w:spacing w:after="20" w:before="20" w:line="264" w:lineRule="auto"/>
              <w:jc w:val="center"/>
            </w:pPr>
            <w:r/>
            <w:r>
              <w:rPr>
                <w:rFonts w:ascii="바탕" w:hAnsi="바탕" w:eastAsia="바탕"/>
                <w:b/>
                <w:i w:val="0"/>
                <w:sz w:val="18"/>
              </w:rPr>
              <w:t>Mean diff (EG−CG)</w:t>
            </w:r>
          </w:p>
        </w:tc>
        <w:tc>
          <w:tcPr>
            <w:tcW w:type="dxa" w:w="1928"/>
            <w:tcBorders>
              <w:top w:val="single" w:sz="8" w:color="000000"/>
              <w:bottom w:val="single" w:sz="8" w:color="000000"/>
            </w:tcBorders>
          </w:tcPr>
          <w:p>
            <w:pPr>
              <w:spacing w:after="20" w:before="20" w:line="264" w:lineRule="auto"/>
              <w:jc w:val="center"/>
            </w:pPr>
            <w:r/>
            <w:r>
              <w:rPr>
                <w:rFonts w:ascii="바탕" w:hAnsi="바탕" w:eastAsia="바탕"/>
                <w:b/>
                <w:i w:val="0"/>
                <w:sz w:val="18"/>
              </w:rPr>
              <w:t>95% CI</w:t>
            </w:r>
          </w:p>
        </w:tc>
        <w:tc>
          <w:tcPr>
            <w:tcW w:type="dxa" w:w="850"/>
            <w:tcBorders>
              <w:top w:val="single" w:sz="8" w:color="000000"/>
              <w:bottom w:val="single" w:sz="8" w:color="000000"/>
            </w:tcBorders>
          </w:tcPr>
          <w:p>
            <w:pPr>
              <w:spacing w:after="20" w:before="20" w:line="264" w:lineRule="auto"/>
              <w:jc w:val="center"/>
            </w:pPr>
            <w:r/>
            <w:r>
              <w:rPr>
                <w:rFonts w:ascii="바탕" w:hAnsi="바탕" w:eastAsia="바탕"/>
                <w:b/>
                <w:i w:val="0"/>
                <w:sz w:val="18"/>
              </w:rPr>
              <w:t>t</w:t>
            </w:r>
          </w:p>
        </w:tc>
        <w:tc>
          <w:tcPr>
            <w:tcW w:type="dxa" w:w="1020"/>
            <w:tcBorders>
              <w:top w:val="single" w:sz="8" w:color="000000"/>
              <w:bottom w:val="single" w:sz="8" w:color="000000"/>
            </w:tcBorders>
          </w:tcPr>
          <w:p>
            <w:pPr>
              <w:spacing w:after="20" w:before="20" w:line="264" w:lineRule="auto"/>
              <w:jc w:val="center"/>
            </w:pPr>
            <w:r/>
            <w:r>
              <w:rPr>
                <w:rFonts w:ascii="바탕" w:hAnsi="바탕" w:eastAsia="바탕"/>
                <w:b/>
                <w:i w:val="0"/>
                <w:sz w:val="18"/>
              </w:rPr>
              <w:t>p</w:t>
            </w:r>
          </w:p>
        </w:tc>
        <w:tc>
          <w:tcPr>
            <w:tcW w:type="dxa" w:w="1134"/>
            <w:tcBorders>
              <w:top w:val="single" w:sz="8" w:color="000000"/>
              <w:bottom w:val="single" w:sz="8" w:color="000000"/>
            </w:tcBorders>
          </w:tcPr>
          <w:p>
            <w:pPr>
              <w:spacing w:after="20" w:before="20" w:line="264" w:lineRule="auto"/>
              <w:jc w:val="center"/>
            </w:pPr>
            <w:r/>
            <w:r>
              <w:rPr>
                <w:rFonts w:ascii="바탕" w:hAnsi="바탕" w:eastAsia="바탕"/>
                <w:b/>
                <w:i w:val="0"/>
                <w:sz w:val="18"/>
              </w:rPr>
              <w:t>Cohen's d</w:t>
            </w:r>
          </w:p>
        </w:tc>
      </w:tr>
      <w:tr>
        <w:tc>
          <w:tcPr>
            <w:tcW w:type="dxa" w:w="1701"/>
          </w:tcPr>
          <w:p>
            <w:pPr>
              <w:spacing w:after="20" w:before="20" w:line="264" w:lineRule="auto"/>
              <w:jc w:val="center"/>
            </w:pPr>
            <w:r/>
            <w:r>
              <w:rPr>
                <w:rFonts w:ascii="바탕" w:hAnsi="바탕" w:eastAsia="바탕"/>
                <w:b w:val="0"/>
                <w:i w:val="0"/>
                <w:sz w:val="18"/>
              </w:rPr>
              <w:t>CVA</w:t>
            </w:r>
          </w:p>
        </w:tc>
        <w:tc>
          <w:tcPr>
            <w:tcW w:type="dxa" w:w="2154"/>
          </w:tcPr>
          <w:p>
            <w:pPr>
              <w:spacing w:after="20" w:before="20" w:line="264" w:lineRule="auto"/>
              <w:jc w:val="center"/>
            </w:pPr>
            <w:r/>
            <w:r>
              <w:rPr>
                <w:rFonts w:ascii="바탕" w:hAnsi="바탕" w:eastAsia="바탕"/>
                <w:b w:val="0"/>
                <w:i w:val="0"/>
                <w:sz w:val="18"/>
              </w:rPr>
              <w:t>+2.55</w:t>
            </w:r>
          </w:p>
        </w:tc>
        <w:tc>
          <w:tcPr>
            <w:tcW w:type="dxa" w:w="1928"/>
          </w:tcPr>
          <w:p>
            <w:pPr>
              <w:spacing w:after="20" w:before="20" w:line="264" w:lineRule="auto"/>
              <w:jc w:val="center"/>
            </w:pPr>
            <w:r/>
            <w:r>
              <w:rPr>
                <w:rFonts w:ascii="바탕" w:hAnsi="바탕" w:eastAsia="바탕"/>
                <w:b w:val="0"/>
                <w:i w:val="0"/>
                <w:sz w:val="18"/>
              </w:rPr>
              <w:t>[-1.83, +6.93]</w:t>
            </w:r>
          </w:p>
        </w:tc>
        <w:tc>
          <w:tcPr>
            <w:tcW w:type="dxa" w:w="850"/>
          </w:tcPr>
          <w:p>
            <w:pPr>
              <w:spacing w:after="20" w:before="20" w:line="264" w:lineRule="auto"/>
              <w:jc w:val="center"/>
            </w:pPr>
            <w:r/>
            <w:r>
              <w:rPr>
                <w:rFonts w:ascii="바탕" w:hAnsi="바탕" w:eastAsia="바탕"/>
                <w:b w:val="0"/>
                <w:i w:val="0"/>
                <w:sz w:val="18"/>
              </w:rPr>
              <w:t>1.19</w:t>
            </w:r>
          </w:p>
        </w:tc>
        <w:tc>
          <w:tcPr>
            <w:tcW w:type="dxa" w:w="1020"/>
          </w:tcPr>
          <w:p>
            <w:pPr>
              <w:spacing w:after="20" w:before="20" w:line="264" w:lineRule="auto"/>
              <w:jc w:val="center"/>
            </w:pPr>
            <w:r/>
            <w:r>
              <w:rPr>
                <w:rFonts w:ascii="바탕" w:hAnsi="바탕" w:eastAsia="바탕"/>
                <w:b w:val="0"/>
                <w:i w:val="0"/>
                <w:sz w:val="18"/>
              </w:rPr>
              <w:t>0.244n.s.</w:t>
            </w:r>
          </w:p>
        </w:tc>
        <w:tc>
          <w:tcPr>
            <w:tcW w:type="dxa" w:w="1134"/>
          </w:tcPr>
          <w:p>
            <w:pPr>
              <w:spacing w:after="20" w:before="20" w:line="264" w:lineRule="auto"/>
              <w:jc w:val="center"/>
            </w:pPr>
            <w:r/>
            <w:r>
              <w:rPr>
                <w:rFonts w:ascii="바탕" w:hAnsi="바탕" w:eastAsia="바탕"/>
                <w:b w:val="0"/>
                <w:i w:val="0"/>
                <w:sz w:val="18"/>
              </w:rPr>
              <w:t>+0.41</w:t>
            </w:r>
          </w:p>
        </w:tc>
      </w:tr>
      <w:tr>
        <w:tc>
          <w:tcPr>
            <w:tcW w:type="dxa" w:w="1701"/>
          </w:tcPr>
          <w:p>
            <w:pPr>
              <w:spacing w:after="20" w:before="20" w:line="264" w:lineRule="auto"/>
              <w:jc w:val="left"/>
            </w:pPr>
            <w:r/>
            <w:r>
              <w:rPr>
                <w:rFonts w:ascii="바탕" w:hAnsi="바탕" w:eastAsia="바탕"/>
                <w:b w:val="0"/>
                <w:i w:val="0"/>
                <w:sz w:val="18"/>
              </w:rPr>
              <w:t>Flexion</w:t>
            </w:r>
          </w:p>
        </w:tc>
        <w:tc>
          <w:tcPr>
            <w:tcW w:type="dxa" w:w="2154"/>
          </w:tcPr>
          <w:p>
            <w:pPr>
              <w:spacing w:after="20" w:before="20" w:line="264" w:lineRule="auto"/>
              <w:jc w:val="center"/>
            </w:pPr>
            <w:r/>
            <w:r>
              <w:rPr>
                <w:rFonts w:ascii="바탕" w:hAnsi="바탕" w:eastAsia="바탕"/>
                <w:b w:val="0"/>
                <w:i w:val="0"/>
                <w:sz w:val="18"/>
              </w:rPr>
              <w:t>-1.69</w:t>
            </w:r>
          </w:p>
        </w:tc>
        <w:tc>
          <w:tcPr>
            <w:tcW w:type="dxa" w:w="1928"/>
          </w:tcPr>
          <w:p>
            <w:pPr>
              <w:spacing w:after="20" w:before="20" w:line="264" w:lineRule="auto"/>
              <w:jc w:val="center"/>
            </w:pPr>
            <w:r/>
            <w:r>
              <w:rPr>
                <w:rFonts w:ascii="바탕" w:hAnsi="바탕" w:eastAsia="바탕"/>
                <w:b w:val="0"/>
                <w:i w:val="0"/>
                <w:sz w:val="18"/>
              </w:rPr>
              <w:t>[-10.78, +7.40]</w:t>
            </w:r>
          </w:p>
        </w:tc>
        <w:tc>
          <w:tcPr>
            <w:tcW w:type="dxa" w:w="850"/>
          </w:tcPr>
          <w:p>
            <w:pPr>
              <w:spacing w:after="20" w:before="20" w:line="264" w:lineRule="auto"/>
              <w:jc w:val="center"/>
            </w:pPr>
            <w:r/>
            <w:r>
              <w:rPr>
                <w:rFonts w:ascii="바탕" w:hAnsi="바탕" w:eastAsia="바탕"/>
                <w:b w:val="0"/>
                <w:i w:val="0"/>
                <w:sz w:val="18"/>
              </w:rPr>
              <w:t>-0.38</w:t>
            </w:r>
          </w:p>
        </w:tc>
        <w:tc>
          <w:tcPr>
            <w:tcW w:type="dxa" w:w="1020"/>
          </w:tcPr>
          <w:p>
            <w:pPr>
              <w:spacing w:after="20" w:before="20" w:line="264" w:lineRule="auto"/>
              <w:jc w:val="center"/>
            </w:pPr>
            <w:r/>
            <w:r>
              <w:rPr>
                <w:rFonts w:ascii="바탕" w:hAnsi="바탕" w:eastAsia="바탕"/>
                <w:b w:val="0"/>
                <w:i w:val="0"/>
                <w:sz w:val="18"/>
              </w:rPr>
              <w:t>0.708n.s.</w:t>
            </w:r>
          </w:p>
        </w:tc>
        <w:tc>
          <w:tcPr>
            <w:tcW w:type="dxa" w:w="1134"/>
          </w:tcPr>
          <w:p>
            <w:pPr>
              <w:spacing w:after="20" w:before="20" w:line="264" w:lineRule="auto"/>
              <w:jc w:val="center"/>
            </w:pPr>
            <w:r/>
            <w:r>
              <w:rPr>
                <w:rFonts w:ascii="바탕" w:hAnsi="바탕" w:eastAsia="바탕"/>
                <w:b w:val="0"/>
                <w:i w:val="0"/>
                <w:sz w:val="18"/>
              </w:rPr>
              <w:t>-0.13</w:t>
            </w:r>
          </w:p>
        </w:tc>
      </w:tr>
      <w:tr>
        <w:tc>
          <w:tcPr>
            <w:tcW w:type="dxa" w:w="1701"/>
          </w:tcPr>
          <w:p>
            <w:pPr>
              <w:spacing w:after="20" w:before="20" w:line="264" w:lineRule="auto"/>
              <w:jc w:val="left"/>
            </w:pPr>
            <w:r/>
            <w:r>
              <w:rPr>
                <w:rFonts w:ascii="바탕" w:hAnsi="바탕" w:eastAsia="바탕"/>
                <w:b w:val="0"/>
                <w:i w:val="0"/>
                <w:sz w:val="18"/>
              </w:rPr>
              <w:t>Extension</w:t>
            </w:r>
          </w:p>
        </w:tc>
        <w:tc>
          <w:tcPr>
            <w:tcW w:type="dxa" w:w="2154"/>
          </w:tcPr>
          <w:p>
            <w:pPr>
              <w:spacing w:after="20" w:before="20" w:line="264" w:lineRule="auto"/>
              <w:jc w:val="center"/>
            </w:pPr>
            <w:r/>
            <w:r>
              <w:rPr>
                <w:rFonts w:ascii="바탕" w:hAnsi="바탕" w:eastAsia="바탕"/>
                <w:b w:val="0"/>
                <w:i w:val="0"/>
                <w:sz w:val="18"/>
              </w:rPr>
              <w:t>+3.35</w:t>
            </w:r>
          </w:p>
        </w:tc>
        <w:tc>
          <w:tcPr>
            <w:tcW w:type="dxa" w:w="1928"/>
          </w:tcPr>
          <w:p>
            <w:pPr>
              <w:spacing w:after="20" w:before="20" w:line="264" w:lineRule="auto"/>
              <w:jc w:val="center"/>
            </w:pPr>
            <w:r/>
            <w:r>
              <w:rPr>
                <w:rFonts w:ascii="바탕" w:hAnsi="바탕" w:eastAsia="바탕"/>
                <w:b w:val="0"/>
                <w:i w:val="0"/>
                <w:sz w:val="18"/>
              </w:rPr>
              <w:t>[-6.49, +13.20]</w:t>
            </w:r>
          </w:p>
        </w:tc>
        <w:tc>
          <w:tcPr>
            <w:tcW w:type="dxa" w:w="850"/>
          </w:tcPr>
          <w:p>
            <w:pPr>
              <w:spacing w:after="20" w:before="20" w:line="264" w:lineRule="auto"/>
              <w:jc w:val="center"/>
            </w:pPr>
            <w:r/>
            <w:r>
              <w:rPr>
                <w:rFonts w:ascii="바탕" w:hAnsi="바탕" w:eastAsia="바탕"/>
                <w:b w:val="0"/>
                <w:i w:val="0"/>
                <w:sz w:val="18"/>
              </w:rPr>
              <w:t>0.69</w:t>
            </w:r>
          </w:p>
        </w:tc>
        <w:tc>
          <w:tcPr>
            <w:tcW w:type="dxa" w:w="1020"/>
          </w:tcPr>
          <w:p>
            <w:pPr>
              <w:spacing w:after="20" w:before="20" w:line="264" w:lineRule="auto"/>
              <w:jc w:val="center"/>
            </w:pPr>
            <w:r/>
            <w:r>
              <w:rPr>
                <w:rFonts w:ascii="바탕" w:hAnsi="바탕" w:eastAsia="바탕"/>
                <w:b w:val="0"/>
                <w:i w:val="0"/>
                <w:sz w:val="18"/>
              </w:rPr>
              <w:t>0.493n.s.</w:t>
            </w:r>
          </w:p>
        </w:tc>
        <w:tc>
          <w:tcPr>
            <w:tcW w:type="dxa" w:w="1134"/>
          </w:tcPr>
          <w:p>
            <w:pPr>
              <w:spacing w:after="20" w:before="20" w:line="264" w:lineRule="auto"/>
              <w:jc w:val="center"/>
            </w:pPr>
            <w:r/>
            <w:r>
              <w:rPr>
                <w:rFonts w:ascii="바탕" w:hAnsi="바탕" w:eastAsia="바탕"/>
                <w:b w:val="0"/>
                <w:i w:val="0"/>
                <w:sz w:val="18"/>
              </w:rPr>
              <w:t>+0.24</w:t>
            </w:r>
          </w:p>
        </w:tc>
      </w:tr>
      <w:tr>
        <w:tc>
          <w:tcPr>
            <w:tcW w:type="dxa" w:w="1701"/>
          </w:tcPr>
          <w:p>
            <w:pPr>
              <w:spacing w:after="20" w:before="20" w:line="264" w:lineRule="auto"/>
              <w:jc w:val="left"/>
            </w:pPr>
            <w:r/>
            <w:r>
              <w:rPr>
                <w:rFonts w:ascii="바탕" w:hAnsi="바탕" w:eastAsia="바탕"/>
                <w:b w:val="0"/>
                <w:i w:val="0"/>
                <w:sz w:val="18"/>
              </w:rPr>
              <w:t>Lat. flexion (R)</w:t>
            </w:r>
          </w:p>
        </w:tc>
        <w:tc>
          <w:tcPr>
            <w:tcW w:type="dxa" w:w="2154"/>
          </w:tcPr>
          <w:p>
            <w:pPr>
              <w:spacing w:after="20" w:before="20" w:line="264" w:lineRule="auto"/>
              <w:jc w:val="center"/>
            </w:pPr>
            <w:r/>
            <w:r>
              <w:rPr>
                <w:rFonts w:ascii="바탕" w:hAnsi="바탕" w:eastAsia="바탕"/>
                <w:b w:val="0"/>
                <w:i w:val="0"/>
                <w:sz w:val="18"/>
              </w:rPr>
              <w:t>+0.84</w:t>
            </w:r>
          </w:p>
        </w:tc>
        <w:tc>
          <w:tcPr>
            <w:tcW w:type="dxa" w:w="1928"/>
          </w:tcPr>
          <w:p>
            <w:pPr>
              <w:spacing w:after="20" w:before="20" w:line="264" w:lineRule="auto"/>
              <w:jc w:val="center"/>
            </w:pPr>
            <w:r/>
            <w:r>
              <w:rPr>
                <w:rFonts w:ascii="바탕" w:hAnsi="바탕" w:eastAsia="바탕"/>
                <w:b w:val="0"/>
                <w:i w:val="0"/>
                <w:sz w:val="18"/>
              </w:rPr>
              <w:t>[-4.17, +5.85]</w:t>
            </w:r>
          </w:p>
        </w:tc>
        <w:tc>
          <w:tcPr>
            <w:tcW w:type="dxa" w:w="850"/>
          </w:tcPr>
          <w:p>
            <w:pPr>
              <w:spacing w:after="20" w:before="20" w:line="264" w:lineRule="auto"/>
              <w:jc w:val="center"/>
            </w:pPr>
            <w:r/>
            <w:r>
              <w:rPr>
                <w:rFonts w:ascii="바탕" w:hAnsi="바탕" w:eastAsia="바탕"/>
                <w:b w:val="0"/>
                <w:i w:val="0"/>
                <w:sz w:val="18"/>
              </w:rPr>
              <w:t>0.34</w:t>
            </w:r>
          </w:p>
        </w:tc>
        <w:tc>
          <w:tcPr>
            <w:tcW w:type="dxa" w:w="1020"/>
          </w:tcPr>
          <w:p>
            <w:pPr>
              <w:spacing w:after="20" w:before="20" w:line="264" w:lineRule="auto"/>
              <w:jc w:val="center"/>
            </w:pPr>
            <w:r/>
            <w:r>
              <w:rPr>
                <w:rFonts w:ascii="바탕" w:hAnsi="바탕" w:eastAsia="바탕"/>
                <w:b w:val="0"/>
                <w:i w:val="0"/>
                <w:sz w:val="18"/>
              </w:rPr>
              <w:t>0.735n.s.</w:t>
            </w:r>
          </w:p>
        </w:tc>
        <w:tc>
          <w:tcPr>
            <w:tcW w:type="dxa" w:w="1134"/>
          </w:tcPr>
          <w:p>
            <w:pPr>
              <w:spacing w:after="20" w:before="20" w:line="264" w:lineRule="auto"/>
              <w:jc w:val="center"/>
            </w:pPr>
            <w:r/>
            <w:r>
              <w:rPr>
                <w:rFonts w:ascii="바탕" w:hAnsi="바탕" w:eastAsia="바탕"/>
                <w:b w:val="0"/>
                <w:i w:val="0"/>
                <w:sz w:val="18"/>
              </w:rPr>
              <w:t>+0.12</w:t>
            </w:r>
          </w:p>
        </w:tc>
      </w:tr>
      <w:tr>
        <w:tc>
          <w:tcPr>
            <w:tcW w:type="dxa" w:w="1701"/>
          </w:tcPr>
          <w:p>
            <w:pPr>
              <w:spacing w:after="20" w:before="20" w:line="264" w:lineRule="auto"/>
              <w:jc w:val="left"/>
            </w:pPr>
            <w:r/>
            <w:r>
              <w:rPr>
                <w:rFonts w:ascii="바탕" w:hAnsi="바탕" w:eastAsia="바탕"/>
                <w:b w:val="0"/>
                <w:i w:val="0"/>
                <w:sz w:val="18"/>
              </w:rPr>
              <w:t>Lat. flexion (L)</w:t>
            </w:r>
          </w:p>
        </w:tc>
        <w:tc>
          <w:tcPr>
            <w:tcW w:type="dxa" w:w="2154"/>
          </w:tcPr>
          <w:p>
            <w:pPr>
              <w:spacing w:after="20" w:before="20" w:line="264" w:lineRule="auto"/>
              <w:jc w:val="center"/>
            </w:pPr>
            <w:r/>
            <w:r>
              <w:rPr>
                <w:rFonts w:ascii="바탕" w:hAnsi="바탕" w:eastAsia="바탕"/>
                <w:b w:val="0"/>
                <w:i w:val="0"/>
                <w:sz w:val="18"/>
              </w:rPr>
              <w:t>-0.28</w:t>
            </w:r>
          </w:p>
        </w:tc>
        <w:tc>
          <w:tcPr>
            <w:tcW w:type="dxa" w:w="1928"/>
          </w:tcPr>
          <w:p>
            <w:pPr>
              <w:spacing w:after="20" w:before="20" w:line="264" w:lineRule="auto"/>
              <w:jc w:val="center"/>
            </w:pPr>
            <w:r/>
            <w:r>
              <w:rPr>
                <w:rFonts w:ascii="바탕" w:hAnsi="바탕" w:eastAsia="바탕"/>
                <w:b w:val="0"/>
                <w:i w:val="0"/>
                <w:sz w:val="18"/>
              </w:rPr>
              <w:t>[-8.35, +7.79]</w:t>
            </w:r>
          </w:p>
        </w:tc>
        <w:tc>
          <w:tcPr>
            <w:tcW w:type="dxa" w:w="850"/>
          </w:tcPr>
          <w:p>
            <w:pPr>
              <w:spacing w:after="20" w:before="20" w:line="264" w:lineRule="auto"/>
              <w:jc w:val="center"/>
            </w:pPr>
            <w:r/>
            <w:r>
              <w:rPr>
                <w:rFonts w:ascii="바탕" w:hAnsi="바탕" w:eastAsia="바탕"/>
                <w:b w:val="0"/>
                <w:i w:val="0"/>
                <w:sz w:val="18"/>
              </w:rPr>
              <w:t>-0.07</w:t>
            </w:r>
          </w:p>
        </w:tc>
        <w:tc>
          <w:tcPr>
            <w:tcW w:type="dxa" w:w="1020"/>
          </w:tcPr>
          <w:p>
            <w:pPr>
              <w:spacing w:after="20" w:before="20" w:line="264" w:lineRule="auto"/>
              <w:jc w:val="center"/>
            </w:pPr>
            <w:r/>
            <w:r>
              <w:rPr>
                <w:rFonts w:ascii="바탕" w:hAnsi="바탕" w:eastAsia="바탕"/>
                <w:b w:val="0"/>
                <w:i w:val="0"/>
                <w:sz w:val="18"/>
              </w:rPr>
              <w:t>0.944n.s.</w:t>
            </w:r>
          </w:p>
        </w:tc>
        <w:tc>
          <w:tcPr>
            <w:tcW w:type="dxa" w:w="1134"/>
          </w:tcPr>
          <w:p>
            <w:pPr>
              <w:spacing w:after="20" w:before="20" w:line="264" w:lineRule="auto"/>
              <w:jc w:val="center"/>
            </w:pPr>
            <w:r/>
            <w:r>
              <w:rPr>
                <w:rFonts w:ascii="바탕" w:hAnsi="바탕" w:eastAsia="바탕"/>
                <w:b w:val="0"/>
                <w:i w:val="0"/>
                <w:sz w:val="18"/>
              </w:rPr>
              <w:t>-0.02</w:t>
            </w:r>
          </w:p>
        </w:tc>
      </w:tr>
      <w:tr>
        <w:tc>
          <w:tcPr>
            <w:tcW w:type="dxa" w:w="1701"/>
          </w:tcPr>
          <w:p>
            <w:pPr>
              <w:spacing w:after="20" w:before="20" w:line="264" w:lineRule="auto"/>
              <w:jc w:val="left"/>
            </w:pPr>
            <w:r/>
            <w:r>
              <w:rPr>
                <w:rFonts w:ascii="바탕" w:hAnsi="바탕" w:eastAsia="바탕"/>
                <w:b w:val="0"/>
                <w:i w:val="0"/>
                <w:sz w:val="18"/>
              </w:rPr>
              <w:t>Rotation (R)</w:t>
            </w:r>
          </w:p>
        </w:tc>
        <w:tc>
          <w:tcPr>
            <w:tcW w:type="dxa" w:w="2154"/>
          </w:tcPr>
          <w:p>
            <w:pPr>
              <w:spacing w:after="20" w:before="20" w:line="264" w:lineRule="auto"/>
              <w:jc w:val="center"/>
            </w:pPr>
            <w:r/>
            <w:r>
              <w:rPr>
                <w:rFonts w:ascii="바탕" w:hAnsi="바탕" w:eastAsia="바탕"/>
                <w:b w:val="0"/>
                <w:i w:val="0"/>
                <w:sz w:val="18"/>
              </w:rPr>
              <w:t>-7.16</w:t>
            </w:r>
          </w:p>
        </w:tc>
        <w:tc>
          <w:tcPr>
            <w:tcW w:type="dxa" w:w="1928"/>
          </w:tcPr>
          <w:p>
            <w:pPr>
              <w:spacing w:after="20" w:before="20" w:line="264" w:lineRule="auto"/>
              <w:jc w:val="center"/>
            </w:pPr>
            <w:r/>
            <w:r>
              <w:rPr>
                <w:rFonts w:ascii="바탕" w:hAnsi="바탕" w:eastAsia="바탕"/>
                <w:b w:val="0"/>
                <w:i w:val="0"/>
                <w:sz w:val="18"/>
              </w:rPr>
              <w:t>[-15.81, +1.49]</w:t>
            </w:r>
          </w:p>
        </w:tc>
        <w:tc>
          <w:tcPr>
            <w:tcW w:type="dxa" w:w="850"/>
          </w:tcPr>
          <w:p>
            <w:pPr>
              <w:spacing w:after="20" w:before="20" w:line="264" w:lineRule="auto"/>
              <w:jc w:val="center"/>
            </w:pPr>
            <w:r/>
            <w:r>
              <w:rPr>
                <w:rFonts w:ascii="바탕" w:hAnsi="바탕" w:eastAsia="바탕"/>
                <w:b w:val="0"/>
                <w:i w:val="0"/>
                <w:sz w:val="18"/>
              </w:rPr>
              <w:t>-1.69</w:t>
            </w:r>
          </w:p>
        </w:tc>
        <w:tc>
          <w:tcPr>
            <w:tcW w:type="dxa" w:w="1020"/>
          </w:tcPr>
          <w:p>
            <w:pPr>
              <w:spacing w:after="20" w:before="20" w:line="264" w:lineRule="auto"/>
              <w:jc w:val="center"/>
            </w:pPr>
            <w:r/>
            <w:r>
              <w:rPr>
                <w:rFonts w:ascii="바탕" w:hAnsi="바탕" w:eastAsia="바탕"/>
                <w:b w:val="0"/>
                <w:i w:val="0"/>
                <w:sz w:val="18"/>
              </w:rPr>
              <w:t>0.102n.s.</w:t>
            </w:r>
          </w:p>
        </w:tc>
        <w:tc>
          <w:tcPr>
            <w:tcW w:type="dxa" w:w="1134"/>
          </w:tcPr>
          <w:p>
            <w:pPr>
              <w:spacing w:after="20" w:before="20" w:line="264" w:lineRule="auto"/>
              <w:jc w:val="center"/>
            </w:pPr>
            <w:r/>
            <w:r>
              <w:rPr>
                <w:rFonts w:ascii="바탕" w:hAnsi="바탕" w:eastAsia="바탕"/>
                <w:b w:val="0"/>
                <w:i w:val="0"/>
                <w:sz w:val="18"/>
              </w:rPr>
              <w:t>-0.58</w:t>
            </w:r>
          </w:p>
        </w:tc>
      </w:tr>
      <w:tr>
        <w:tc>
          <w:tcPr>
            <w:tcW w:type="dxa" w:w="1701"/>
            <w:tcBorders>
              <w:bottom w:val="single" w:sz="8" w:color="000000"/>
            </w:tcBorders>
          </w:tcPr>
          <w:p>
            <w:pPr>
              <w:spacing w:after="20" w:before="20" w:line="264" w:lineRule="auto"/>
              <w:jc w:val="left"/>
            </w:pPr>
            <w:r/>
            <w:r>
              <w:rPr>
                <w:rFonts w:ascii="바탕" w:hAnsi="바탕" w:eastAsia="바탕"/>
                <w:b w:val="0"/>
                <w:i w:val="0"/>
                <w:sz w:val="18"/>
              </w:rPr>
              <w:t>Rotation (L)</w:t>
            </w:r>
          </w:p>
        </w:tc>
        <w:tc>
          <w:tcPr>
            <w:tcW w:type="dxa" w:w="2154"/>
            <w:tcBorders>
              <w:bottom w:val="single" w:sz="8" w:color="000000"/>
            </w:tcBorders>
          </w:tcPr>
          <w:p>
            <w:pPr>
              <w:spacing w:after="20" w:before="20" w:line="264" w:lineRule="auto"/>
              <w:jc w:val="center"/>
            </w:pPr>
            <w:r/>
            <w:r>
              <w:rPr>
                <w:rFonts w:ascii="바탕" w:hAnsi="바탕" w:eastAsia="바탕"/>
                <w:b w:val="0"/>
                <w:i w:val="0"/>
                <w:sz w:val="18"/>
              </w:rPr>
              <w:t>-5.09</w:t>
            </w:r>
          </w:p>
        </w:tc>
        <w:tc>
          <w:tcPr>
            <w:tcW w:type="dxa" w:w="1928"/>
            <w:tcBorders>
              <w:bottom w:val="single" w:sz="8" w:color="000000"/>
            </w:tcBorders>
          </w:tcPr>
          <w:p>
            <w:pPr>
              <w:spacing w:after="20" w:before="20" w:line="264" w:lineRule="auto"/>
              <w:jc w:val="center"/>
            </w:pPr>
            <w:r/>
            <w:r>
              <w:rPr>
                <w:rFonts w:ascii="바탕" w:hAnsi="바탕" w:eastAsia="바탕"/>
                <w:b w:val="0"/>
                <w:i w:val="0"/>
                <w:sz w:val="18"/>
              </w:rPr>
              <w:t>[-12.77, +2.59]</w:t>
            </w:r>
          </w:p>
        </w:tc>
        <w:tc>
          <w:tcPr>
            <w:tcW w:type="dxa" w:w="850"/>
            <w:tcBorders>
              <w:bottom w:val="single" w:sz="8" w:color="000000"/>
            </w:tcBorders>
          </w:tcPr>
          <w:p>
            <w:pPr>
              <w:spacing w:after="20" w:before="20" w:line="264" w:lineRule="auto"/>
              <w:jc w:val="center"/>
            </w:pPr>
            <w:r/>
            <w:r>
              <w:rPr>
                <w:rFonts w:ascii="바탕" w:hAnsi="바탕" w:eastAsia="바탕"/>
                <w:b w:val="0"/>
                <w:i w:val="0"/>
                <w:sz w:val="18"/>
              </w:rPr>
              <w:t>-1.35</w:t>
            </w:r>
          </w:p>
        </w:tc>
        <w:tc>
          <w:tcPr>
            <w:tcW w:type="dxa" w:w="1020"/>
            <w:tcBorders>
              <w:bottom w:val="single" w:sz="8" w:color="000000"/>
            </w:tcBorders>
          </w:tcPr>
          <w:p>
            <w:pPr>
              <w:spacing w:after="20" w:before="20" w:line="264" w:lineRule="auto"/>
              <w:jc w:val="center"/>
            </w:pPr>
            <w:r/>
            <w:r>
              <w:rPr>
                <w:rFonts w:ascii="바탕" w:hAnsi="바탕" w:eastAsia="바탕"/>
                <w:b w:val="0"/>
                <w:i w:val="0"/>
                <w:sz w:val="18"/>
              </w:rPr>
              <w:t>0.187n.s.</w:t>
            </w:r>
          </w:p>
        </w:tc>
        <w:tc>
          <w:tcPr>
            <w:tcW w:type="dxa" w:w="1134"/>
            <w:tcBorders>
              <w:bottom w:val="single" w:sz="8" w:color="000000"/>
            </w:tcBorders>
          </w:tcPr>
          <w:p>
            <w:pPr>
              <w:spacing w:after="20" w:before="20" w:line="264" w:lineRule="auto"/>
              <w:jc w:val="center"/>
            </w:pPr>
            <w:r/>
            <w:r>
              <w:rPr>
                <w:rFonts w:ascii="바탕" w:hAnsi="바탕" w:eastAsia="바탕"/>
                <w:b w:val="0"/>
                <w:i w:val="0"/>
                <w:sz w:val="18"/>
              </w:rPr>
              <w:t>-0.46</w:t>
            </w:r>
          </w:p>
        </w:tc>
      </w:tr>
    </w:tbl>
    <w:p>
      <w:pPr>
        <w:spacing w:before="20" w:after="60" w:line="264" w:lineRule="auto"/>
      </w:pPr>
      <w:r>
        <w:rPr>
          <w:rFonts w:ascii="바탕" w:hAnsi="바탕" w:eastAsia="바탕"/>
          <w:b w:val="0"/>
          <w:i w:val="0"/>
          <w:sz w:val="17"/>
        </w:rPr>
        <w:t>n.s.: not significant. A 95% CI including 0 indicates no significant between-group difference.</w:t>
      </w:r>
    </w:p>
    <w:p>
      <w:pPr>
        <w:spacing w:before="160"/>
        <w:jc w:val="center"/>
      </w:pPr>
      <w:r>
        <w:drawing>
          <wp:inline xmlns:a="http://schemas.openxmlformats.org/drawingml/2006/main" xmlns:pic="http://schemas.openxmlformats.org/drawingml/2006/picture">
            <wp:extent cx="4680000" cy="2198975"/>
            <wp:docPr id="4" name="Picture 4"/>
            <wp:cNvGraphicFramePr>
              <a:graphicFrameLocks noChangeAspect="1"/>
            </wp:cNvGraphicFramePr>
            <a:graphic>
              <a:graphicData uri="http://schemas.openxmlformats.org/drawingml/2006/picture">
                <pic:pic>
                  <pic:nvPicPr>
                    <pic:cNvPr id="0" name="Fig4_normalization_forest.png"/>
                    <pic:cNvPicPr/>
                  </pic:nvPicPr>
                  <pic:blipFill>
                    <a:blip r:embed="rId12"/>
                    <a:stretch>
                      <a:fillRect/>
                    </a:stretch>
                  </pic:blipFill>
                  <pic:spPr>
                    <a:xfrm>
                      <a:off x="0" y="0"/>
                      <a:ext cx="4680000" cy="2198975"/>
                    </a:xfrm>
                    <a:prstGeom prst="rect"/>
                  </pic:spPr>
                </pic:pic>
              </a:graphicData>
            </a:graphic>
          </wp:inline>
        </w:drawing>
      </w:r>
    </w:p>
    <w:p>
      <w:pPr>
        <w:spacing w:after="200"/>
        <w:jc w:val="center"/>
      </w:pPr>
      <w:r>
        <w:rPr>
          <w:rFonts w:ascii="맑은 고딕" w:hAnsi="맑은 고딕" w:eastAsia="맑은 고딕"/>
          <w:b/>
          <w:i w:val="0"/>
          <w:sz w:val="18"/>
        </w:rPr>
        <w:t xml:space="preserve">그림 4. </w:t>
      </w:r>
      <w:r>
        <w:rPr>
          <w:rFonts w:ascii="맑은 고딕" w:hAnsi="맑은 고딕" w:eastAsia="맑은 고딕"/>
          <w:b w:val="0"/>
          <w:i w:val="0"/>
          <w:sz w:val="18"/>
        </w:rPr>
        <w:t>(a) FHP normalization rate (proportion with post-intervention CVA ≥ 50°); (b) within-group pre-to-post effect sizes (Cohen's dz ± 95% CI).</w:t>
      </w:r>
    </w:p>
    <w:p>
      <w:pPr>
        <w:spacing w:before="160"/>
        <w:jc w:val="center"/>
      </w:pPr>
      <w:r>
        <w:drawing>
          <wp:inline xmlns:a="http://schemas.openxmlformats.org/drawingml/2006/main" xmlns:pic="http://schemas.openxmlformats.org/drawingml/2006/picture">
            <wp:extent cx="3600000" cy="2830256"/>
            <wp:docPr id="5" name="Picture 5"/>
            <wp:cNvGraphicFramePr>
              <a:graphicFrameLocks noChangeAspect="1"/>
            </wp:cNvGraphicFramePr>
            <a:graphic>
              <a:graphicData uri="http://schemas.openxmlformats.org/drawingml/2006/picture">
                <pic:pic>
                  <pic:nvPicPr>
                    <pic:cNvPr id="0" name="Fig5_raincloud_CVA.png"/>
                    <pic:cNvPicPr/>
                  </pic:nvPicPr>
                  <pic:blipFill>
                    <a:blip r:embed="rId13"/>
                    <a:stretch>
                      <a:fillRect/>
                    </a:stretch>
                  </pic:blipFill>
                  <pic:spPr>
                    <a:xfrm>
                      <a:off x="0" y="0"/>
                      <a:ext cx="3600000" cy="2830256"/>
                    </a:xfrm>
                    <a:prstGeom prst="rect"/>
                  </pic:spPr>
                </pic:pic>
              </a:graphicData>
            </a:graphic>
          </wp:inline>
        </w:drawing>
      </w:r>
    </w:p>
    <w:p>
      <w:pPr>
        <w:spacing w:after="200"/>
        <w:jc w:val="center"/>
      </w:pPr>
      <w:r>
        <w:rPr>
          <w:rFonts w:ascii="맑은 고딕" w:hAnsi="맑은 고딕" w:eastAsia="맑은 고딕"/>
          <w:b/>
          <w:i w:val="0"/>
          <w:sz w:val="18"/>
        </w:rPr>
        <w:t xml:space="preserve">그림 5. </w:t>
      </w:r>
      <w:r>
        <w:rPr>
          <w:rFonts w:ascii="맑은 고딕" w:hAnsi="맑은 고딕" w:eastAsia="맑은 고딕"/>
          <w:b w:val="0"/>
          <w:i w:val="0"/>
          <w:sz w:val="18"/>
        </w:rPr>
        <w:t>Distribution of within-individual CVA change (post − pre) by group. Violin, density; box, median and interquartile range; dots, individual participants; dotted line, no change.</w:t>
      </w:r>
    </w:p>
    <w:p>
      <w:pPr>
        <w:spacing w:before="160"/>
        <w:jc w:val="center"/>
      </w:pPr>
      <w:r>
        <w:drawing>
          <wp:inline xmlns:a="http://schemas.openxmlformats.org/drawingml/2006/main" xmlns:pic="http://schemas.openxmlformats.org/drawingml/2006/picture">
            <wp:extent cx="4140000" cy="2819034"/>
            <wp:docPr id="6" name="Picture 6"/>
            <wp:cNvGraphicFramePr>
              <a:graphicFrameLocks noChangeAspect="1"/>
            </wp:cNvGraphicFramePr>
            <a:graphic>
              <a:graphicData uri="http://schemas.openxmlformats.org/drawingml/2006/picture">
                <pic:pic>
                  <pic:nvPicPr>
                    <pic:cNvPr id="0" name="Fig6_forest_between.png"/>
                    <pic:cNvPicPr/>
                  </pic:nvPicPr>
                  <pic:blipFill>
                    <a:blip r:embed="rId14"/>
                    <a:stretch>
                      <a:fillRect/>
                    </a:stretch>
                  </pic:blipFill>
                  <pic:spPr>
                    <a:xfrm>
                      <a:off x="0" y="0"/>
                      <a:ext cx="4140000" cy="2819034"/>
                    </a:xfrm>
                    <a:prstGeom prst="rect"/>
                  </pic:spPr>
                </pic:pic>
              </a:graphicData>
            </a:graphic>
          </wp:inline>
        </w:drawing>
      </w:r>
    </w:p>
    <w:p>
      <w:pPr>
        <w:spacing w:after="200"/>
        <w:jc w:val="center"/>
      </w:pPr>
      <w:r>
        <w:rPr>
          <w:rFonts w:ascii="맑은 고딕" w:hAnsi="맑은 고딕" w:eastAsia="맑은 고딕"/>
          <w:b/>
          <w:i w:val="0"/>
          <w:sz w:val="18"/>
        </w:rPr>
        <w:t xml:space="preserve">그림 6. </w:t>
      </w:r>
      <w:r>
        <w:rPr>
          <w:rFonts w:ascii="맑은 고딕" w:hAnsi="맑은 고딕" w:eastAsia="맑은 고딕"/>
          <w:b w:val="0"/>
          <w:i w:val="0"/>
          <w:sz w:val="18"/>
        </w:rPr>
        <w:t>Forest plot of the between-group difference in change (EG − CG) with 95% confidence intervals for all outcomes. Every interval crosses zero, indicating no significant between-group difference.</w:t>
      </w:r>
    </w:p>
    <w:p>
      <w:pPr>
        <w:spacing w:before="180" w:after="80" w:line="312" w:lineRule="auto"/>
      </w:pPr>
      <w:r>
        <w:rPr>
          <w:rFonts w:ascii="맑은 고딕" w:hAnsi="맑은 고딕" w:eastAsia="맑은 고딕"/>
          <w:b/>
          <w:i w:val="0"/>
          <w:sz w:val="22"/>
        </w:rPr>
        <w:t>5. 통계적 가정 검토 및 민감도 분석</w:t>
      </w:r>
    </w:p>
    <w:p>
      <w:pPr>
        <w:spacing w:before="0" w:after="120" w:line="384" w:lineRule="auto"/>
        <w:ind w:firstLine="567"/>
      </w:pPr>
      <w:r>
        <w:rPr>
          <w:rFonts w:ascii="바탕" w:hAnsi="바탕" w:eastAsia="바탕"/>
          <w:b w:val="0"/>
          <w:i w:val="0"/>
          <w:sz w:val="20"/>
        </w:rPr>
        <w:t>통계적 가정 검토 결과, 사전–사후 변화량은 7개 결과변수 중 5개에서 양 군 모두 정규성(Shapiro–Wilk, p&gt;0.05)을 충족하였고, 등분산성(Levene 검정)은 모든 변수에서 충족되었다(Table 7). 정규성이 일부 충족되지 않은 변수를 포함하여 시행한 민감도 분석에서, 변화량의 군간 차이는 모수적 독립표본 t-검정과 비모수적 Mann–Whitney U 검정에서 7개 변수 모두 동일하게 유의하지 않았다. 따라서 두 군 간 개선 정도에 차이가 없다는 주 결과는 검정 방법의 선택과 무관하게 일관되게 유지되었다. 다만 군내 사전–사후 변화에서 측방굴곡(좌)(실험군)는 대응표본 t-검정상 경계적으로 유의하였으나 Wilcoxon 부호순위 검정에서는 유의하지 않아, 해당 결과는 보수적으로 해석하였다. (Table 7).</w:t>
      </w:r>
    </w:p>
    <w:p>
      <w:pPr>
        <w:spacing w:before="200" w:after="60"/>
      </w:pPr>
      <w:r>
        <w:rPr>
          <w:rFonts w:ascii="맑은 고딕" w:hAnsi="맑은 고딕" w:eastAsia="맑은 고딕"/>
          <w:b/>
          <w:i w:val="0"/>
          <w:sz w:val="20"/>
        </w:rPr>
        <w:t xml:space="preserve">Table 7. </w:t>
      </w:r>
      <w:r>
        <w:rPr>
          <w:rFonts w:ascii="맑은 고딕" w:hAnsi="맑은 고딕" w:eastAsia="맑은 고딕"/>
          <w:b w:val="0"/>
          <w:i w:val="0"/>
          <w:sz w:val="20"/>
        </w:rPr>
        <w:t>Assumption checks and parametric vs. non-parametric sensitivity analysis (change scores)</w:t>
      </w:r>
    </w:p>
    <w:tbl>
      <w:tblPr>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474"/>
            <w:tcBorders>
              <w:top w:val="single" w:sz="8" w:color="000000"/>
              <w:bottom w:val="single" w:sz="8" w:color="000000"/>
            </w:tcBorders>
          </w:tcPr>
          <w:p>
            <w:pPr>
              <w:spacing w:after="20" w:before="20" w:line="264" w:lineRule="auto"/>
              <w:jc w:val="center"/>
            </w:pPr>
            <w:r/>
            <w:r>
              <w:rPr>
                <w:rFonts w:ascii="바탕" w:hAnsi="바탕" w:eastAsia="바탕"/>
                <w:b/>
                <w:i w:val="0"/>
                <w:sz w:val="18"/>
              </w:rPr>
              <w:t>Outcome</w:t>
            </w:r>
          </w:p>
        </w:tc>
        <w:tc>
          <w:tcPr>
            <w:tcW w:type="dxa" w:w="1417"/>
            <w:tcBorders>
              <w:top w:val="single" w:sz="8" w:color="000000"/>
              <w:bottom w:val="single" w:sz="8" w:color="000000"/>
            </w:tcBorders>
          </w:tcPr>
          <w:p>
            <w:pPr>
              <w:spacing w:after="20" w:before="20" w:line="264" w:lineRule="auto"/>
              <w:jc w:val="center"/>
            </w:pPr>
            <w:r/>
            <w:r>
              <w:rPr>
                <w:rFonts w:ascii="바탕" w:hAnsi="바탕" w:eastAsia="바탕"/>
                <w:b/>
                <w:i w:val="0"/>
                <w:sz w:val="18"/>
              </w:rPr>
              <w:t>Shapiro p (EG)</w:t>
            </w:r>
          </w:p>
        </w:tc>
        <w:tc>
          <w:tcPr>
            <w:tcW w:type="dxa" w:w="1417"/>
            <w:tcBorders>
              <w:top w:val="single" w:sz="8" w:color="000000"/>
              <w:bottom w:val="single" w:sz="8" w:color="000000"/>
            </w:tcBorders>
          </w:tcPr>
          <w:p>
            <w:pPr>
              <w:spacing w:after="20" w:before="20" w:line="264" w:lineRule="auto"/>
              <w:jc w:val="center"/>
            </w:pPr>
            <w:r/>
            <w:r>
              <w:rPr>
                <w:rFonts w:ascii="바탕" w:hAnsi="바탕" w:eastAsia="바탕"/>
                <w:b/>
                <w:i w:val="0"/>
                <w:sz w:val="18"/>
              </w:rPr>
              <w:t>Shapiro p (CG)</w:t>
            </w:r>
          </w:p>
        </w:tc>
        <w:tc>
          <w:tcPr>
            <w:tcW w:type="dxa" w:w="1134"/>
            <w:tcBorders>
              <w:top w:val="single" w:sz="8" w:color="000000"/>
              <w:bottom w:val="single" w:sz="8" w:color="000000"/>
            </w:tcBorders>
          </w:tcPr>
          <w:p>
            <w:pPr>
              <w:spacing w:after="20" w:before="20" w:line="264" w:lineRule="auto"/>
              <w:jc w:val="center"/>
            </w:pPr>
            <w:r/>
            <w:r>
              <w:rPr>
                <w:rFonts w:ascii="바탕" w:hAnsi="바탕" w:eastAsia="바탕"/>
                <w:b/>
                <w:i w:val="0"/>
                <w:sz w:val="18"/>
              </w:rPr>
              <w:t>Levene p</w:t>
            </w:r>
          </w:p>
        </w:tc>
        <w:tc>
          <w:tcPr>
            <w:tcW w:type="dxa" w:w="964"/>
            <w:tcBorders>
              <w:top w:val="single" w:sz="8" w:color="000000"/>
              <w:bottom w:val="single" w:sz="8" w:color="000000"/>
            </w:tcBorders>
          </w:tcPr>
          <w:p>
            <w:pPr>
              <w:spacing w:after="20" w:before="20" w:line="264" w:lineRule="auto"/>
              <w:jc w:val="center"/>
            </w:pPr>
            <w:r/>
            <w:r>
              <w:rPr>
                <w:rFonts w:ascii="바탕" w:hAnsi="바탕" w:eastAsia="바탕"/>
                <w:b/>
                <w:i w:val="0"/>
                <w:sz w:val="18"/>
              </w:rPr>
              <w:t>t p</w:t>
            </w:r>
          </w:p>
        </w:tc>
        <w:tc>
          <w:tcPr>
            <w:tcW w:type="dxa" w:w="964"/>
            <w:tcBorders>
              <w:top w:val="single" w:sz="8" w:color="000000"/>
              <w:bottom w:val="single" w:sz="8" w:color="000000"/>
            </w:tcBorders>
          </w:tcPr>
          <w:p>
            <w:pPr>
              <w:spacing w:after="20" w:before="20" w:line="264" w:lineRule="auto"/>
              <w:jc w:val="center"/>
            </w:pPr>
            <w:r/>
            <w:r>
              <w:rPr>
                <w:rFonts w:ascii="바탕" w:hAnsi="바탕" w:eastAsia="바탕"/>
                <w:b/>
                <w:i w:val="0"/>
                <w:sz w:val="18"/>
              </w:rPr>
              <w:t>MWU p</w:t>
            </w:r>
          </w:p>
        </w:tc>
        <w:tc>
          <w:tcPr>
            <w:tcW w:type="dxa" w:w="907"/>
            <w:tcBorders>
              <w:top w:val="single" w:sz="8" w:color="000000"/>
              <w:bottom w:val="single" w:sz="8" w:color="000000"/>
            </w:tcBorders>
          </w:tcPr>
          <w:p>
            <w:pPr>
              <w:spacing w:after="20" w:before="20" w:line="264" w:lineRule="auto"/>
              <w:jc w:val="center"/>
            </w:pPr>
            <w:r/>
            <w:r>
              <w:rPr>
                <w:rFonts w:ascii="바탕" w:hAnsi="바탕" w:eastAsia="바탕"/>
                <w:b/>
                <w:i w:val="0"/>
                <w:sz w:val="18"/>
              </w:rPr>
              <w:t>Concl.</w:t>
            </w:r>
          </w:p>
        </w:tc>
      </w:tr>
      <w:tr>
        <w:tc>
          <w:tcPr>
            <w:tcW w:type="dxa" w:w="1474"/>
          </w:tcPr>
          <w:p>
            <w:pPr>
              <w:spacing w:after="20" w:before="20" w:line="264" w:lineRule="auto"/>
              <w:jc w:val="center"/>
            </w:pPr>
            <w:r/>
            <w:r>
              <w:rPr>
                <w:rFonts w:ascii="바탕" w:hAnsi="바탕" w:eastAsia="바탕"/>
                <w:b w:val="0"/>
                <w:i w:val="0"/>
                <w:sz w:val="18"/>
              </w:rPr>
              <w:t>CVA</w:t>
            </w:r>
          </w:p>
        </w:tc>
        <w:tc>
          <w:tcPr>
            <w:tcW w:type="dxa" w:w="1417"/>
          </w:tcPr>
          <w:p>
            <w:pPr>
              <w:spacing w:after="20" w:before="20" w:line="264" w:lineRule="auto"/>
              <w:jc w:val="center"/>
            </w:pPr>
            <w:r/>
            <w:r>
              <w:rPr>
                <w:rFonts w:ascii="바탕" w:hAnsi="바탕" w:eastAsia="바탕"/>
                <w:b w:val="0"/>
                <w:i w:val="0"/>
                <w:sz w:val="18"/>
              </w:rPr>
              <w:t>0.105</w:t>
            </w:r>
          </w:p>
        </w:tc>
        <w:tc>
          <w:tcPr>
            <w:tcW w:type="dxa" w:w="1417"/>
          </w:tcPr>
          <w:p>
            <w:pPr>
              <w:spacing w:after="20" w:before="20" w:line="264" w:lineRule="auto"/>
              <w:jc w:val="center"/>
            </w:pPr>
            <w:r/>
            <w:r>
              <w:rPr>
                <w:rFonts w:ascii="바탕" w:hAnsi="바탕" w:eastAsia="바탕"/>
                <w:b w:val="0"/>
                <w:i w:val="0"/>
                <w:sz w:val="18"/>
              </w:rPr>
              <w:t>0.469</w:t>
            </w:r>
          </w:p>
        </w:tc>
        <w:tc>
          <w:tcPr>
            <w:tcW w:type="dxa" w:w="1134"/>
          </w:tcPr>
          <w:p>
            <w:pPr>
              <w:spacing w:after="20" w:before="20" w:line="264" w:lineRule="auto"/>
              <w:jc w:val="center"/>
            </w:pPr>
            <w:r/>
            <w:r>
              <w:rPr>
                <w:rFonts w:ascii="바탕" w:hAnsi="바탕" w:eastAsia="바탕"/>
                <w:b w:val="0"/>
                <w:i w:val="0"/>
                <w:sz w:val="18"/>
              </w:rPr>
              <w:t>0.956</w:t>
            </w:r>
          </w:p>
        </w:tc>
        <w:tc>
          <w:tcPr>
            <w:tcW w:type="dxa" w:w="964"/>
          </w:tcPr>
          <w:p>
            <w:pPr>
              <w:spacing w:after="20" w:before="20" w:line="264" w:lineRule="auto"/>
              <w:jc w:val="center"/>
            </w:pPr>
            <w:r/>
            <w:r>
              <w:rPr>
                <w:rFonts w:ascii="바탕" w:hAnsi="바탕" w:eastAsia="바탕"/>
                <w:b w:val="0"/>
                <w:i w:val="0"/>
                <w:sz w:val="18"/>
              </w:rPr>
              <w:t>0.244</w:t>
            </w:r>
          </w:p>
        </w:tc>
        <w:tc>
          <w:tcPr>
            <w:tcW w:type="dxa" w:w="964"/>
          </w:tcPr>
          <w:p>
            <w:pPr>
              <w:spacing w:after="20" w:before="20" w:line="264" w:lineRule="auto"/>
              <w:jc w:val="center"/>
            </w:pPr>
            <w:r/>
            <w:r>
              <w:rPr>
                <w:rFonts w:ascii="바탕" w:hAnsi="바탕" w:eastAsia="바탕"/>
                <w:b w:val="0"/>
                <w:i w:val="0"/>
                <w:sz w:val="18"/>
              </w:rPr>
              <w:t>0.335</w:t>
            </w:r>
          </w:p>
        </w:tc>
        <w:tc>
          <w:tcPr>
            <w:tcW w:type="dxa" w:w="907"/>
          </w:tcPr>
          <w:p>
            <w:pPr>
              <w:spacing w:after="20" w:before="20" w:line="264" w:lineRule="auto"/>
              <w:jc w:val="center"/>
            </w:pPr>
            <w:r/>
            <w:r>
              <w:rPr>
                <w:rFonts w:ascii="바탕" w:hAnsi="바탕" w:eastAsia="바탕"/>
                <w:b w:val="0"/>
                <w:i w:val="0"/>
                <w:sz w:val="18"/>
              </w:rPr>
              <w:t>same</w:t>
            </w:r>
          </w:p>
        </w:tc>
      </w:tr>
      <w:tr>
        <w:tc>
          <w:tcPr>
            <w:tcW w:type="dxa" w:w="1474"/>
          </w:tcPr>
          <w:p>
            <w:pPr>
              <w:spacing w:after="20" w:before="20" w:line="264" w:lineRule="auto"/>
              <w:jc w:val="left"/>
            </w:pPr>
            <w:r/>
            <w:r>
              <w:rPr>
                <w:rFonts w:ascii="바탕" w:hAnsi="바탕" w:eastAsia="바탕"/>
                <w:b w:val="0"/>
                <w:i w:val="0"/>
                <w:sz w:val="18"/>
              </w:rPr>
              <w:t>Flexion</w:t>
            </w:r>
          </w:p>
        </w:tc>
        <w:tc>
          <w:tcPr>
            <w:tcW w:type="dxa" w:w="1417"/>
          </w:tcPr>
          <w:p>
            <w:pPr>
              <w:spacing w:after="20" w:before="20" w:line="264" w:lineRule="auto"/>
              <w:jc w:val="center"/>
            </w:pPr>
            <w:r/>
            <w:r>
              <w:rPr>
                <w:rFonts w:ascii="바탕" w:hAnsi="바탕" w:eastAsia="바탕"/>
                <w:b w:val="0"/>
                <w:i w:val="0"/>
                <w:sz w:val="18"/>
              </w:rPr>
              <w:t>0.398</w:t>
            </w:r>
          </w:p>
        </w:tc>
        <w:tc>
          <w:tcPr>
            <w:tcW w:type="dxa" w:w="1417"/>
          </w:tcPr>
          <w:p>
            <w:pPr>
              <w:spacing w:after="20" w:before="20" w:line="264" w:lineRule="auto"/>
              <w:jc w:val="center"/>
            </w:pPr>
            <w:r/>
            <w:r>
              <w:rPr>
                <w:rFonts w:ascii="바탕" w:hAnsi="바탕" w:eastAsia="바탕"/>
                <w:b w:val="0"/>
                <w:i w:val="0"/>
                <w:sz w:val="18"/>
              </w:rPr>
              <w:t>0.012</w:t>
            </w:r>
          </w:p>
        </w:tc>
        <w:tc>
          <w:tcPr>
            <w:tcW w:type="dxa" w:w="1134"/>
          </w:tcPr>
          <w:p>
            <w:pPr>
              <w:spacing w:after="20" w:before="20" w:line="264" w:lineRule="auto"/>
              <w:jc w:val="center"/>
            </w:pPr>
            <w:r/>
            <w:r>
              <w:rPr>
                <w:rFonts w:ascii="바탕" w:hAnsi="바탕" w:eastAsia="바탕"/>
                <w:b w:val="0"/>
                <w:i w:val="0"/>
                <w:sz w:val="18"/>
              </w:rPr>
              <w:t>0.447</w:t>
            </w:r>
          </w:p>
        </w:tc>
        <w:tc>
          <w:tcPr>
            <w:tcW w:type="dxa" w:w="964"/>
          </w:tcPr>
          <w:p>
            <w:pPr>
              <w:spacing w:after="20" w:before="20" w:line="264" w:lineRule="auto"/>
              <w:jc w:val="center"/>
            </w:pPr>
            <w:r/>
            <w:r>
              <w:rPr>
                <w:rFonts w:ascii="바탕" w:hAnsi="바탕" w:eastAsia="바탕"/>
                <w:b w:val="0"/>
                <w:i w:val="0"/>
                <w:sz w:val="18"/>
              </w:rPr>
              <w:t>0.708</w:t>
            </w:r>
          </w:p>
        </w:tc>
        <w:tc>
          <w:tcPr>
            <w:tcW w:type="dxa" w:w="964"/>
          </w:tcPr>
          <w:p>
            <w:pPr>
              <w:spacing w:after="20" w:before="20" w:line="264" w:lineRule="auto"/>
              <w:jc w:val="center"/>
            </w:pPr>
            <w:r/>
            <w:r>
              <w:rPr>
                <w:rFonts w:ascii="바탕" w:hAnsi="바탕" w:eastAsia="바탕"/>
                <w:b w:val="0"/>
                <w:i w:val="0"/>
                <w:sz w:val="18"/>
              </w:rPr>
              <w:t>0.823</w:t>
            </w:r>
          </w:p>
        </w:tc>
        <w:tc>
          <w:tcPr>
            <w:tcW w:type="dxa" w:w="907"/>
          </w:tcPr>
          <w:p>
            <w:pPr>
              <w:spacing w:after="20" w:before="20" w:line="264" w:lineRule="auto"/>
              <w:jc w:val="center"/>
            </w:pPr>
            <w:r/>
            <w:r>
              <w:rPr>
                <w:rFonts w:ascii="바탕" w:hAnsi="바탕" w:eastAsia="바탕"/>
                <w:b w:val="0"/>
                <w:i w:val="0"/>
                <w:sz w:val="18"/>
              </w:rPr>
              <w:t>same</w:t>
            </w:r>
          </w:p>
        </w:tc>
      </w:tr>
      <w:tr>
        <w:tc>
          <w:tcPr>
            <w:tcW w:type="dxa" w:w="1474"/>
          </w:tcPr>
          <w:p>
            <w:pPr>
              <w:spacing w:after="20" w:before="20" w:line="264" w:lineRule="auto"/>
              <w:jc w:val="left"/>
            </w:pPr>
            <w:r/>
            <w:r>
              <w:rPr>
                <w:rFonts w:ascii="바탕" w:hAnsi="바탕" w:eastAsia="바탕"/>
                <w:b w:val="0"/>
                <w:i w:val="0"/>
                <w:sz w:val="18"/>
              </w:rPr>
              <w:t>Extension</w:t>
            </w:r>
          </w:p>
        </w:tc>
        <w:tc>
          <w:tcPr>
            <w:tcW w:type="dxa" w:w="1417"/>
          </w:tcPr>
          <w:p>
            <w:pPr>
              <w:spacing w:after="20" w:before="20" w:line="264" w:lineRule="auto"/>
              <w:jc w:val="center"/>
            </w:pPr>
            <w:r/>
            <w:r>
              <w:rPr>
                <w:rFonts w:ascii="바탕" w:hAnsi="바탕" w:eastAsia="바탕"/>
                <w:b w:val="0"/>
                <w:i w:val="0"/>
                <w:sz w:val="18"/>
              </w:rPr>
              <w:t>0.940</w:t>
            </w:r>
          </w:p>
        </w:tc>
        <w:tc>
          <w:tcPr>
            <w:tcW w:type="dxa" w:w="1417"/>
          </w:tcPr>
          <w:p>
            <w:pPr>
              <w:spacing w:after="20" w:before="20" w:line="264" w:lineRule="auto"/>
              <w:jc w:val="center"/>
            </w:pPr>
            <w:r/>
            <w:r>
              <w:rPr>
                <w:rFonts w:ascii="바탕" w:hAnsi="바탕" w:eastAsia="바탕"/>
                <w:b w:val="0"/>
                <w:i w:val="0"/>
                <w:sz w:val="18"/>
              </w:rPr>
              <w:t>0.194</w:t>
            </w:r>
          </w:p>
        </w:tc>
        <w:tc>
          <w:tcPr>
            <w:tcW w:type="dxa" w:w="1134"/>
          </w:tcPr>
          <w:p>
            <w:pPr>
              <w:spacing w:after="20" w:before="20" w:line="264" w:lineRule="auto"/>
              <w:jc w:val="center"/>
            </w:pPr>
            <w:r/>
            <w:r>
              <w:rPr>
                <w:rFonts w:ascii="바탕" w:hAnsi="바탕" w:eastAsia="바탕"/>
                <w:b w:val="0"/>
                <w:i w:val="0"/>
                <w:sz w:val="18"/>
              </w:rPr>
              <w:t>0.810</w:t>
            </w:r>
          </w:p>
        </w:tc>
        <w:tc>
          <w:tcPr>
            <w:tcW w:type="dxa" w:w="964"/>
          </w:tcPr>
          <w:p>
            <w:pPr>
              <w:spacing w:after="20" w:before="20" w:line="264" w:lineRule="auto"/>
              <w:jc w:val="center"/>
            </w:pPr>
            <w:r/>
            <w:r>
              <w:rPr>
                <w:rFonts w:ascii="바탕" w:hAnsi="바탕" w:eastAsia="바탕"/>
                <w:b w:val="0"/>
                <w:i w:val="0"/>
                <w:sz w:val="18"/>
              </w:rPr>
              <w:t>0.493</w:t>
            </w:r>
          </w:p>
        </w:tc>
        <w:tc>
          <w:tcPr>
            <w:tcW w:type="dxa" w:w="964"/>
          </w:tcPr>
          <w:p>
            <w:pPr>
              <w:spacing w:after="20" w:before="20" w:line="264" w:lineRule="auto"/>
              <w:jc w:val="center"/>
            </w:pPr>
            <w:r/>
            <w:r>
              <w:rPr>
                <w:rFonts w:ascii="바탕" w:hAnsi="바탕" w:eastAsia="바탕"/>
                <w:b w:val="0"/>
                <w:i w:val="0"/>
                <w:sz w:val="18"/>
              </w:rPr>
              <w:t>0.449</w:t>
            </w:r>
          </w:p>
        </w:tc>
        <w:tc>
          <w:tcPr>
            <w:tcW w:type="dxa" w:w="907"/>
          </w:tcPr>
          <w:p>
            <w:pPr>
              <w:spacing w:after="20" w:before="20" w:line="264" w:lineRule="auto"/>
              <w:jc w:val="center"/>
            </w:pPr>
            <w:r/>
            <w:r>
              <w:rPr>
                <w:rFonts w:ascii="바탕" w:hAnsi="바탕" w:eastAsia="바탕"/>
                <w:b w:val="0"/>
                <w:i w:val="0"/>
                <w:sz w:val="18"/>
              </w:rPr>
              <w:t>same</w:t>
            </w:r>
          </w:p>
        </w:tc>
      </w:tr>
      <w:tr>
        <w:tc>
          <w:tcPr>
            <w:tcW w:type="dxa" w:w="1474"/>
          </w:tcPr>
          <w:p>
            <w:pPr>
              <w:spacing w:after="20" w:before="20" w:line="264" w:lineRule="auto"/>
              <w:jc w:val="left"/>
            </w:pPr>
            <w:r/>
            <w:r>
              <w:rPr>
                <w:rFonts w:ascii="바탕" w:hAnsi="바탕" w:eastAsia="바탕"/>
                <w:b w:val="0"/>
                <w:i w:val="0"/>
                <w:sz w:val="18"/>
              </w:rPr>
              <w:t>Lat. flexion (R)</w:t>
            </w:r>
          </w:p>
        </w:tc>
        <w:tc>
          <w:tcPr>
            <w:tcW w:type="dxa" w:w="1417"/>
          </w:tcPr>
          <w:p>
            <w:pPr>
              <w:spacing w:after="20" w:before="20" w:line="264" w:lineRule="auto"/>
              <w:jc w:val="center"/>
            </w:pPr>
            <w:r/>
            <w:r>
              <w:rPr>
                <w:rFonts w:ascii="바탕" w:hAnsi="바탕" w:eastAsia="바탕"/>
                <w:b w:val="0"/>
                <w:i w:val="0"/>
                <w:sz w:val="18"/>
              </w:rPr>
              <w:t>0.486</w:t>
            </w:r>
          </w:p>
        </w:tc>
        <w:tc>
          <w:tcPr>
            <w:tcW w:type="dxa" w:w="1417"/>
          </w:tcPr>
          <w:p>
            <w:pPr>
              <w:spacing w:after="20" w:before="20" w:line="264" w:lineRule="auto"/>
              <w:jc w:val="center"/>
            </w:pPr>
            <w:r/>
            <w:r>
              <w:rPr>
                <w:rFonts w:ascii="바탕" w:hAnsi="바탕" w:eastAsia="바탕"/>
                <w:b w:val="0"/>
                <w:i w:val="0"/>
                <w:sz w:val="18"/>
              </w:rPr>
              <w:t>0.332</w:t>
            </w:r>
          </w:p>
        </w:tc>
        <w:tc>
          <w:tcPr>
            <w:tcW w:type="dxa" w:w="1134"/>
          </w:tcPr>
          <w:p>
            <w:pPr>
              <w:spacing w:after="20" w:before="20" w:line="264" w:lineRule="auto"/>
              <w:jc w:val="center"/>
            </w:pPr>
            <w:r/>
            <w:r>
              <w:rPr>
                <w:rFonts w:ascii="바탕" w:hAnsi="바탕" w:eastAsia="바탕"/>
                <w:b w:val="0"/>
                <w:i w:val="0"/>
                <w:sz w:val="18"/>
              </w:rPr>
              <w:t>0.880</w:t>
            </w:r>
          </w:p>
        </w:tc>
        <w:tc>
          <w:tcPr>
            <w:tcW w:type="dxa" w:w="964"/>
          </w:tcPr>
          <w:p>
            <w:pPr>
              <w:spacing w:after="20" w:before="20" w:line="264" w:lineRule="auto"/>
              <w:jc w:val="center"/>
            </w:pPr>
            <w:r/>
            <w:r>
              <w:rPr>
                <w:rFonts w:ascii="바탕" w:hAnsi="바탕" w:eastAsia="바탕"/>
                <w:b w:val="0"/>
                <w:i w:val="0"/>
                <w:sz w:val="18"/>
              </w:rPr>
              <w:t>0.735</w:t>
            </w:r>
          </w:p>
        </w:tc>
        <w:tc>
          <w:tcPr>
            <w:tcW w:type="dxa" w:w="964"/>
          </w:tcPr>
          <w:p>
            <w:pPr>
              <w:spacing w:after="20" w:before="20" w:line="264" w:lineRule="auto"/>
              <w:jc w:val="center"/>
            </w:pPr>
            <w:r/>
            <w:r>
              <w:rPr>
                <w:rFonts w:ascii="바탕" w:hAnsi="바탕" w:eastAsia="바탕"/>
                <w:b w:val="0"/>
                <w:i w:val="0"/>
                <w:sz w:val="18"/>
              </w:rPr>
              <w:t>0.945</w:t>
            </w:r>
          </w:p>
        </w:tc>
        <w:tc>
          <w:tcPr>
            <w:tcW w:type="dxa" w:w="907"/>
          </w:tcPr>
          <w:p>
            <w:pPr>
              <w:spacing w:after="20" w:before="20" w:line="264" w:lineRule="auto"/>
              <w:jc w:val="center"/>
            </w:pPr>
            <w:r/>
            <w:r>
              <w:rPr>
                <w:rFonts w:ascii="바탕" w:hAnsi="바탕" w:eastAsia="바탕"/>
                <w:b w:val="0"/>
                <w:i w:val="0"/>
                <w:sz w:val="18"/>
              </w:rPr>
              <w:t>same</w:t>
            </w:r>
          </w:p>
        </w:tc>
      </w:tr>
      <w:tr>
        <w:tc>
          <w:tcPr>
            <w:tcW w:type="dxa" w:w="1474"/>
          </w:tcPr>
          <w:p>
            <w:pPr>
              <w:spacing w:after="20" w:before="20" w:line="264" w:lineRule="auto"/>
              <w:jc w:val="left"/>
            </w:pPr>
            <w:r/>
            <w:r>
              <w:rPr>
                <w:rFonts w:ascii="바탕" w:hAnsi="바탕" w:eastAsia="바탕"/>
                <w:b w:val="0"/>
                <w:i w:val="0"/>
                <w:sz w:val="18"/>
              </w:rPr>
              <w:t>Lat. flexion (L)</w:t>
            </w:r>
          </w:p>
        </w:tc>
        <w:tc>
          <w:tcPr>
            <w:tcW w:type="dxa" w:w="1417"/>
          </w:tcPr>
          <w:p>
            <w:pPr>
              <w:spacing w:after="20" w:before="20" w:line="264" w:lineRule="auto"/>
              <w:jc w:val="center"/>
            </w:pPr>
            <w:r/>
            <w:r>
              <w:rPr>
                <w:rFonts w:ascii="바탕" w:hAnsi="바탕" w:eastAsia="바탕"/>
                <w:b w:val="0"/>
                <w:i w:val="0"/>
                <w:sz w:val="18"/>
              </w:rPr>
              <w:t>0.045</w:t>
            </w:r>
          </w:p>
        </w:tc>
        <w:tc>
          <w:tcPr>
            <w:tcW w:type="dxa" w:w="1417"/>
          </w:tcPr>
          <w:p>
            <w:pPr>
              <w:spacing w:after="20" w:before="20" w:line="264" w:lineRule="auto"/>
              <w:jc w:val="center"/>
            </w:pPr>
            <w:r/>
            <w:r>
              <w:rPr>
                <w:rFonts w:ascii="바탕" w:hAnsi="바탕" w:eastAsia="바탕"/>
                <w:b w:val="0"/>
                <w:i w:val="0"/>
                <w:sz w:val="18"/>
              </w:rPr>
              <w:t>0.102</w:t>
            </w:r>
          </w:p>
        </w:tc>
        <w:tc>
          <w:tcPr>
            <w:tcW w:type="dxa" w:w="1134"/>
          </w:tcPr>
          <w:p>
            <w:pPr>
              <w:spacing w:after="20" w:before="20" w:line="264" w:lineRule="auto"/>
              <w:jc w:val="center"/>
            </w:pPr>
            <w:r/>
            <w:r>
              <w:rPr>
                <w:rFonts w:ascii="바탕" w:hAnsi="바탕" w:eastAsia="바탕"/>
                <w:b w:val="0"/>
                <w:i w:val="0"/>
                <w:sz w:val="18"/>
              </w:rPr>
              <w:t>0.629</w:t>
            </w:r>
          </w:p>
        </w:tc>
        <w:tc>
          <w:tcPr>
            <w:tcW w:type="dxa" w:w="964"/>
          </w:tcPr>
          <w:p>
            <w:pPr>
              <w:spacing w:after="20" w:before="20" w:line="264" w:lineRule="auto"/>
              <w:jc w:val="center"/>
            </w:pPr>
            <w:r/>
            <w:r>
              <w:rPr>
                <w:rFonts w:ascii="바탕" w:hAnsi="바탕" w:eastAsia="바탕"/>
                <w:b w:val="0"/>
                <w:i w:val="0"/>
                <w:sz w:val="18"/>
              </w:rPr>
              <w:t>0.944</w:t>
            </w:r>
          </w:p>
        </w:tc>
        <w:tc>
          <w:tcPr>
            <w:tcW w:type="dxa" w:w="964"/>
          </w:tcPr>
          <w:p>
            <w:pPr>
              <w:spacing w:after="20" w:before="20" w:line="264" w:lineRule="auto"/>
              <w:jc w:val="center"/>
            </w:pPr>
            <w:r/>
            <w:r>
              <w:rPr>
                <w:rFonts w:ascii="바탕" w:hAnsi="바탕" w:eastAsia="바탕"/>
                <w:b w:val="0"/>
                <w:i w:val="0"/>
                <w:sz w:val="18"/>
              </w:rPr>
              <w:t>0.918</w:t>
            </w:r>
          </w:p>
        </w:tc>
        <w:tc>
          <w:tcPr>
            <w:tcW w:type="dxa" w:w="907"/>
          </w:tcPr>
          <w:p>
            <w:pPr>
              <w:spacing w:after="20" w:before="20" w:line="264" w:lineRule="auto"/>
              <w:jc w:val="center"/>
            </w:pPr>
            <w:r/>
            <w:r>
              <w:rPr>
                <w:rFonts w:ascii="바탕" w:hAnsi="바탕" w:eastAsia="바탕"/>
                <w:b w:val="0"/>
                <w:i w:val="0"/>
                <w:sz w:val="18"/>
              </w:rPr>
              <w:t>same</w:t>
            </w:r>
          </w:p>
        </w:tc>
      </w:tr>
      <w:tr>
        <w:tc>
          <w:tcPr>
            <w:tcW w:type="dxa" w:w="1474"/>
          </w:tcPr>
          <w:p>
            <w:pPr>
              <w:spacing w:after="20" w:before="20" w:line="264" w:lineRule="auto"/>
              <w:jc w:val="left"/>
            </w:pPr>
            <w:r/>
            <w:r>
              <w:rPr>
                <w:rFonts w:ascii="바탕" w:hAnsi="바탕" w:eastAsia="바탕"/>
                <w:b w:val="0"/>
                <w:i w:val="0"/>
                <w:sz w:val="18"/>
              </w:rPr>
              <w:t>Rotation (R)</w:t>
            </w:r>
          </w:p>
        </w:tc>
        <w:tc>
          <w:tcPr>
            <w:tcW w:type="dxa" w:w="1417"/>
          </w:tcPr>
          <w:p>
            <w:pPr>
              <w:spacing w:after="20" w:before="20" w:line="264" w:lineRule="auto"/>
              <w:jc w:val="center"/>
            </w:pPr>
            <w:r/>
            <w:r>
              <w:rPr>
                <w:rFonts w:ascii="바탕" w:hAnsi="바탕" w:eastAsia="바탕"/>
                <w:b w:val="0"/>
                <w:i w:val="0"/>
                <w:sz w:val="18"/>
              </w:rPr>
              <w:t>0.856</w:t>
            </w:r>
          </w:p>
        </w:tc>
        <w:tc>
          <w:tcPr>
            <w:tcW w:type="dxa" w:w="1417"/>
          </w:tcPr>
          <w:p>
            <w:pPr>
              <w:spacing w:after="20" w:before="20" w:line="264" w:lineRule="auto"/>
              <w:jc w:val="center"/>
            </w:pPr>
            <w:r/>
            <w:r>
              <w:rPr>
                <w:rFonts w:ascii="바탕" w:hAnsi="바탕" w:eastAsia="바탕"/>
                <w:b w:val="0"/>
                <w:i w:val="0"/>
                <w:sz w:val="18"/>
              </w:rPr>
              <w:t>0.401</w:t>
            </w:r>
          </w:p>
        </w:tc>
        <w:tc>
          <w:tcPr>
            <w:tcW w:type="dxa" w:w="1134"/>
          </w:tcPr>
          <w:p>
            <w:pPr>
              <w:spacing w:after="20" w:before="20" w:line="264" w:lineRule="auto"/>
              <w:jc w:val="center"/>
            </w:pPr>
            <w:r/>
            <w:r>
              <w:rPr>
                <w:rFonts w:ascii="바탕" w:hAnsi="바탕" w:eastAsia="바탕"/>
                <w:b w:val="0"/>
                <w:i w:val="0"/>
                <w:sz w:val="18"/>
              </w:rPr>
              <w:t>0.506</w:t>
            </w:r>
          </w:p>
        </w:tc>
        <w:tc>
          <w:tcPr>
            <w:tcW w:type="dxa" w:w="964"/>
          </w:tcPr>
          <w:p>
            <w:pPr>
              <w:spacing w:after="20" w:before="20" w:line="264" w:lineRule="auto"/>
              <w:jc w:val="center"/>
            </w:pPr>
            <w:r/>
            <w:r>
              <w:rPr>
                <w:rFonts w:ascii="바탕" w:hAnsi="바탕" w:eastAsia="바탕"/>
                <w:b w:val="0"/>
                <w:i w:val="0"/>
                <w:sz w:val="18"/>
              </w:rPr>
              <w:t>0.102</w:t>
            </w:r>
          </w:p>
        </w:tc>
        <w:tc>
          <w:tcPr>
            <w:tcW w:type="dxa" w:w="964"/>
          </w:tcPr>
          <w:p>
            <w:pPr>
              <w:spacing w:after="20" w:before="20" w:line="264" w:lineRule="auto"/>
              <w:jc w:val="center"/>
            </w:pPr>
            <w:r/>
            <w:r>
              <w:rPr>
                <w:rFonts w:ascii="바탕" w:hAnsi="바탕" w:eastAsia="바탕"/>
                <w:b w:val="0"/>
                <w:i w:val="0"/>
                <w:sz w:val="18"/>
              </w:rPr>
              <w:t>0.109</w:t>
            </w:r>
          </w:p>
        </w:tc>
        <w:tc>
          <w:tcPr>
            <w:tcW w:type="dxa" w:w="907"/>
          </w:tcPr>
          <w:p>
            <w:pPr>
              <w:spacing w:after="20" w:before="20" w:line="264" w:lineRule="auto"/>
              <w:jc w:val="center"/>
            </w:pPr>
            <w:r/>
            <w:r>
              <w:rPr>
                <w:rFonts w:ascii="바탕" w:hAnsi="바탕" w:eastAsia="바탕"/>
                <w:b w:val="0"/>
                <w:i w:val="0"/>
                <w:sz w:val="18"/>
              </w:rPr>
              <w:t>same</w:t>
            </w:r>
          </w:p>
        </w:tc>
      </w:tr>
      <w:tr>
        <w:tc>
          <w:tcPr>
            <w:tcW w:type="dxa" w:w="1474"/>
            <w:tcBorders>
              <w:bottom w:val="single" w:sz="8" w:color="000000"/>
            </w:tcBorders>
          </w:tcPr>
          <w:p>
            <w:pPr>
              <w:spacing w:after="20" w:before="20" w:line="264" w:lineRule="auto"/>
              <w:jc w:val="left"/>
            </w:pPr>
            <w:r/>
            <w:r>
              <w:rPr>
                <w:rFonts w:ascii="바탕" w:hAnsi="바탕" w:eastAsia="바탕"/>
                <w:b w:val="0"/>
                <w:i w:val="0"/>
                <w:sz w:val="18"/>
              </w:rPr>
              <w:t>Rotation (L)</w:t>
            </w:r>
          </w:p>
        </w:tc>
        <w:tc>
          <w:tcPr>
            <w:tcW w:type="dxa" w:w="1417"/>
            <w:tcBorders>
              <w:bottom w:val="single" w:sz="8" w:color="000000"/>
            </w:tcBorders>
          </w:tcPr>
          <w:p>
            <w:pPr>
              <w:spacing w:after="20" w:before="20" w:line="264" w:lineRule="auto"/>
              <w:jc w:val="center"/>
            </w:pPr>
            <w:r/>
            <w:r>
              <w:rPr>
                <w:rFonts w:ascii="바탕" w:hAnsi="바탕" w:eastAsia="바탕"/>
                <w:b w:val="0"/>
                <w:i w:val="0"/>
                <w:sz w:val="18"/>
              </w:rPr>
              <w:t>0.609</w:t>
            </w:r>
          </w:p>
        </w:tc>
        <w:tc>
          <w:tcPr>
            <w:tcW w:type="dxa" w:w="1417"/>
            <w:tcBorders>
              <w:bottom w:val="single" w:sz="8" w:color="000000"/>
            </w:tcBorders>
          </w:tcPr>
          <w:p>
            <w:pPr>
              <w:spacing w:after="20" w:before="20" w:line="264" w:lineRule="auto"/>
              <w:jc w:val="center"/>
            </w:pPr>
            <w:r/>
            <w:r>
              <w:rPr>
                <w:rFonts w:ascii="바탕" w:hAnsi="바탕" w:eastAsia="바탕"/>
                <w:b w:val="0"/>
                <w:i w:val="0"/>
                <w:sz w:val="18"/>
              </w:rPr>
              <w:t>0.194</w:t>
            </w:r>
          </w:p>
        </w:tc>
        <w:tc>
          <w:tcPr>
            <w:tcW w:type="dxa" w:w="1134"/>
            <w:tcBorders>
              <w:bottom w:val="single" w:sz="8" w:color="000000"/>
            </w:tcBorders>
          </w:tcPr>
          <w:p>
            <w:pPr>
              <w:spacing w:after="20" w:before="20" w:line="264" w:lineRule="auto"/>
              <w:jc w:val="center"/>
            </w:pPr>
            <w:r/>
            <w:r>
              <w:rPr>
                <w:rFonts w:ascii="바탕" w:hAnsi="바탕" w:eastAsia="바탕"/>
                <w:b w:val="0"/>
                <w:i w:val="0"/>
                <w:sz w:val="18"/>
              </w:rPr>
              <w:t>0.795</w:t>
            </w:r>
          </w:p>
        </w:tc>
        <w:tc>
          <w:tcPr>
            <w:tcW w:type="dxa" w:w="964"/>
            <w:tcBorders>
              <w:bottom w:val="single" w:sz="8" w:color="000000"/>
            </w:tcBorders>
          </w:tcPr>
          <w:p>
            <w:pPr>
              <w:spacing w:after="20" w:before="20" w:line="264" w:lineRule="auto"/>
              <w:jc w:val="center"/>
            </w:pPr>
            <w:r/>
            <w:r>
              <w:rPr>
                <w:rFonts w:ascii="바탕" w:hAnsi="바탕" w:eastAsia="바탕"/>
                <w:b w:val="0"/>
                <w:i w:val="0"/>
                <w:sz w:val="18"/>
              </w:rPr>
              <w:t>0.187</w:t>
            </w:r>
          </w:p>
        </w:tc>
        <w:tc>
          <w:tcPr>
            <w:tcW w:type="dxa" w:w="964"/>
            <w:tcBorders>
              <w:bottom w:val="single" w:sz="8" w:color="000000"/>
            </w:tcBorders>
          </w:tcPr>
          <w:p>
            <w:pPr>
              <w:spacing w:after="20" w:before="20" w:line="264" w:lineRule="auto"/>
              <w:jc w:val="center"/>
            </w:pPr>
            <w:r/>
            <w:r>
              <w:rPr>
                <w:rFonts w:ascii="바탕" w:hAnsi="바탕" w:eastAsia="바탕"/>
                <w:b w:val="0"/>
                <w:i w:val="0"/>
                <w:sz w:val="18"/>
              </w:rPr>
              <w:t>0.256</w:t>
            </w:r>
          </w:p>
        </w:tc>
        <w:tc>
          <w:tcPr>
            <w:tcW w:type="dxa" w:w="907"/>
            <w:tcBorders>
              <w:bottom w:val="single" w:sz="8" w:color="000000"/>
            </w:tcBorders>
          </w:tcPr>
          <w:p>
            <w:pPr>
              <w:spacing w:after="20" w:before="20" w:line="264" w:lineRule="auto"/>
              <w:jc w:val="center"/>
            </w:pPr>
            <w:r/>
            <w:r>
              <w:rPr>
                <w:rFonts w:ascii="바탕" w:hAnsi="바탕" w:eastAsia="바탕"/>
                <w:b w:val="0"/>
                <w:i w:val="0"/>
                <w:sz w:val="18"/>
              </w:rPr>
              <w:t>same</w:t>
            </w:r>
          </w:p>
        </w:tc>
      </w:tr>
    </w:tbl>
    <w:p>
      <w:pPr>
        <w:spacing w:before="20" w:after="60" w:line="264" w:lineRule="auto"/>
      </w:pPr>
      <w:r>
        <w:rPr>
          <w:rFonts w:ascii="바탕" w:hAnsi="바탕" w:eastAsia="바탕"/>
          <w:b w:val="0"/>
          <w:i w:val="0"/>
          <w:sz w:val="17"/>
        </w:rPr>
        <w:t>Shapiro–Wilk test on pre-to-post change scores; Levene's test for homogeneity of variance. t: independent t-test; MWU: Mann–Whitney U test. 'same': concordant significance decision between parametric and non-parametric tests. EG: experimental group; CG: control group.</w:t>
      </w:r>
    </w:p>
    <w:p>
      <w:pPr>
        <w:spacing w:before="180" w:after="80" w:line="312" w:lineRule="auto"/>
      </w:pPr>
      <w:r>
        <w:rPr>
          <w:rFonts w:ascii="맑은 고딕" w:hAnsi="맑은 고딕" w:eastAsia="맑은 고딕"/>
          <w:b/>
          <w:i w:val="0"/>
          <w:sz w:val="22"/>
        </w:rPr>
        <w:t>6. 설계 민감도 (검정력)</w:t>
      </w:r>
    </w:p>
    <w:p>
      <w:pPr>
        <w:spacing w:before="0" w:after="120" w:line="384" w:lineRule="auto"/>
        <w:ind w:firstLine="567"/>
      </w:pPr>
      <w:r>
        <w:rPr>
          <w:rFonts w:ascii="바탕" w:hAnsi="바탕" w:eastAsia="바탕"/>
          <w:b w:val="0"/>
          <w:i w:val="0"/>
          <w:sz w:val="20"/>
        </w:rPr>
        <w:t>본 연구 설계의 검출 민감도를 평가한 결과는 Table 8과 같다. 군당 17명, α=0.05(양측), 검정력 0.80 조건에서 군간 비교가 검출할 수 있는 최소 효과크기는 Cohen's d=0.99로 매우 큰 효과에 해당한다. 그러나 실제 관측된 군간 효과크기는 모든 결과변수에서 |d|≤0.58로 이 역치를 밑돌았다. 즉 본 연구는 임상적으로 의미 있는 크기의 군간 차이를 검출하기에는 검정력이 부족하였으며, 따라서 '군간 차이가 유의하지 않았다'는 결과는 두 중재의 동등성을 입증하는 확증적 근거가 아니라 향후 비열등성 설계의 충분한 표본으로 검증되어야 할 탐색적 결과로 해석되어야 한다. (Table 8).</w:t>
      </w:r>
    </w:p>
    <w:p>
      <w:pPr>
        <w:spacing w:before="200" w:after="60"/>
      </w:pPr>
      <w:r>
        <w:rPr>
          <w:rFonts w:ascii="맑은 고딕" w:hAnsi="맑은 고딕" w:eastAsia="맑은 고딕"/>
          <w:b/>
          <w:i w:val="0"/>
          <w:sz w:val="20"/>
        </w:rPr>
        <w:t xml:space="preserve">Table 8. </w:t>
      </w:r>
      <w:r>
        <w:rPr>
          <w:rFonts w:ascii="맑은 고딕" w:hAnsi="맑은 고딕" w:eastAsia="맑은 고딕"/>
          <w:b w:val="0"/>
          <w:i w:val="0"/>
          <w:sz w:val="20"/>
        </w:rPr>
        <w:t>Design sensitivity: minimum detectable between-group effect (independent t-test on change; alpha=.05, two-sided, 80% power)</w:t>
      </w:r>
    </w:p>
    <w:tbl>
      <w:tblPr>
        <w:tblW w:type="auto" w:w="0"/>
        <w:jc w:val="center"/>
        <w:tblLook w:firstColumn="1" w:firstRow="1" w:lastColumn="0" w:lastRow="0" w:noHBand="0" w:noVBand="1" w:val="04A0"/>
      </w:tblPr>
      <w:tblGrid>
        <w:gridCol w:w="1531"/>
        <w:gridCol w:w="1531"/>
        <w:gridCol w:w="1531"/>
        <w:gridCol w:w="1531"/>
        <w:gridCol w:w="1531"/>
        <w:gridCol w:w="1531"/>
      </w:tblGrid>
      <w:tr>
        <w:tc>
          <w:tcPr>
            <w:tcW w:type="dxa" w:w="1587"/>
            <w:tcBorders>
              <w:top w:val="single" w:sz="8" w:color="000000"/>
              <w:bottom w:val="single" w:sz="8" w:color="000000"/>
            </w:tcBorders>
          </w:tcPr>
          <w:p>
            <w:pPr>
              <w:spacing w:after="20" w:before="20" w:line="264" w:lineRule="auto"/>
              <w:jc w:val="center"/>
            </w:pPr>
            <w:r/>
            <w:r>
              <w:rPr>
                <w:rFonts w:ascii="바탕" w:hAnsi="바탕" w:eastAsia="바탕"/>
                <w:b/>
                <w:i w:val="0"/>
                <w:sz w:val="18"/>
              </w:rPr>
              <w:t>Outcome</w:t>
            </w:r>
          </w:p>
        </w:tc>
        <w:tc>
          <w:tcPr>
            <w:tcW w:type="dxa" w:w="1474"/>
            <w:tcBorders>
              <w:top w:val="single" w:sz="8" w:color="000000"/>
              <w:bottom w:val="single" w:sz="8" w:color="000000"/>
            </w:tcBorders>
          </w:tcPr>
          <w:p>
            <w:pPr>
              <w:spacing w:after="20" w:before="20" w:line="264" w:lineRule="auto"/>
              <w:jc w:val="center"/>
            </w:pPr>
            <w:r/>
            <w:r>
              <w:rPr>
                <w:rFonts w:ascii="바탕" w:hAnsi="바탕" w:eastAsia="바탕"/>
                <w:b/>
                <w:i w:val="0"/>
                <w:sz w:val="18"/>
              </w:rPr>
              <w:t>Δ between (°)</w:t>
            </w:r>
          </w:p>
        </w:tc>
        <w:tc>
          <w:tcPr>
            <w:tcW w:type="dxa" w:w="1247"/>
            <w:tcBorders>
              <w:top w:val="single" w:sz="8" w:color="000000"/>
              <w:bottom w:val="single" w:sz="8" w:color="000000"/>
            </w:tcBorders>
          </w:tcPr>
          <w:p>
            <w:pPr>
              <w:spacing w:after="20" w:before="20" w:line="264" w:lineRule="auto"/>
              <w:jc w:val="center"/>
            </w:pPr>
            <w:r/>
            <w:r>
              <w:rPr>
                <w:rFonts w:ascii="바탕" w:hAnsi="바탕" w:eastAsia="바탕"/>
                <w:b/>
                <w:i w:val="0"/>
                <w:sz w:val="18"/>
              </w:rPr>
              <w:t>Observed d</w:t>
            </w:r>
          </w:p>
        </w:tc>
        <w:tc>
          <w:tcPr>
            <w:tcW w:type="dxa" w:w="1247"/>
            <w:tcBorders>
              <w:top w:val="single" w:sz="8" w:color="000000"/>
              <w:bottom w:val="single" w:sz="8" w:color="000000"/>
            </w:tcBorders>
          </w:tcPr>
          <w:p>
            <w:pPr>
              <w:spacing w:after="20" w:before="20" w:line="264" w:lineRule="auto"/>
              <w:jc w:val="center"/>
            </w:pPr>
            <w:r/>
            <w:r>
              <w:rPr>
                <w:rFonts w:ascii="바탕" w:hAnsi="바탕" w:eastAsia="바탕"/>
                <w:b/>
                <w:i w:val="0"/>
                <w:sz w:val="18"/>
              </w:rPr>
              <w:t>MDE (d)</w:t>
            </w:r>
          </w:p>
        </w:tc>
        <w:tc>
          <w:tcPr>
            <w:tcW w:type="dxa" w:w="1134"/>
            <w:tcBorders>
              <w:top w:val="single" w:sz="8" w:color="000000"/>
              <w:bottom w:val="single" w:sz="8" w:color="000000"/>
            </w:tcBorders>
          </w:tcPr>
          <w:p>
            <w:pPr>
              <w:spacing w:after="20" w:before="20" w:line="264" w:lineRule="auto"/>
              <w:jc w:val="center"/>
            </w:pPr>
            <w:r/>
            <w:r>
              <w:rPr>
                <w:rFonts w:ascii="바탕" w:hAnsi="바탕" w:eastAsia="바탕"/>
                <w:b/>
                <w:i w:val="0"/>
                <w:sz w:val="18"/>
              </w:rPr>
              <w:t>MDE (°)</w:t>
            </w:r>
          </w:p>
        </w:tc>
        <w:tc>
          <w:tcPr>
            <w:tcW w:type="dxa" w:w="1247"/>
            <w:tcBorders>
              <w:top w:val="single" w:sz="8" w:color="000000"/>
              <w:bottom w:val="single" w:sz="8" w:color="000000"/>
            </w:tcBorders>
          </w:tcPr>
          <w:p>
            <w:pPr>
              <w:spacing w:after="20" w:before="20" w:line="264" w:lineRule="auto"/>
              <w:jc w:val="center"/>
            </w:pPr>
            <w:r/>
            <w:r>
              <w:rPr>
                <w:rFonts w:ascii="바탕" w:hAnsi="바탕" w:eastAsia="바탕"/>
                <w:b/>
                <w:i w:val="0"/>
                <w:sz w:val="18"/>
              </w:rPr>
              <w:t>Detectable?</w:t>
            </w:r>
          </w:p>
        </w:tc>
      </w:tr>
      <w:tr>
        <w:tc>
          <w:tcPr>
            <w:tcW w:type="dxa" w:w="1587"/>
          </w:tcPr>
          <w:p>
            <w:pPr>
              <w:spacing w:after="20" w:before="20" w:line="264" w:lineRule="auto"/>
              <w:jc w:val="center"/>
            </w:pPr>
            <w:r/>
            <w:r>
              <w:rPr>
                <w:rFonts w:ascii="바탕" w:hAnsi="바탕" w:eastAsia="바탕"/>
                <w:b w:val="0"/>
                <w:i w:val="0"/>
                <w:sz w:val="18"/>
              </w:rPr>
              <w:t>CVA</w:t>
            </w:r>
          </w:p>
        </w:tc>
        <w:tc>
          <w:tcPr>
            <w:tcW w:type="dxa" w:w="1474"/>
          </w:tcPr>
          <w:p>
            <w:pPr>
              <w:spacing w:after="20" w:before="20" w:line="264" w:lineRule="auto"/>
              <w:jc w:val="center"/>
            </w:pPr>
            <w:r/>
            <w:r>
              <w:rPr>
                <w:rFonts w:ascii="바탕" w:hAnsi="바탕" w:eastAsia="바탕"/>
                <w:b w:val="0"/>
                <w:i w:val="0"/>
                <w:sz w:val="18"/>
              </w:rPr>
              <w:t>+2.55</w:t>
            </w:r>
          </w:p>
        </w:tc>
        <w:tc>
          <w:tcPr>
            <w:tcW w:type="dxa" w:w="1247"/>
          </w:tcPr>
          <w:p>
            <w:pPr>
              <w:spacing w:after="20" w:before="20" w:line="264" w:lineRule="auto"/>
              <w:jc w:val="center"/>
            </w:pPr>
            <w:r/>
            <w:r>
              <w:rPr>
                <w:rFonts w:ascii="바탕" w:hAnsi="바탕" w:eastAsia="바탕"/>
                <w:b w:val="0"/>
                <w:i w:val="0"/>
                <w:sz w:val="18"/>
              </w:rPr>
              <w:t>+0.41</w:t>
            </w:r>
          </w:p>
        </w:tc>
        <w:tc>
          <w:tcPr>
            <w:tcW w:type="dxa" w:w="1247"/>
          </w:tcPr>
          <w:p>
            <w:pPr>
              <w:spacing w:after="20" w:before="20" w:line="264" w:lineRule="auto"/>
              <w:jc w:val="center"/>
            </w:pPr>
            <w:r/>
            <w:r>
              <w:rPr>
                <w:rFonts w:ascii="바탕" w:hAnsi="바탕" w:eastAsia="바탕"/>
                <w:b w:val="0"/>
                <w:i w:val="0"/>
                <w:sz w:val="18"/>
              </w:rPr>
              <w:t>0.99</w:t>
            </w:r>
          </w:p>
        </w:tc>
        <w:tc>
          <w:tcPr>
            <w:tcW w:type="dxa" w:w="1134"/>
          </w:tcPr>
          <w:p>
            <w:pPr>
              <w:spacing w:after="20" w:before="20" w:line="264" w:lineRule="auto"/>
              <w:jc w:val="center"/>
            </w:pPr>
            <w:r/>
            <w:r>
              <w:rPr>
                <w:rFonts w:ascii="바탕" w:hAnsi="바탕" w:eastAsia="바탕"/>
                <w:b w:val="0"/>
                <w:i w:val="0"/>
                <w:sz w:val="18"/>
              </w:rPr>
              <w:t>6.2</w:t>
            </w:r>
          </w:p>
        </w:tc>
        <w:tc>
          <w:tcPr>
            <w:tcW w:type="dxa" w:w="1247"/>
          </w:tcPr>
          <w:p>
            <w:pPr>
              <w:spacing w:after="20" w:before="20" w:line="264" w:lineRule="auto"/>
              <w:jc w:val="center"/>
            </w:pPr>
            <w:r/>
            <w:r>
              <w:rPr>
                <w:rFonts w:ascii="바탕" w:hAnsi="바탕" w:eastAsia="바탕"/>
                <w:b w:val="0"/>
                <w:i w:val="0"/>
                <w:sz w:val="18"/>
              </w:rPr>
              <w:t>no</w:t>
            </w:r>
          </w:p>
        </w:tc>
      </w:tr>
      <w:tr>
        <w:tc>
          <w:tcPr>
            <w:tcW w:type="dxa" w:w="1587"/>
          </w:tcPr>
          <w:p>
            <w:pPr>
              <w:spacing w:after="20" w:before="20" w:line="264" w:lineRule="auto"/>
              <w:jc w:val="left"/>
            </w:pPr>
            <w:r/>
            <w:r>
              <w:rPr>
                <w:rFonts w:ascii="바탕" w:hAnsi="바탕" w:eastAsia="바탕"/>
                <w:b w:val="0"/>
                <w:i w:val="0"/>
                <w:sz w:val="18"/>
              </w:rPr>
              <w:t>Flexion</w:t>
            </w:r>
          </w:p>
        </w:tc>
        <w:tc>
          <w:tcPr>
            <w:tcW w:type="dxa" w:w="1474"/>
          </w:tcPr>
          <w:p>
            <w:pPr>
              <w:spacing w:after="20" w:before="20" w:line="264" w:lineRule="auto"/>
              <w:jc w:val="center"/>
            </w:pPr>
            <w:r/>
            <w:r>
              <w:rPr>
                <w:rFonts w:ascii="바탕" w:hAnsi="바탕" w:eastAsia="바탕"/>
                <w:b w:val="0"/>
                <w:i w:val="0"/>
                <w:sz w:val="18"/>
              </w:rPr>
              <w:t>-1.69</w:t>
            </w:r>
          </w:p>
        </w:tc>
        <w:tc>
          <w:tcPr>
            <w:tcW w:type="dxa" w:w="1247"/>
          </w:tcPr>
          <w:p>
            <w:pPr>
              <w:spacing w:after="20" w:before="20" w:line="264" w:lineRule="auto"/>
              <w:jc w:val="center"/>
            </w:pPr>
            <w:r/>
            <w:r>
              <w:rPr>
                <w:rFonts w:ascii="바탕" w:hAnsi="바탕" w:eastAsia="바탕"/>
                <w:b w:val="0"/>
                <w:i w:val="0"/>
                <w:sz w:val="18"/>
              </w:rPr>
              <w:t>-0.13</w:t>
            </w:r>
          </w:p>
        </w:tc>
        <w:tc>
          <w:tcPr>
            <w:tcW w:type="dxa" w:w="1247"/>
          </w:tcPr>
          <w:p>
            <w:pPr>
              <w:spacing w:after="20" w:before="20" w:line="264" w:lineRule="auto"/>
              <w:jc w:val="center"/>
            </w:pPr>
            <w:r/>
            <w:r>
              <w:rPr>
                <w:rFonts w:ascii="바탕" w:hAnsi="바탕" w:eastAsia="바탕"/>
                <w:b w:val="0"/>
                <w:i w:val="0"/>
                <w:sz w:val="18"/>
              </w:rPr>
              <w:t>0.99</w:t>
            </w:r>
          </w:p>
        </w:tc>
        <w:tc>
          <w:tcPr>
            <w:tcW w:type="dxa" w:w="1134"/>
          </w:tcPr>
          <w:p>
            <w:pPr>
              <w:spacing w:after="20" w:before="20" w:line="264" w:lineRule="auto"/>
              <w:jc w:val="center"/>
            </w:pPr>
            <w:r/>
            <w:r>
              <w:rPr>
                <w:rFonts w:ascii="바탕" w:hAnsi="바탕" w:eastAsia="바탕"/>
                <w:b w:val="0"/>
                <w:i w:val="0"/>
                <w:sz w:val="18"/>
              </w:rPr>
              <w:t>12.9</w:t>
            </w:r>
          </w:p>
        </w:tc>
        <w:tc>
          <w:tcPr>
            <w:tcW w:type="dxa" w:w="1247"/>
          </w:tcPr>
          <w:p>
            <w:pPr>
              <w:spacing w:after="20" w:before="20" w:line="264" w:lineRule="auto"/>
              <w:jc w:val="center"/>
            </w:pPr>
            <w:r/>
            <w:r>
              <w:rPr>
                <w:rFonts w:ascii="바탕" w:hAnsi="바탕" w:eastAsia="바탕"/>
                <w:b w:val="0"/>
                <w:i w:val="0"/>
                <w:sz w:val="18"/>
              </w:rPr>
              <w:t>no</w:t>
            </w:r>
          </w:p>
        </w:tc>
      </w:tr>
      <w:tr>
        <w:tc>
          <w:tcPr>
            <w:tcW w:type="dxa" w:w="1587"/>
          </w:tcPr>
          <w:p>
            <w:pPr>
              <w:spacing w:after="20" w:before="20" w:line="264" w:lineRule="auto"/>
              <w:jc w:val="left"/>
            </w:pPr>
            <w:r/>
            <w:r>
              <w:rPr>
                <w:rFonts w:ascii="바탕" w:hAnsi="바탕" w:eastAsia="바탕"/>
                <w:b w:val="0"/>
                <w:i w:val="0"/>
                <w:sz w:val="18"/>
              </w:rPr>
              <w:t>Extension</w:t>
            </w:r>
          </w:p>
        </w:tc>
        <w:tc>
          <w:tcPr>
            <w:tcW w:type="dxa" w:w="1474"/>
          </w:tcPr>
          <w:p>
            <w:pPr>
              <w:spacing w:after="20" w:before="20" w:line="264" w:lineRule="auto"/>
              <w:jc w:val="center"/>
            </w:pPr>
            <w:r/>
            <w:r>
              <w:rPr>
                <w:rFonts w:ascii="바탕" w:hAnsi="바탕" w:eastAsia="바탕"/>
                <w:b w:val="0"/>
                <w:i w:val="0"/>
                <w:sz w:val="18"/>
              </w:rPr>
              <w:t>+3.35</w:t>
            </w:r>
          </w:p>
        </w:tc>
        <w:tc>
          <w:tcPr>
            <w:tcW w:type="dxa" w:w="1247"/>
          </w:tcPr>
          <w:p>
            <w:pPr>
              <w:spacing w:after="20" w:before="20" w:line="264" w:lineRule="auto"/>
              <w:jc w:val="center"/>
            </w:pPr>
            <w:r/>
            <w:r>
              <w:rPr>
                <w:rFonts w:ascii="바탕" w:hAnsi="바탕" w:eastAsia="바탕"/>
                <w:b w:val="0"/>
                <w:i w:val="0"/>
                <w:sz w:val="18"/>
              </w:rPr>
              <w:t>+0.24</w:t>
            </w:r>
          </w:p>
        </w:tc>
        <w:tc>
          <w:tcPr>
            <w:tcW w:type="dxa" w:w="1247"/>
          </w:tcPr>
          <w:p>
            <w:pPr>
              <w:spacing w:after="20" w:before="20" w:line="264" w:lineRule="auto"/>
              <w:jc w:val="center"/>
            </w:pPr>
            <w:r/>
            <w:r>
              <w:rPr>
                <w:rFonts w:ascii="바탕" w:hAnsi="바탕" w:eastAsia="바탕"/>
                <w:b w:val="0"/>
                <w:i w:val="0"/>
                <w:sz w:val="18"/>
              </w:rPr>
              <w:t>0.99</w:t>
            </w:r>
          </w:p>
        </w:tc>
        <w:tc>
          <w:tcPr>
            <w:tcW w:type="dxa" w:w="1134"/>
          </w:tcPr>
          <w:p>
            <w:pPr>
              <w:spacing w:after="20" w:before="20" w:line="264" w:lineRule="auto"/>
              <w:jc w:val="center"/>
            </w:pPr>
            <w:r/>
            <w:r>
              <w:rPr>
                <w:rFonts w:ascii="바탕" w:hAnsi="바탕" w:eastAsia="바탕"/>
                <w:b w:val="0"/>
                <w:i w:val="0"/>
                <w:sz w:val="18"/>
              </w:rPr>
              <w:t>14.0</w:t>
            </w:r>
          </w:p>
        </w:tc>
        <w:tc>
          <w:tcPr>
            <w:tcW w:type="dxa" w:w="1247"/>
          </w:tcPr>
          <w:p>
            <w:pPr>
              <w:spacing w:after="20" w:before="20" w:line="264" w:lineRule="auto"/>
              <w:jc w:val="center"/>
            </w:pPr>
            <w:r/>
            <w:r>
              <w:rPr>
                <w:rFonts w:ascii="바탕" w:hAnsi="바탕" w:eastAsia="바탕"/>
                <w:b w:val="0"/>
                <w:i w:val="0"/>
                <w:sz w:val="18"/>
              </w:rPr>
              <w:t>no</w:t>
            </w:r>
          </w:p>
        </w:tc>
      </w:tr>
      <w:tr>
        <w:tc>
          <w:tcPr>
            <w:tcW w:type="dxa" w:w="1587"/>
          </w:tcPr>
          <w:p>
            <w:pPr>
              <w:spacing w:after="20" w:before="20" w:line="264" w:lineRule="auto"/>
              <w:jc w:val="left"/>
            </w:pPr>
            <w:r/>
            <w:r>
              <w:rPr>
                <w:rFonts w:ascii="바탕" w:hAnsi="바탕" w:eastAsia="바탕"/>
                <w:b w:val="0"/>
                <w:i w:val="0"/>
                <w:sz w:val="18"/>
              </w:rPr>
              <w:t>Lat. flexion (R)</w:t>
            </w:r>
          </w:p>
        </w:tc>
        <w:tc>
          <w:tcPr>
            <w:tcW w:type="dxa" w:w="1474"/>
          </w:tcPr>
          <w:p>
            <w:pPr>
              <w:spacing w:after="20" w:before="20" w:line="264" w:lineRule="auto"/>
              <w:jc w:val="center"/>
            </w:pPr>
            <w:r/>
            <w:r>
              <w:rPr>
                <w:rFonts w:ascii="바탕" w:hAnsi="바탕" w:eastAsia="바탕"/>
                <w:b w:val="0"/>
                <w:i w:val="0"/>
                <w:sz w:val="18"/>
              </w:rPr>
              <w:t>+0.84</w:t>
            </w:r>
          </w:p>
        </w:tc>
        <w:tc>
          <w:tcPr>
            <w:tcW w:type="dxa" w:w="1247"/>
          </w:tcPr>
          <w:p>
            <w:pPr>
              <w:spacing w:after="20" w:before="20" w:line="264" w:lineRule="auto"/>
              <w:jc w:val="center"/>
            </w:pPr>
            <w:r/>
            <w:r>
              <w:rPr>
                <w:rFonts w:ascii="바탕" w:hAnsi="바탕" w:eastAsia="바탕"/>
                <w:b w:val="0"/>
                <w:i w:val="0"/>
                <w:sz w:val="18"/>
              </w:rPr>
              <w:t>+0.12</w:t>
            </w:r>
          </w:p>
        </w:tc>
        <w:tc>
          <w:tcPr>
            <w:tcW w:type="dxa" w:w="1247"/>
          </w:tcPr>
          <w:p>
            <w:pPr>
              <w:spacing w:after="20" w:before="20" w:line="264" w:lineRule="auto"/>
              <w:jc w:val="center"/>
            </w:pPr>
            <w:r/>
            <w:r>
              <w:rPr>
                <w:rFonts w:ascii="바탕" w:hAnsi="바탕" w:eastAsia="바탕"/>
                <w:b w:val="0"/>
                <w:i w:val="0"/>
                <w:sz w:val="18"/>
              </w:rPr>
              <w:t>0.99</w:t>
            </w:r>
          </w:p>
        </w:tc>
        <w:tc>
          <w:tcPr>
            <w:tcW w:type="dxa" w:w="1134"/>
          </w:tcPr>
          <w:p>
            <w:pPr>
              <w:spacing w:after="20" w:before="20" w:line="264" w:lineRule="auto"/>
              <w:jc w:val="center"/>
            </w:pPr>
            <w:r/>
            <w:r>
              <w:rPr>
                <w:rFonts w:ascii="바탕" w:hAnsi="바탕" w:eastAsia="바탕"/>
                <w:b w:val="0"/>
                <w:i w:val="0"/>
                <w:sz w:val="18"/>
              </w:rPr>
              <w:t>7.1</w:t>
            </w:r>
          </w:p>
        </w:tc>
        <w:tc>
          <w:tcPr>
            <w:tcW w:type="dxa" w:w="1247"/>
          </w:tcPr>
          <w:p>
            <w:pPr>
              <w:spacing w:after="20" w:before="20" w:line="264" w:lineRule="auto"/>
              <w:jc w:val="center"/>
            </w:pPr>
            <w:r/>
            <w:r>
              <w:rPr>
                <w:rFonts w:ascii="바탕" w:hAnsi="바탕" w:eastAsia="바탕"/>
                <w:b w:val="0"/>
                <w:i w:val="0"/>
                <w:sz w:val="18"/>
              </w:rPr>
              <w:t>no</w:t>
            </w:r>
          </w:p>
        </w:tc>
      </w:tr>
      <w:tr>
        <w:tc>
          <w:tcPr>
            <w:tcW w:type="dxa" w:w="1587"/>
          </w:tcPr>
          <w:p>
            <w:pPr>
              <w:spacing w:after="20" w:before="20" w:line="264" w:lineRule="auto"/>
              <w:jc w:val="left"/>
            </w:pPr>
            <w:r/>
            <w:r>
              <w:rPr>
                <w:rFonts w:ascii="바탕" w:hAnsi="바탕" w:eastAsia="바탕"/>
                <w:b w:val="0"/>
                <w:i w:val="0"/>
                <w:sz w:val="18"/>
              </w:rPr>
              <w:t>Lat. flexion (L)</w:t>
            </w:r>
          </w:p>
        </w:tc>
        <w:tc>
          <w:tcPr>
            <w:tcW w:type="dxa" w:w="1474"/>
          </w:tcPr>
          <w:p>
            <w:pPr>
              <w:spacing w:after="20" w:before="20" w:line="264" w:lineRule="auto"/>
              <w:jc w:val="center"/>
            </w:pPr>
            <w:r/>
            <w:r>
              <w:rPr>
                <w:rFonts w:ascii="바탕" w:hAnsi="바탕" w:eastAsia="바탕"/>
                <w:b w:val="0"/>
                <w:i w:val="0"/>
                <w:sz w:val="18"/>
              </w:rPr>
              <w:t>-0.28</w:t>
            </w:r>
          </w:p>
        </w:tc>
        <w:tc>
          <w:tcPr>
            <w:tcW w:type="dxa" w:w="1247"/>
          </w:tcPr>
          <w:p>
            <w:pPr>
              <w:spacing w:after="20" w:before="20" w:line="264" w:lineRule="auto"/>
              <w:jc w:val="center"/>
            </w:pPr>
            <w:r/>
            <w:r>
              <w:rPr>
                <w:rFonts w:ascii="바탕" w:hAnsi="바탕" w:eastAsia="바탕"/>
                <w:b w:val="0"/>
                <w:i w:val="0"/>
                <w:sz w:val="18"/>
              </w:rPr>
              <w:t>-0.02</w:t>
            </w:r>
          </w:p>
        </w:tc>
        <w:tc>
          <w:tcPr>
            <w:tcW w:type="dxa" w:w="1247"/>
          </w:tcPr>
          <w:p>
            <w:pPr>
              <w:spacing w:after="20" w:before="20" w:line="264" w:lineRule="auto"/>
              <w:jc w:val="center"/>
            </w:pPr>
            <w:r/>
            <w:r>
              <w:rPr>
                <w:rFonts w:ascii="바탕" w:hAnsi="바탕" w:eastAsia="바탕"/>
                <w:b w:val="0"/>
                <w:i w:val="0"/>
                <w:sz w:val="18"/>
              </w:rPr>
              <w:t>0.99</w:t>
            </w:r>
          </w:p>
        </w:tc>
        <w:tc>
          <w:tcPr>
            <w:tcW w:type="dxa" w:w="1134"/>
          </w:tcPr>
          <w:p>
            <w:pPr>
              <w:spacing w:after="20" w:before="20" w:line="264" w:lineRule="auto"/>
              <w:jc w:val="center"/>
            </w:pPr>
            <w:r/>
            <w:r>
              <w:rPr>
                <w:rFonts w:ascii="바탕" w:hAnsi="바탕" w:eastAsia="바탕"/>
                <w:b w:val="0"/>
                <w:i w:val="0"/>
                <w:sz w:val="18"/>
              </w:rPr>
              <w:t>11.4</w:t>
            </w:r>
          </w:p>
        </w:tc>
        <w:tc>
          <w:tcPr>
            <w:tcW w:type="dxa" w:w="1247"/>
          </w:tcPr>
          <w:p>
            <w:pPr>
              <w:spacing w:after="20" w:before="20" w:line="264" w:lineRule="auto"/>
              <w:jc w:val="center"/>
            </w:pPr>
            <w:r/>
            <w:r>
              <w:rPr>
                <w:rFonts w:ascii="바탕" w:hAnsi="바탕" w:eastAsia="바탕"/>
                <w:b w:val="0"/>
                <w:i w:val="0"/>
                <w:sz w:val="18"/>
              </w:rPr>
              <w:t>no</w:t>
            </w:r>
          </w:p>
        </w:tc>
      </w:tr>
      <w:tr>
        <w:tc>
          <w:tcPr>
            <w:tcW w:type="dxa" w:w="1587"/>
          </w:tcPr>
          <w:p>
            <w:pPr>
              <w:spacing w:after="20" w:before="20" w:line="264" w:lineRule="auto"/>
              <w:jc w:val="left"/>
            </w:pPr>
            <w:r/>
            <w:r>
              <w:rPr>
                <w:rFonts w:ascii="바탕" w:hAnsi="바탕" w:eastAsia="바탕"/>
                <w:b w:val="0"/>
                <w:i w:val="0"/>
                <w:sz w:val="18"/>
              </w:rPr>
              <w:t>Rotation (R)</w:t>
            </w:r>
          </w:p>
        </w:tc>
        <w:tc>
          <w:tcPr>
            <w:tcW w:type="dxa" w:w="1474"/>
          </w:tcPr>
          <w:p>
            <w:pPr>
              <w:spacing w:after="20" w:before="20" w:line="264" w:lineRule="auto"/>
              <w:jc w:val="center"/>
            </w:pPr>
            <w:r/>
            <w:r>
              <w:rPr>
                <w:rFonts w:ascii="바탕" w:hAnsi="바탕" w:eastAsia="바탕"/>
                <w:b w:val="0"/>
                <w:i w:val="0"/>
                <w:sz w:val="18"/>
              </w:rPr>
              <w:t>-7.16</w:t>
            </w:r>
          </w:p>
        </w:tc>
        <w:tc>
          <w:tcPr>
            <w:tcW w:type="dxa" w:w="1247"/>
          </w:tcPr>
          <w:p>
            <w:pPr>
              <w:spacing w:after="20" w:before="20" w:line="264" w:lineRule="auto"/>
              <w:jc w:val="center"/>
            </w:pPr>
            <w:r/>
            <w:r>
              <w:rPr>
                <w:rFonts w:ascii="바탕" w:hAnsi="바탕" w:eastAsia="바탕"/>
                <w:b w:val="0"/>
                <w:i w:val="0"/>
                <w:sz w:val="18"/>
              </w:rPr>
              <w:t>-0.58</w:t>
            </w:r>
          </w:p>
        </w:tc>
        <w:tc>
          <w:tcPr>
            <w:tcW w:type="dxa" w:w="1247"/>
          </w:tcPr>
          <w:p>
            <w:pPr>
              <w:spacing w:after="20" w:before="20" w:line="264" w:lineRule="auto"/>
              <w:jc w:val="center"/>
            </w:pPr>
            <w:r/>
            <w:r>
              <w:rPr>
                <w:rFonts w:ascii="바탕" w:hAnsi="바탕" w:eastAsia="바탕"/>
                <w:b w:val="0"/>
                <w:i w:val="0"/>
                <w:sz w:val="18"/>
              </w:rPr>
              <w:t>0.99</w:t>
            </w:r>
          </w:p>
        </w:tc>
        <w:tc>
          <w:tcPr>
            <w:tcW w:type="dxa" w:w="1134"/>
          </w:tcPr>
          <w:p>
            <w:pPr>
              <w:spacing w:after="20" w:before="20" w:line="264" w:lineRule="auto"/>
              <w:jc w:val="center"/>
            </w:pPr>
            <w:r/>
            <w:r>
              <w:rPr>
                <w:rFonts w:ascii="바탕" w:hAnsi="바탕" w:eastAsia="바탕"/>
                <w:b w:val="0"/>
                <w:i w:val="0"/>
                <w:sz w:val="18"/>
              </w:rPr>
              <w:t>12.3</w:t>
            </w:r>
          </w:p>
        </w:tc>
        <w:tc>
          <w:tcPr>
            <w:tcW w:type="dxa" w:w="1247"/>
          </w:tcPr>
          <w:p>
            <w:pPr>
              <w:spacing w:after="20" w:before="20" w:line="264" w:lineRule="auto"/>
              <w:jc w:val="center"/>
            </w:pPr>
            <w:r/>
            <w:r>
              <w:rPr>
                <w:rFonts w:ascii="바탕" w:hAnsi="바탕" w:eastAsia="바탕"/>
                <w:b w:val="0"/>
                <w:i w:val="0"/>
                <w:sz w:val="18"/>
              </w:rPr>
              <w:t>no</w:t>
            </w:r>
          </w:p>
        </w:tc>
      </w:tr>
      <w:tr>
        <w:tc>
          <w:tcPr>
            <w:tcW w:type="dxa" w:w="1587"/>
            <w:tcBorders>
              <w:bottom w:val="single" w:sz="8" w:color="000000"/>
            </w:tcBorders>
          </w:tcPr>
          <w:p>
            <w:pPr>
              <w:spacing w:after="20" w:before="20" w:line="264" w:lineRule="auto"/>
              <w:jc w:val="left"/>
            </w:pPr>
            <w:r/>
            <w:r>
              <w:rPr>
                <w:rFonts w:ascii="바탕" w:hAnsi="바탕" w:eastAsia="바탕"/>
                <w:b w:val="0"/>
                <w:i w:val="0"/>
                <w:sz w:val="18"/>
              </w:rPr>
              <w:t>Rotation (L)</w:t>
            </w:r>
          </w:p>
        </w:tc>
        <w:tc>
          <w:tcPr>
            <w:tcW w:type="dxa" w:w="1474"/>
            <w:tcBorders>
              <w:bottom w:val="single" w:sz="8" w:color="000000"/>
            </w:tcBorders>
          </w:tcPr>
          <w:p>
            <w:pPr>
              <w:spacing w:after="20" w:before="20" w:line="264" w:lineRule="auto"/>
              <w:jc w:val="center"/>
            </w:pPr>
            <w:r/>
            <w:r>
              <w:rPr>
                <w:rFonts w:ascii="바탕" w:hAnsi="바탕" w:eastAsia="바탕"/>
                <w:b w:val="0"/>
                <w:i w:val="0"/>
                <w:sz w:val="18"/>
              </w:rPr>
              <w:t>-5.09</w:t>
            </w:r>
          </w:p>
        </w:tc>
        <w:tc>
          <w:tcPr>
            <w:tcW w:type="dxa" w:w="1247"/>
            <w:tcBorders>
              <w:bottom w:val="single" w:sz="8" w:color="000000"/>
            </w:tcBorders>
          </w:tcPr>
          <w:p>
            <w:pPr>
              <w:spacing w:after="20" w:before="20" w:line="264" w:lineRule="auto"/>
              <w:jc w:val="center"/>
            </w:pPr>
            <w:r/>
            <w:r>
              <w:rPr>
                <w:rFonts w:ascii="바탕" w:hAnsi="바탕" w:eastAsia="바탕"/>
                <w:b w:val="0"/>
                <w:i w:val="0"/>
                <w:sz w:val="18"/>
              </w:rPr>
              <w:t>-0.46</w:t>
            </w:r>
          </w:p>
        </w:tc>
        <w:tc>
          <w:tcPr>
            <w:tcW w:type="dxa" w:w="1247"/>
            <w:tcBorders>
              <w:bottom w:val="single" w:sz="8" w:color="000000"/>
            </w:tcBorders>
          </w:tcPr>
          <w:p>
            <w:pPr>
              <w:spacing w:after="20" w:before="20" w:line="264" w:lineRule="auto"/>
              <w:jc w:val="center"/>
            </w:pPr>
            <w:r/>
            <w:r>
              <w:rPr>
                <w:rFonts w:ascii="바탕" w:hAnsi="바탕" w:eastAsia="바탕"/>
                <w:b w:val="0"/>
                <w:i w:val="0"/>
                <w:sz w:val="18"/>
              </w:rPr>
              <w:t>0.99</w:t>
            </w:r>
          </w:p>
        </w:tc>
        <w:tc>
          <w:tcPr>
            <w:tcW w:type="dxa" w:w="1134"/>
            <w:tcBorders>
              <w:bottom w:val="single" w:sz="8" w:color="000000"/>
            </w:tcBorders>
          </w:tcPr>
          <w:p>
            <w:pPr>
              <w:spacing w:after="20" w:before="20" w:line="264" w:lineRule="auto"/>
              <w:jc w:val="center"/>
            </w:pPr>
            <w:r/>
            <w:r>
              <w:rPr>
                <w:rFonts w:ascii="바탕" w:hAnsi="바탕" w:eastAsia="바탕"/>
                <w:b w:val="0"/>
                <w:i w:val="0"/>
                <w:sz w:val="18"/>
              </w:rPr>
              <w:t>10.9</w:t>
            </w:r>
          </w:p>
        </w:tc>
        <w:tc>
          <w:tcPr>
            <w:tcW w:type="dxa" w:w="1247"/>
            <w:tcBorders>
              <w:bottom w:val="single" w:sz="8" w:color="000000"/>
            </w:tcBorders>
          </w:tcPr>
          <w:p>
            <w:pPr>
              <w:spacing w:after="20" w:before="20" w:line="264" w:lineRule="auto"/>
              <w:jc w:val="center"/>
            </w:pPr>
            <w:r/>
            <w:r>
              <w:rPr>
                <w:rFonts w:ascii="바탕" w:hAnsi="바탕" w:eastAsia="바탕"/>
                <w:b w:val="0"/>
                <w:i w:val="0"/>
                <w:sz w:val="18"/>
              </w:rPr>
              <w:t>no</w:t>
            </w:r>
          </w:p>
        </w:tc>
      </w:tr>
    </w:tbl>
    <w:p>
      <w:pPr>
        <w:spacing w:before="20" w:after="60" w:line="264" w:lineRule="auto"/>
      </w:pPr>
      <w:r>
        <w:rPr>
          <w:rFonts w:ascii="바탕" w:hAnsi="바탕" w:eastAsia="바탕"/>
          <w:b w:val="0"/>
          <w:i w:val="0"/>
          <w:sz w:val="17"/>
        </w:rPr>
        <w:t>MDE = minimum detectable effect (80% power). All observed between-group effects fell below the MDE, indicating the between-group comparison was statistically underpowered (exploratory).</w:t>
      </w:r>
    </w:p>
    <w:p>
      <w:pPr>
        <w:spacing w:before="280" w:after="140" w:line="312" w:lineRule="auto"/>
      </w:pPr>
      <w:r>
        <w:rPr>
          <w:rFonts w:ascii="맑은 고딕" w:hAnsi="맑은 고딕" w:eastAsia="맑은 고딕"/>
          <w:b/>
          <w:i w:val="0"/>
          <w:sz w:val="24"/>
        </w:rPr>
        <w:t>Ⅳ. 고찰</w:t>
      </w:r>
    </w:p>
    <w:p>
      <w:pPr>
        <w:spacing w:before="0" w:after="120" w:line="384" w:lineRule="auto"/>
        <w:ind w:firstLine="567"/>
      </w:pPr>
      <w:r>
        <w:rPr>
          <w:rFonts w:ascii="바탕" w:hAnsi="바탕" w:eastAsia="바탕"/>
          <w:b w:val="0"/>
          <w:i w:val="0"/>
          <w:sz w:val="20"/>
        </w:rPr>
        <w:t>본 연구는 FHP를 가진 대학생을 대상으로 대상 집단의 평균 특성을 반영한 AI 생성 운동 프로그램과 표준 임상 운동 프로그램의 효과를 비교하였다. 주요 결과는 두 군 모두 중재 후 CVA와 대부분의 CROM 방향에서 유의한 개선을 보였으나, 그 개선 정도에서 군간 유의한 차이가 없었다는 점이다. 이에 따라 AI 생성 운동이 표준 임상 운동보다 우월할 것이라는 대립가설은 기각되었고, 두 중재가 유사한 수준의 효과를 나타냄을 확인하였다.</w:t>
      </w:r>
    </w:p>
    <w:p>
      <w:pPr>
        <w:spacing w:before="0" w:after="120" w:line="384" w:lineRule="auto"/>
        <w:ind w:firstLine="567"/>
      </w:pPr>
      <w:r>
        <w:rPr>
          <w:rFonts w:ascii="바탕" w:hAnsi="바탕" w:eastAsia="바탕"/>
          <w:b w:val="0"/>
          <w:i w:val="0"/>
          <w:sz w:val="20"/>
        </w:rPr>
        <w:t>두 운동 프로그램 모두에서 관찰된 CVA의 큰 개선(부분 η²=0.80)은 선행 연구와 일치한다. Sheikhhoseini 등[8]의 메타분석은 교정운동이 CVA를 유의하게 개선함을 보고하였으며, Janda의 상교차증후군 모델[6]과 경추 운동학[7]은 심경부굴곡근 강화와 단축근 신장이 머리의 전방 전위를 감소시키는 기전을 설명한다. 본 연구의 두 프로그램 또한 이러한 공통된 운동 요소를 포함하였으므로 유사한 기전을 통해 자세가 개선된 것으로 해석된다. 또한 capital flexion exercise[13]와 맥켄지 신전 운동[14]이 CVA 및 경추 정렬 개선에 효과적이라는 보고는 본 연구 대조군의 결과를 뒷받침한다.</w:t>
      </w:r>
    </w:p>
    <w:p>
      <w:pPr>
        <w:spacing w:before="0" w:after="120" w:line="384" w:lineRule="auto"/>
        <w:ind w:firstLine="567"/>
      </w:pPr>
      <w:r>
        <w:rPr>
          <w:rFonts w:ascii="바탕" w:hAnsi="바탕" w:eastAsia="바탕"/>
          <w:b w:val="0"/>
          <w:i w:val="0"/>
          <w:sz w:val="20"/>
        </w:rPr>
        <w:t>CROM의 경우 신전과 좌·우 회전에서 두 군 모두 비교적 큰 시점 효과가 관찰된 반면, 굴곡에서는 유의한 변화가 나타나지 않았다. 이는 본 연구의 중재가 단축된 후경부 신전근의 신장과 경추 신전 가동성 회복에 초점을 둔 운동 요소를 공통적으로 포함한 데 따른 것으로 보이며, 굴곡 가동범위는 상대적으로 변화가 작았던 것으로 해석된다.</w:t>
      </w:r>
    </w:p>
    <w:p>
      <w:pPr>
        <w:spacing w:before="0" w:after="120" w:line="384" w:lineRule="auto"/>
        <w:ind w:firstLine="567"/>
      </w:pPr>
      <w:r>
        <w:rPr>
          <w:rFonts w:ascii="바탕" w:hAnsi="바탕" w:eastAsia="바탕"/>
          <w:b w:val="0"/>
          <w:i w:val="0"/>
          <w:sz w:val="20"/>
        </w:rPr>
        <w:t>본 연구의 핵심 발견은 AI가 생성한 운동 프로그램의 효과가 임상 전문가가 설계한 표준 운동 프로그램과 통계적으로 유의한 차이를 보이지 않았다는 점이다. 이는 LLM 기반 생성형 AI가 집단의 평균 특성을 반영하여 근거 기반 운동 요소를 적절히 포함한 프로그램을 생성할 수 있음을 시사하며, 생성형 AI의 운동 처방 활용 가능성을 제시한 선행 보고[11,12]와 맥을 같이 한다. 특히 전문가 접근이 제한적인 환경에서 AI 생성 운동 프로그램은 접근성과 확장성이 높은 자가관리 보조 수단으로서 임상적 의의를 가질 수 있다.</w:t>
      </w:r>
    </w:p>
    <w:p>
      <w:pPr>
        <w:spacing w:before="0" w:after="120" w:line="384" w:lineRule="auto"/>
        <w:ind w:firstLine="567"/>
      </w:pPr>
      <w:r>
        <w:rPr>
          <w:rFonts w:ascii="바탕" w:hAnsi="바탕" w:eastAsia="바탕"/>
          <w:b w:val="0"/>
          <w:i w:val="0"/>
          <w:sz w:val="20"/>
        </w:rPr>
        <w:t>다만 군×시점 상호작용과 변화량의 군간 차이가 유의하지 않았다는 결과를 '두 중재가 동등하다'로 해석할 때에는 주의가 필요하다. 본 연구는 비열등성(non-inferiority) 또는 동등성 검정을 목적으로 설계되지 않았고 표본수가 제한적이어서, 존재할 수 있는 군간 차이를 검출할 통계적 검정력이 충분하지 않았을 수 있다(설계 민감도 분석상 80% 검정력으로 검출 가능한 최소 군간 효과크기는 매우 큰 수준이었다; Table 8). 따라서 본 결과는 '유의한 차이를 발견하지 못하였다'로 해석하는 것이 타당하며, 두 중재의 동등성을 확정하기 위해서는 비열등성 설계의 대규모 연구가 필요하다.</w:t>
      </w:r>
    </w:p>
    <w:p>
      <w:pPr>
        <w:spacing w:before="0" w:after="120" w:line="384" w:lineRule="auto"/>
        <w:ind w:firstLine="567"/>
      </w:pPr>
      <w:r>
        <w:rPr>
          <w:rFonts w:ascii="바탕" w:hAnsi="바탕" w:eastAsia="바탕"/>
          <w:b w:val="0"/>
          <w:i w:val="0"/>
          <w:sz w:val="20"/>
        </w:rPr>
        <w:t>본 연구의 제한점은 다음과 같다. 첫째, 사전·사후 자료가 모두 확보된 최종 분석 대상이 34명으로 표본수가 작고 6명의 자료 누락이 발생하여 검정력에 제약이 있었다. 둘째, 중재 기간이 5주로 비교적 짧고 추적관찰이 이루어지지 않아 장기 효과를 확인하지 못하였다. 셋째, 대상이 단일 대학의 대학생에 국한되어 결과를 일반화하는 데 한계가 있다. 넷째, AI 생성 운동 프로그램의 질은 입력 프롬프트와 모델 버전에 따라 달라질 수 있어, 3회 반복 생성으로 일관성을 확인하였음에도 재현성에 제약이 있다. 다섯째, 사진 측정법을 이용한 CVA 측정은 촬영 조건의 영향을 받을 수 있다.</w:t>
      </w:r>
    </w:p>
    <w:p>
      <w:pPr>
        <w:spacing w:before="0" w:after="120" w:line="384" w:lineRule="auto"/>
        <w:ind w:firstLine="567"/>
      </w:pPr>
      <w:r>
        <w:rPr>
          <w:rFonts w:ascii="바탕" w:hAnsi="바탕" w:eastAsia="바탕"/>
          <w:b w:val="0"/>
          <w:i w:val="0"/>
          <w:sz w:val="20"/>
        </w:rPr>
        <w:t>향후 연구에서는 충분한 검정력을 확보한 표본을 대상으로 비열등성 설계를 적용하고, 장기 추적관찰과 함께 경부장애지수(NDI), 통증 등 기능적·증상적 결과변수를 포함하며, 다양한 연령과 직업군으로 대상을 확대할 필요가 있다. 또한 AI 모델·프롬프트의 표준화 및 생성된 운동 프로그램의 질 평가 방법에 대한 후속 연구가 요구된다.</w:t>
      </w:r>
    </w:p>
    <w:p>
      <w:pPr>
        <w:spacing w:before="280" w:after="140" w:line="312" w:lineRule="auto"/>
      </w:pPr>
      <w:r>
        <w:rPr>
          <w:rFonts w:ascii="맑은 고딕" w:hAnsi="맑은 고딕" w:eastAsia="맑은 고딕"/>
          <w:b/>
          <w:i w:val="0"/>
          <w:sz w:val="24"/>
        </w:rPr>
        <w:t>Ⅴ. 결론</w:t>
      </w:r>
    </w:p>
    <w:p>
      <w:pPr>
        <w:spacing w:before="0" w:after="120" w:line="384" w:lineRule="auto"/>
        <w:ind w:firstLine="567"/>
      </w:pPr>
      <w:r>
        <w:rPr>
          <w:rFonts w:ascii="바탕" w:hAnsi="바탕" w:eastAsia="바탕"/>
          <w:b w:val="0"/>
          <w:i w:val="0"/>
          <w:sz w:val="20"/>
        </w:rPr>
        <w:t>본 연구 결과, 대상 집단의 평균 특성을 반영하여 AI가 생성한 운동 프로그램은 표준 임상 운동 프로그램에 비해 통계적으로 유의하게 더 큰 개선을 보이지는 않았으나, 두 프로그램 모두 FHP 대학생의 두개척추각과 경추 가동범위를 유사한 수준으로 유의하게 개선하였다. 이는 AI 생성 운동 프로그램이 표준 임상 운동에 상응하는 효과를 가지면서 접근성과 확장성이 높은 대안적 중재로 활용될 가능성을 시사한다. 다만 표본수와 연구설계의 제한을 고려할 때, 두 중재의 동등성을 확증하기 위해서는 비열등성 설계의 대규모 후속 연구가 요구된다.</w:t>
      </w:r>
    </w:p>
    <w:p>
      <w:pPr>
        <w:spacing w:before="180" w:after="80" w:line="312" w:lineRule="auto"/>
      </w:pPr>
      <w:r>
        <w:rPr>
          <w:rFonts w:ascii="맑은 고딕" w:hAnsi="맑은 고딕" w:eastAsia="맑은 고딕"/>
          <w:b/>
          <w:i w:val="0"/>
          <w:sz w:val="22"/>
        </w:rPr>
        <w:t>선언 (Declarations)</w:t>
      </w:r>
    </w:p>
    <w:p>
      <w:pPr>
        <w:spacing w:line="360" w:lineRule="auto" w:after="80"/>
      </w:pPr>
      <w:r>
        <w:rPr>
          <w:rFonts w:ascii="바탕" w:hAnsi="바탕" w:eastAsia="바탕"/>
          <w:b/>
          <w:i w:val="0"/>
          <w:sz w:val="20"/>
        </w:rPr>
        <w:t xml:space="preserve">연구윤리 승인 (Ethics approval). </w:t>
      </w:r>
      <w:r>
        <w:rPr>
          <w:rFonts w:ascii="바탕" w:hAnsi="바탕" w:eastAsia="바탕"/>
          <w:b w:val="0"/>
          <w:i w:val="0"/>
          <w:sz w:val="20"/>
        </w:rPr>
        <w:t>본 연구는 헬싱키 선언(Declaration of Helsinki)의 윤리 원칙을 준수하였다. [기관생명윤리위원회(IRB) 승인 여부·승인기관·승인번호를 사실대로 기입. 예: '○○대학교 생명윤리위원회 승인, 승인번호 ___'. 심의면제 또는 미승인인 경우 그 사유를 기재.] 모든 참여자로부터 서면 동의를 취득하였다.</w:t>
      </w:r>
    </w:p>
    <w:p>
      <w:pPr>
        <w:spacing w:line="360" w:lineRule="auto" w:after="80"/>
      </w:pPr>
      <w:r>
        <w:rPr>
          <w:rFonts w:ascii="바탕" w:hAnsi="바탕" w:eastAsia="바탕"/>
          <w:b/>
          <w:i w:val="0"/>
          <w:sz w:val="20"/>
        </w:rPr>
        <w:t xml:space="preserve">임상시험 등록 (Trial registration). </w:t>
      </w:r>
      <w:r>
        <w:rPr>
          <w:rFonts w:ascii="바탕" w:hAnsi="바탕" w:eastAsia="바탕"/>
          <w:b w:val="0"/>
          <w:i w:val="0"/>
          <w:sz w:val="20"/>
        </w:rPr>
        <w:t>[사전 등록 여부와 등록번호를 사실대로 기입. 예: '임상연구정보서비스(CRIS, https://cris.nih.go.kr) 등록번호 KCT________'. 미등록인 경우 '본 연구는 사전 등록되지 않았다'로 명시.]</w:t>
      </w:r>
    </w:p>
    <w:p>
      <w:pPr>
        <w:spacing w:line="360" w:lineRule="auto" w:after="80"/>
      </w:pPr>
      <w:r>
        <w:rPr>
          <w:rFonts w:ascii="바탕" w:hAnsi="바탕" w:eastAsia="바탕"/>
          <w:b/>
          <w:i w:val="0"/>
          <w:sz w:val="20"/>
        </w:rPr>
        <w:t xml:space="preserve">연구비 지원 (Funding). </w:t>
      </w:r>
      <w:r>
        <w:rPr>
          <w:rFonts w:ascii="바탕" w:hAnsi="바탕" w:eastAsia="바탕"/>
          <w:b w:val="0"/>
          <w:i w:val="0"/>
          <w:sz w:val="20"/>
        </w:rPr>
        <w:t>[연구비 지원 내역을 기입. 해당 없을 경우 '본 연구는 외부 연구비 지원을 받지 않았다'로 명시.]</w:t>
      </w:r>
    </w:p>
    <w:p>
      <w:pPr>
        <w:spacing w:line="360" w:lineRule="auto" w:after="80"/>
      </w:pPr>
      <w:r>
        <w:rPr>
          <w:rFonts w:ascii="바탕" w:hAnsi="바탕" w:eastAsia="바탕"/>
          <w:b/>
          <w:i w:val="0"/>
          <w:sz w:val="20"/>
        </w:rPr>
        <w:t xml:space="preserve">이해상충 (Conflict of interest). </w:t>
      </w:r>
      <w:r>
        <w:rPr>
          <w:rFonts w:ascii="바탕" w:hAnsi="바탕" w:eastAsia="바탕"/>
          <w:b w:val="0"/>
          <w:i w:val="0"/>
          <w:sz w:val="20"/>
        </w:rPr>
        <w:t>[이해상충 여부를 기입. 해당 없을 경우 '저자들은 본 연구와 관련하여 이해상충이 없음을 선언한다'로 명시.]</w:t>
      </w:r>
    </w:p>
    <w:p>
      <w:pPr>
        <w:spacing w:line="360" w:lineRule="auto" w:after="80"/>
      </w:pPr>
      <w:r>
        <w:rPr>
          <w:rFonts w:ascii="바탕" w:hAnsi="바탕" w:eastAsia="바탕"/>
          <w:b/>
          <w:i w:val="0"/>
          <w:sz w:val="20"/>
        </w:rPr>
        <w:t xml:space="preserve">저자 기여 (Author contributions). </w:t>
      </w:r>
      <w:r>
        <w:rPr>
          <w:rFonts w:ascii="바탕" w:hAnsi="바탕" w:eastAsia="바탕"/>
          <w:b w:val="0"/>
          <w:i w:val="0"/>
          <w:sz w:val="20"/>
        </w:rPr>
        <w:t>[ICMJE 기준에 따라 기입. 예: 연구 착안 및 설계 ___; 자료 수집 ___; 통계 분석 및 해석 ___; 원고 초안 작성 ___; 비판적 검토 및 최종 원고 승인: 전 저자.]</w:t>
      </w:r>
    </w:p>
    <w:p>
      <w:pPr>
        <w:spacing w:line="360" w:lineRule="auto" w:after="80"/>
      </w:pPr>
      <w:r>
        <w:rPr>
          <w:rFonts w:ascii="바탕" w:hAnsi="바탕" w:eastAsia="바탕"/>
          <w:b/>
          <w:i w:val="0"/>
          <w:sz w:val="20"/>
        </w:rPr>
        <w:t xml:space="preserve">데이터 및 코드 가용성 (Data and code availability). </w:t>
      </w:r>
      <w:r>
        <w:rPr>
          <w:rFonts w:ascii="바탕" w:hAnsi="바탕" w:eastAsia="바탕"/>
          <w:b w:val="0"/>
          <w:i w:val="0"/>
          <w:sz w:val="20"/>
        </w:rPr>
        <w:t>본 연구에서 사용한 개인식별정보 제거(익명화) 측정 자료와 전체 분석 코드는 공개 저장소에서 확인할 수 있다: https://github.com/y3korea/fhp-ai-rct. 개인식별정보(이름·학번·생년)가 포함된 원자료는 공개 대상에서 제외된다.</w:t>
      </w:r>
    </w:p>
    <w:p>
      <w:pPr>
        <w:spacing w:before="280" w:after="140" w:line="312" w:lineRule="auto"/>
      </w:pPr>
      <w:r>
        <w:rPr>
          <w:rFonts w:ascii="맑은 고딕" w:hAnsi="맑은 고딕" w:eastAsia="맑은 고딕"/>
          <w:b/>
          <w:i w:val="0"/>
          <w:sz w:val="24"/>
        </w:rPr>
        <w:t>Ⅵ. 참고문헌</w:t>
      </w:r>
    </w:p>
    <w:p>
      <w:pPr>
        <w:spacing w:line="312" w:lineRule="auto" w:after="40"/>
        <w:ind w:left="397" w:hanging="397"/>
      </w:pPr>
      <w:r>
        <w:rPr>
          <w:rFonts w:ascii="Times New Roman" w:hAnsi="Times New Roman" w:eastAsia="Times New Roman"/>
          <w:b w:val="0"/>
          <w:i w:val="0"/>
          <w:sz w:val="19"/>
        </w:rPr>
        <w:t xml:space="preserve">1. Salahzadeh Z, Maroufi N, Ahmadi A, Behtash H, Razmjoo A, Gohari M, Parnianpour M. Assessment of forward head posture in females: Observational and photogrammetry methods. J Back Musculoskelet Rehabil. 2014;27(2):131-139. </w:t>
      </w:r>
      <w:hyperlink r:id="rId15">
        <w:r>
          <w:rPr>
            <w:color w:val="0563C1"/>
            <w:u w:val="single"/>
            <w:rFonts w:eastAsia="Times New Roman" w:ascii="Times New Roman" w:hAnsi="Times New Roman"/>
            <w:sz w:val="19"/>
          </w:rPr>
          <w:t xml:space="preserve">https://doi.org/10.3233/BMR-130426</w:t>
        </w:r>
      </w:hyperlink>
    </w:p>
    <w:p>
      <w:pPr>
        <w:spacing w:line="312" w:lineRule="auto" w:after="40"/>
        <w:ind w:left="397" w:hanging="397"/>
      </w:pPr>
      <w:r>
        <w:rPr>
          <w:rFonts w:ascii="Times New Roman" w:hAnsi="Times New Roman" w:eastAsia="Times New Roman"/>
          <w:b w:val="0"/>
          <w:i w:val="0"/>
          <w:sz w:val="19"/>
        </w:rPr>
        <w:t xml:space="preserve">2. Singh S, Kaushal K, Jasrotia S. Prevalence of Forward Head Posture and Its Impact on the Activity of Daily Living Among Students of Adesh University: A Cross-Sectional Study. Adesh Univ J Med Sci Res. 2020;2(2):99-102. </w:t>
      </w:r>
      <w:hyperlink r:id="rId16">
        <w:r>
          <w:rPr>
            <w:color w:val="0563C1"/>
            <w:u w:val="single"/>
            <w:rFonts w:eastAsia="Times New Roman" w:ascii="Times New Roman" w:hAnsi="Times New Roman"/>
            <w:sz w:val="19"/>
          </w:rPr>
          <w:t xml:space="preserve">https://doi.org/10.25259/AUJMSR_18_2020</w:t>
        </w:r>
      </w:hyperlink>
    </w:p>
    <w:p>
      <w:pPr>
        <w:spacing w:line="312" w:lineRule="auto" w:after="40"/>
        <w:ind w:left="397" w:hanging="397"/>
      </w:pPr>
      <w:r>
        <w:rPr>
          <w:rFonts w:ascii="Times New Roman" w:hAnsi="Times New Roman" w:eastAsia="Times New Roman"/>
          <w:b w:val="0"/>
          <w:i w:val="0"/>
          <w:sz w:val="19"/>
        </w:rPr>
        <w:t xml:space="preserve">3. Fernández-de-las-Peñas C, Alonso-Blanco C, Cuadrado ML, Pareja JA. Forward head posture and neck mobility in chronic tension-type headache: a blinded, controlled study. Cephalalgia. 2006;26(3):314-319. </w:t>
      </w:r>
      <w:hyperlink r:id="rId17">
        <w:r>
          <w:rPr>
            <w:color w:val="0563C1"/>
            <w:u w:val="single"/>
            <w:rFonts w:eastAsia="Times New Roman" w:ascii="Times New Roman" w:hAnsi="Times New Roman"/>
            <w:sz w:val="19"/>
          </w:rPr>
          <w:t xml:space="preserve">https://doi.org/10.1111/j.1468-2982.2005.01042.x</w:t>
        </w:r>
      </w:hyperlink>
    </w:p>
    <w:p>
      <w:pPr>
        <w:spacing w:line="312" w:lineRule="auto" w:after="40"/>
        <w:ind w:left="397" w:hanging="397"/>
      </w:pPr>
      <w:r>
        <w:rPr>
          <w:rFonts w:ascii="Times New Roman" w:hAnsi="Times New Roman" w:eastAsia="Times New Roman"/>
          <w:b w:val="0"/>
          <w:i w:val="0"/>
          <w:sz w:val="19"/>
        </w:rPr>
        <w:t xml:space="preserve">4. Kim DH, Kim CJ, Son SM. Neck Pain in Adults with Forward Head Posture: Effects of Craniovertebral Angle and Cervical Range of Motion. Osong Public Health Res Perspect. 2018;9(6):309-313. </w:t>
      </w:r>
      <w:hyperlink r:id="rId18">
        <w:r>
          <w:rPr>
            <w:color w:val="0563C1"/>
            <w:u w:val="single"/>
            <w:rFonts w:eastAsia="Times New Roman" w:ascii="Times New Roman" w:hAnsi="Times New Roman"/>
            <w:sz w:val="19"/>
          </w:rPr>
          <w:t xml:space="preserve">https://doi.org/10.24171/j.phrp.2018.9.6.04</w:t>
        </w:r>
      </w:hyperlink>
    </w:p>
    <w:p>
      <w:pPr>
        <w:spacing w:line="312" w:lineRule="auto" w:after="40"/>
        <w:ind w:left="397" w:hanging="397"/>
      </w:pPr>
      <w:r>
        <w:rPr>
          <w:rFonts w:ascii="Times New Roman" w:hAnsi="Times New Roman" w:eastAsia="Times New Roman"/>
          <w:b w:val="0"/>
          <w:i w:val="0"/>
          <w:sz w:val="19"/>
        </w:rPr>
        <w:t xml:space="preserve">5. Kang JH, Park RY, Lee SJ, Kim JY, Yoon SR, Jung KI. The effect of the forward head posture on postural balance in long time computer based worker. Ann Rehabil Med. 2012;36(1):98-104. </w:t>
      </w:r>
      <w:hyperlink r:id="rId19">
        <w:r>
          <w:rPr>
            <w:color w:val="0563C1"/>
            <w:u w:val="single"/>
            <w:rFonts w:eastAsia="Times New Roman" w:ascii="Times New Roman" w:hAnsi="Times New Roman"/>
            <w:sz w:val="19"/>
          </w:rPr>
          <w:t xml:space="preserve">https://doi.org/10.5535/arm.2012.36.1.98</w:t>
        </w:r>
      </w:hyperlink>
    </w:p>
    <w:p>
      <w:pPr>
        <w:spacing w:line="312" w:lineRule="auto" w:after="40"/>
        <w:ind w:left="397" w:hanging="397"/>
      </w:pPr>
      <w:r>
        <w:rPr>
          <w:rFonts w:ascii="Times New Roman" w:hAnsi="Times New Roman" w:eastAsia="Times New Roman"/>
          <w:b w:val="0"/>
          <w:i w:val="0"/>
          <w:sz w:val="19"/>
        </w:rPr>
        <w:t xml:space="preserve">6. Janda V. Muscles and motor control in cervicogenic disorders. In: Grant R, ed. Physical Therapy of the Cervical and Thoracic Spine. New York: Churchill Livingstone; 1994:195-216. </w:t>
      </w:r>
    </w:p>
    <w:p>
      <w:pPr>
        <w:spacing w:line="312" w:lineRule="auto" w:after="40"/>
        <w:ind w:left="397" w:hanging="397"/>
      </w:pPr>
      <w:r>
        <w:rPr>
          <w:rFonts w:ascii="Times New Roman" w:hAnsi="Times New Roman" w:eastAsia="Times New Roman"/>
          <w:b w:val="0"/>
          <w:i w:val="0"/>
          <w:sz w:val="19"/>
        </w:rPr>
        <w:t xml:space="preserve">7. Neumann DA. Kinesiology of the Musculoskeletal System: Foundations for Rehabilitation. 3rd ed. St. Louis: Elsevier; 2017. </w:t>
      </w:r>
    </w:p>
    <w:p>
      <w:pPr>
        <w:spacing w:line="312" w:lineRule="auto" w:after="40"/>
        <w:ind w:left="397" w:hanging="397"/>
      </w:pPr>
      <w:r>
        <w:rPr>
          <w:rFonts w:ascii="Times New Roman" w:hAnsi="Times New Roman" w:eastAsia="Times New Roman"/>
          <w:b w:val="0"/>
          <w:i w:val="0"/>
          <w:sz w:val="19"/>
        </w:rPr>
        <w:t xml:space="preserve">8. Sheikhhoseini R, Shahrbanian S, Sayyadi P, O'Sullivan K. Effectiveness of Therapeutic Exercise on Forward Head Posture: A Systematic Review and Meta-analysis. J Manipulative Physiol Ther. 2018;41(6):530-539. </w:t>
      </w:r>
      <w:hyperlink r:id="rId20">
        <w:r>
          <w:rPr>
            <w:color w:val="0563C1"/>
            <w:u w:val="single"/>
            <w:rFonts w:eastAsia="Times New Roman" w:ascii="Times New Roman" w:hAnsi="Times New Roman"/>
            <w:sz w:val="19"/>
          </w:rPr>
          <w:t xml:space="preserve">https://doi.org/10.1016/j.jmpt.2018.02.002</w:t>
        </w:r>
      </w:hyperlink>
    </w:p>
    <w:p>
      <w:pPr>
        <w:spacing w:line="312" w:lineRule="auto" w:after="40"/>
        <w:ind w:left="397" w:hanging="397"/>
      </w:pPr>
      <w:r>
        <w:rPr>
          <w:rFonts w:ascii="Times New Roman" w:hAnsi="Times New Roman" w:eastAsia="Times New Roman"/>
          <w:b w:val="0"/>
          <w:i w:val="0"/>
          <w:sz w:val="19"/>
        </w:rPr>
        <w:t xml:space="preserve">9. Kim D, Cho M, Park Y, Yang Y. Effect of an exercise program for posture correction on musculoskeletal pain. J Phys Ther Sci. 2015;27(6):1791-1794. </w:t>
      </w:r>
      <w:hyperlink r:id="rId21">
        <w:r>
          <w:rPr>
            <w:color w:val="0563C1"/>
            <w:u w:val="single"/>
            <w:rFonts w:eastAsia="Times New Roman" w:ascii="Times New Roman" w:hAnsi="Times New Roman"/>
            <w:sz w:val="19"/>
          </w:rPr>
          <w:t xml:space="preserve">https://doi.org/10.1589/jpts.27.1791</w:t>
        </w:r>
      </w:hyperlink>
    </w:p>
    <w:p>
      <w:pPr>
        <w:spacing w:line="312" w:lineRule="auto" w:after="40"/>
        <w:ind w:left="397" w:hanging="397"/>
      </w:pPr>
      <w:r>
        <w:rPr>
          <w:rFonts w:ascii="Times New Roman" w:hAnsi="Times New Roman" w:eastAsia="Times New Roman"/>
          <w:b w:val="0"/>
          <w:i w:val="0"/>
          <w:sz w:val="19"/>
        </w:rPr>
        <w:t xml:space="preserve">10. Topol EJ. High-performance medicine: the convergence of human and artificial intelligence. Nat Med. 2019;25(1):44-56. </w:t>
      </w:r>
      <w:hyperlink r:id="rId22">
        <w:r>
          <w:rPr>
            <w:color w:val="0563C1"/>
            <w:u w:val="single"/>
            <w:rFonts w:eastAsia="Times New Roman" w:ascii="Times New Roman" w:hAnsi="Times New Roman"/>
            <w:sz w:val="19"/>
          </w:rPr>
          <w:t xml:space="preserve">https://doi.org/10.1038/s41591-018-0300-7</w:t>
        </w:r>
      </w:hyperlink>
    </w:p>
    <w:p>
      <w:pPr>
        <w:spacing w:line="312" w:lineRule="auto" w:after="40"/>
        <w:ind w:left="397" w:hanging="397"/>
      </w:pPr>
      <w:r>
        <w:rPr>
          <w:rFonts w:ascii="Times New Roman" w:hAnsi="Times New Roman" w:eastAsia="Times New Roman"/>
          <w:b w:val="0"/>
          <w:i w:val="0"/>
          <w:sz w:val="19"/>
        </w:rPr>
        <w:t xml:space="preserve">11. Puce L, Bragazzi NL, Currà A, Trompetto C. Harnessing Generative Artificial Intelligence for Exercise and Training Prescription: Applications and Implications in Sports and Physical Activity—A Systematic Literature Review. Appl Sci. 2025;15(7):3497. </w:t>
      </w:r>
      <w:hyperlink r:id="rId23">
        <w:r>
          <w:rPr>
            <w:color w:val="0563C1"/>
            <w:u w:val="single"/>
            <w:rFonts w:eastAsia="Times New Roman" w:ascii="Times New Roman" w:hAnsi="Times New Roman"/>
            <w:sz w:val="19"/>
          </w:rPr>
          <w:t xml:space="preserve">https://doi.org/10.3390/app15073497</w:t>
        </w:r>
      </w:hyperlink>
    </w:p>
    <w:p>
      <w:pPr>
        <w:spacing w:line="312" w:lineRule="auto" w:after="40"/>
        <w:ind w:left="397" w:hanging="397"/>
      </w:pPr>
      <w:r>
        <w:rPr>
          <w:rFonts w:ascii="Times New Roman" w:hAnsi="Times New Roman" w:eastAsia="Times New Roman"/>
          <w:b w:val="0"/>
          <w:i w:val="0"/>
          <w:sz w:val="19"/>
        </w:rPr>
        <w:t xml:space="preserve">12. Dergaa I, Ben Saad H, El Omri A, Glenn JM, Clark CCT, Washif JA, et al. Using artificial intelligence for exercise prescription in personalised health promotion: A critical evaluation of OpenAI's GPT-4 model. Biol Sport. 2024;41(2):221-241. </w:t>
      </w:r>
      <w:hyperlink r:id="rId24">
        <w:r>
          <w:rPr>
            <w:color w:val="0563C1"/>
            <w:u w:val="single"/>
            <w:rFonts w:eastAsia="Times New Roman" w:ascii="Times New Roman" w:hAnsi="Times New Roman"/>
            <w:sz w:val="19"/>
          </w:rPr>
          <w:t xml:space="preserve">https://doi.org/10.5114/biolsport.2024.133661</w:t>
        </w:r>
      </w:hyperlink>
    </w:p>
    <w:p>
      <w:pPr>
        <w:spacing w:line="312" w:lineRule="auto" w:after="40"/>
        <w:ind w:left="397" w:hanging="397"/>
      </w:pPr>
      <w:r>
        <w:rPr>
          <w:rFonts w:ascii="Times New Roman" w:hAnsi="Times New Roman" w:eastAsia="Times New Roman"/>
          <w:b w:val="0"/>
          <w:i w:val="0"/>
          <w:sz w:val="19"/>
        </w:rPr>
        <w:t xml:space="preserve">13. Hyeon DA, Kim JS, Lim HW. Effects of Capital Flexion Exercise on Craniovertebral Angle, Trunk Control, Balance, and Gait in Stroke Patients with Forward Head Posture: A Randomized Controlled Trial. Medicina (Kaunas). 2025;61(5):797. </w:t>
      </w:r>
      <w:hyperlink r:id="rId25">
        <w:r>
          <w:rPr>
            <w:color w:val="0563C1"/>
            <w:u w:val="single"/>
            <w:rFonts w:eastAsia="Times New Roman" w:ascii="Times New Roman" w:hAnsi="Times New Roman"/>
            <w:sz w:val="19"/>
          </w:rPr>
          <w:t xml:space="preserve">https://doi.org/10.3390/medicina61050797</w:t>
        </w:r>
      </w:hyperlink>
    </w:p>
    <w:p>
      <w:pPr>
        <w:spacing w:line="312" w:lineRule="auto" w:after="40"/>
        <w:ind w:left="397" w:hanging="397"/>
      </w:pPr>
      <w:r>
        <w:rPr>
          <w:rFonts w:ascii="Times New Roman" w:hAnsi="Times New Roman" w:eastAsia="Times New Roman"/>
          <w:b w:val="0"/>
          <w:i w:val="0"/>
          <w:sz w:val="19"/>
        </w:rPr>
        <w:t xml:space="preserve">14. Joshi S, Sheth M. Effect of McKenzie self-therapy protocol on forward head posture and respiratory functions of school going adolescent girls. Int J Health Sci Res. 2019;9(12):293-298. </w:t>
      </w:r>
    </w:p>
    <w:p>
      <w:pPr>
        <w:spacing w:line="312" w:lineRule="auto" w:after="40"/>
        <w:ind w:left="397" w:hanging="397"/>
      </w:pPr>
      <w:r>
        <w:rPr>
          <w:rFonts w:ascii="Times New Roman" w:hAnsi="Times New Roman" w:eastAsia="Times New Roman"/>
          <w:b w:val="0"/>
          <w:i w:val="0"/>
          <w:sz w:val="19"/>
        </w:rPr>
        <w:t xml:space="preserve">15. Shaghayegh Fard B, Ahmadi A, Maroufi N, Sarrafzadeh J. Evaluation of forward head posture in sitting and standing positions. Eur Spine J. 2016;25(11):3577-3582. </w:t>
      </w:r>
      <w:hyperlink r:id="rId26">
        <w:r>
          <w:rPr>
            <w:color w:val="0563C1"/>
            <w:u w:val="single"/>
            <w:rFonts w:eastAsia="Times New Roman" w:ascii="Times New Roman" w:hAnsi="Times New Roman"/>
            <w:sz w:val="19"/>
          </w:rPr>
          <w:t xml:space="preserve">https://doi.org/10.1007/s00586-015-4254-x</w:t>
        </w:r>
      </w:hyperlink>
    </w:p>
    <w:p>
      <w:pPr>
        <w:spacing w:line="312" w:lineRule="auto" w:after="40"/>
        <w:ind w:left="397" w:hanging="397"/>
      </w:pPr>
      <w:r>
        <w:rPr>
          <w:rFonts w:ascii="Times New Roman" w:hAnsi="Times New Roman" w:eastAsia="Times New Roman"/>
          <w:b w:val="0"/>
          <w:i w:val="0"/>
          <w:sz w:val="19"/>
        </w:rPr>
        <w:t xml:space="preserve">16. Mylonas K, Chatzis G, Makrypidi V, Chrysanthopoulos G, Gkrilias P, Tsekoura M, et al. Reliability of photogrammetric evaluation of the craniovertebral angle, swayback posture, and knee hyperextension in university students. J Phys Ther Sci. 2025;37(4):171-175. </w:t>
      </w:r>
      <w:hyperlink r:id="rId27">
        <w:r>
          <w:rPr>
            <w:color w:val="0563C1"/>
            <w:u w:val="single"/>
            <w:rFonts w:eastAsia="Times New Roman" w:ascii="Times New Roman" w:hAnsi="Times New Roman"/>
            <w:sz w:val="19"/>
          </w:rPr>
          <w:t xml:space="preserve">https://doi.org/10.1589/jpts.37.171</w:t>
        </w:r>
      </w:hyperlink>
    </w:p>
    <w:p>
      <w:pPr>
        <w:spacing w:line="312" w:lineRule="auto" w:after="40"/>
        <w:ind w:left="397" w:hanging="397"/>
      </w:pPr>
      <w:r>
        <w:rPr>
          <w:rFonts w:ascii="Times New Roman" w:hAnsi="Times New Roman" w:eastAsia="Times New Roman"/>
          <w:b w:val="0"/>
          <w:i w:val="0"/>
          <w:sz w:val="19"/>
        </w:rPr>
        <w:t xml:space="preserve">17. Araujo GGC, Pontes-Silva A, Leal PDC, Gomes BS, Reis ML, Lima SKMP, Fidelis-de-Paula-Gomes CA, Dibai-Filho AV. Goniometry and fleximetry measurements to assess cervical range of motion in individuals with chronic neck pain: a validity and reliability study. BMC Musculoskelet Disord. 2024;25(1):651. </w:t>
      </w:r>
      <w:hyperlink r:id="rId28">
        <w:r>
          <w:rPr>
            <w:color w:val="0563C1"/>
            <w:u w:val="single"/>
            <w:rFonts w:eastAsia="Times New Roman" w:ascii="Times New Roman" w:hAnsi="Times New Roman"/>
            <w:sz w:val="19"/>
          </w:rPr>
          <w:t xml:space="preserve">https://doi.org/10.1186/s12891-024-07775-6</w:t>
        </w:r>
      </w:hyperlink>
    </w:p>
    <w:p>
      <w:pPr>
        <w:spacing w:line="312" w:lineRule="auto" w:after="40"/>
        <w:ind w:left="397" w:hanging="397"/>
      </w:pPr>
      <w:r>
        <w:rPr>
          <w:rFonts w:ascii="Times New Roman" w:hAnsi="Times New Roman" w:eastAsia="Times New Roman"/>
          <w:b w:val="0"/>
          <w:i w:val="0"/>
          <w:sz w:val="19"/>
        </w:rPr>
        <w:t xml:space="preserve">18. Al-Hadidi F, Bsisu I, AlRyalat SA, Al-Zu'bi B, Bsisu R, Hamdan M, et al. The relationship between smartphone use and neck pain: A systematic review. Medicine (Baltimore). 2022;101(46):e31617. </w:t>
      </w:r>
      <w:hyperlink r:id="rId29">
        <w:r>
          <w:rPr>
            <w:color w:val="0563C1"/>
            <w:u w:val="single"/>
            <w:rFonts w:eastAsia="Times New Roman" w:ascii="Times New Roman" w:hAnsi="Times New Roman"/>
            <w:sz w:val="19"/>
          </w:rPr>
          <w:t xml:space="preserve">https://doi.org/10.1097/MD.0000000000031617</w:t>
        </w:r>
      </w:hyperlink>
    </w:p>
    <w:p>
      <w:pPr>
        <w:spacing w:line="312" w:lineRule="auto" w:after="40"/>
        <w:ind w:left="397" w:hanging="397"/>
      </w:pPr>
      <w:r>
        <w:rPr>
          <w:rFonts w:ascii="Times New Roman" w:hAnsi="Times New Roman" w:eastAsia="Times New Roman"/>
          <w:b w:val="0"/>
          <w:i w:val="0"/>
          <w:sz w:val="19"/>
        </w:rPr>
        <w:t xml:space="preserve">19. Ayers JW, Poliak A, Dredze M, Leas EC, Zhu Z, Goldberg JE, et al. Comparing physician and artificial intelligence chatbot responses to patient questions posed to a public social media forum. JAMA Intern Med. 2023;183(6):589-596. </w:t>
      </w:r>
      <w:hyperlink r:id="rId30">
        <w:r>
          <w:rPr>
            <w:color w:val="0563C1"/>
            <w:u w:val="single"/>
            <w:rFonts w:eastAsia="Times New Roman" w:ascii="Times New Roman" w:hAnsi="Times New Roman"/>
            <w:sz w:val="19"/>
          </w:rPr>
          <w:t xml:space="preserve">https://doi.org/10.1001/jamainternmed.2023.1838</w:t>
        </w:r>
      </w:hyperlink>
    </w:p>
    <w:p>
      <w:pPr>
        <w:spacing w:line="312" w:lineRule="auto" w:after="40"/>
        <w:ind w:left="397" w:hanging="397"/>
      </w:pPr>
      <w:r>
        <w:rPr>
          <w:rFonts w:ascii="Times New Roman" w:hAnsi="Times New Roman" w:eastAsia="Times New Roman"/>
          <w:b w:val="0"/>
          <w:i w:val="0"/>
          <w:sz w:val="19"/>
        </w:rPr>
        <w:t xml:space="preserve">20. Kim BB, Yi DH, Yim J. Effect of selective exercise for the deep cervical flexors and extensors on the strength of deep neck muscles and pain in patients with chronic neck pain. J Back Musculoskelet Rehabil. 2016;30(1):211-216. </w:t>
      </w:r>
      <w:hyperlink r:id="rId31">
        <w:r>
          <w:rPr>
            <w:color w:val="0563C1"/>
            <w:u w:val="single"/>
            <w:rFonts w:eastAsia="Times New Roman" w:ascii="Times New Roman" w:hAnsi="Times New Roman"/>
            <w:sz w:val="19"/>
          </w:rPr>
          <w:t xml:space="preserve">https://doi.org/10.3233/BMR-150404</w:t>
        </w:r>
      </w:hyperlink>
    </w:p>
    <w:p>
      <w:pPr>
        <w:spacing w:before="280" w:after="140" w:line="312" w:lineRule="auto"/>
      </w:pPr>
      <w:r>
        <w:rPr>
          <w:rFonts w:ascii="맑은 고딕" w:hAnsi="맑은 고딕" w:eastAsia="맑은 고딕"/>
          <w:b/>
          <w:i w:val="0"/>
          <w:sz w:val="24"/>
        </w:rPr>
        <w:t>Appendix 1. AI 프롬프트</w:t>
      </w:r>
    </w:p>
    <w:p>
      <w:pPr>
        <w:spacing w:before="0" w:after="60" w:line="312" w:lineRule="auto"/>
      </w:pPr>
      <w:r>
        <w:rPr>
          <w:rFonts w:ascii="바탕" w:hAnsi="바탕" w:eastAsia="바탕"/>
          <w:b w:val="0"/>
          <w:i w:val="0"/>
          <w:sz w:val="19"/>
        </w:rPr>
        <w:t>당신은 근골격계 물리치료 전문가입니다. 다음 조건에 해당하는 집단에게 거북목(Forward Head Posture) 교정을 위한 가장 효과적인 운동 3가지를 사용한 운동 프로그램을 작성해주세요.</w:t>
      </w:r>
    </w:p>
    <w:p>
      <w:pPr>
        <w:spacing w:before="0" w:after="60" w:line="312" w:lineRule="auto"/>
      </w:pPr>
      <w:r>
        <w:rPr>
          <w:rFonts w:ascii="바탕" w:hAnsi="바탕" w:eastAsia="바탕"/>
          <w:b w:val="0"/>
          <w:i w:val="0"/>
          <w:sz w:val="19"/>
        </w:rPr>
        <w:t>- 대상자: 20대 대학생</w:t>
      </w:r>
    </w:p>
    <w:p>
      <w:pPr>
        <w:spacing w:before="0" w:after="60" w:line="312" w:lineRule="auto"/>
      </w:pPr>
      <w:r>
        <w:rPr>
          <w:rFonts w:ascii="바탕" w:hAnsi="바탕" w:eastAsia="바탕"/>
          <w:b w:val="0"/>
          <w:i w:val="0"/>
          <w:sz w:val="19"/>
        </w:rPr>
        <w:t>- 증상: 거북목 (CVA &lt; 50°)</w:t>
      </w:r>
    </w:p>
    <w:p>
      <w:pPr>
        <w:spacing w:before="0" w:after="60" w:line="312" w:lineRule="auto"/>
      </w:pPr>
      <w:r>
        <w:rPr>
          <w:rFonts w:ascii="바탕" w:hAnsi="바탕" w:eastAsia="바탕"/>
          <w:b w:val="0"/>
          <w:i w:val="0"/>
          <w:sz w:val="19"/>
        </w:rPr>
        <w:t>- 평균 CVA 각도: (   )</w:t>
      </w:r>
    </w:p>
    <w:p>
      <w:pPr>
        <w:spacing w:before="0" w:after="60" w:line="312" w:lineRule="auto"/>
      </w:pPr>
      <w:r>
        <w:rPr>
          <w:rFonts w:ascii="바탕" w:hAnsi="바탕" w:eastAsia="바탕"/>
          <w:b w:val="0"/>
          <w:i w:val="0"/>
          <w:sz w:val="19"/>
        </w:rPr>
        <w:t>- 평균 ROM 각도: 굽힘:(   ) / 폄:(   ) / 가쪽굽힘(오른쪽):(   ) / 가쪽굽힘(왼쪽):(   ) / 돌림(오른쪽):(   ) / 돌림(왼쪽):(   )</w:t>
      </w:r>
    </w:p>
    <w:p>
      <w:pPr>
        <w:spacing w:before="0" w:after="60" w:line="312" w:lineRule="auto"/>
      </w:pPr>
      <w:r>
        <w:rPr>
          <w:rFonts w:ascii="바탕" w:hAnsi="바탕" w:eastAsia="바탕"/>
          <w:b w:val="0"/>
          <w:i w:val="0"/>
          <w:sz w:val="19"/>
        </w:rPr>
        <w:t>- 목표: CVA(두개척추각) 개선, 경추 ROM 개선</w:t>
      </w:r>
    </w:p>
    <w:p>
      <w:pPr>
        <w:spacing w:before="0" w:after="60" w:line="312" w:lineRule="auto"/>
      </w:pPr>
      <w:r>
        <w:rPr>
          <w:rFonts w:ascii="바탕" w:hAnsi="바탕" w:eastAsia="바탕"/>
          <w:b w:val="0"/>
          <w:i w:val="0"/>
          <w:sz w:val="19"/>
        </w:rPr>
        <w:t>- 조건: 도구 없이 맨몸으로 실시 가능한 운동</w:t>
      </w:r>
    </w:p>
    <w:p>
      <w:pPr>
        <w:spacing w:before="0" w:after="60" w:line="312" w:lineRule="auto"/>
      </w:pPr>
      <w:r>
        <w:rPr>
          <w:rFonts w:ascii="바탕" w:hAnsi="바탕" w:eastAsia="바탕"/>
          <w:b w:val="0"/>
          <w:i w:val="0"/>
          <w:sz w:val="19"/>
        </w:rPr>
        <w:t>- 빈도: 주 2회 20분 / 기간: 5주</w:t>
      </w:r>
    </w:p>
    <w:p>
      <w:pPr>
        <w:spacing w:before="0" w:after="60" w:line="312" w:lineRule="auto"/>
      </w:pPr>
      <w:r>
        <w:rPr>
          <w:rFonts w:ascii="바탕" w:hAnsi="바탕" w:eastAsia="바탕"/>
          <w:b w:val="0"/>
          <w:i w:val="0"/>
          <w:sz w:val="19"/>
        </w:rPr>
        <w:t>- 하루 평균 스마트폰 사용시간: (   )시간</w:t>
      </w:r>
    </w:p>
    <w:p>
      <w:pPr>
        <w:spacing w:before="0" w:after="60" w:line="312" w:lineRule="auto"/>
      </w:pPr>
      <w:r>
        <w:rPr>
          <w:rFonts w:ascii="바탕" w:hAnsi="바탕" w:eastAsia="바탕"/>
          <w:b w:val="0"/>
          <w:i w:val="0"/>
          <w:sz w:val="19"/>
        </w:rPr>
        <w:t>- 평균 VAS 척도: (   )점</w:t>
      </w:r>
    </w:p>
    <w:p>
      <w:pPr>
        <w:spacing w:before="0" w:after="60" w:line="312" w:lineRule="auto"/>
      </w:pPr>
      <w:r>
        <w:rPr>
          <w:rFonts w:ascii="바탕" w:hAnsi="바탕" w:eastAsia="바탕"/>
          <w:b w:val="0"/>
          <w:i w:val="0"/>
          <w:sz w:val="19"/>
        </w:rPr>
        <w:t>- 주요증상: (   )</w:t>
      </w:r>
    </w:p>
    <w:p>
      <w:pPr>
        <w:spacing w:before="0" w:after="60" w:line="312" w:lineRule="auto"/>
      </w:pPr>
      <w:r>
        <w:rPr>
          <w:rFonts w:ascii="바탕" w:hAnsi="바탕" w:eastAsia="바탕"/>
          <w:b w:val="0"/>
          <w:i w:val="0"/>
          <w:sz w:val="19"/>
        </w:rPr>
        <w:t>다음 형식으로 답변해 주세요: 1. 운동 이름(한글+영문) 2. 운동 방법(단계별 설명) 3. 세트 수 및 반복 횟수 4. 주의사항 5. 이 운동을 선택한 근거(참고문헌 포함) 6. 환자가 알기 쉽게 쉬운 단어를 사용.</w:t>
      </w:r>
    </w:p>
    <w:p>
      <w:pPr>
        <w:spacing w:before="0" w:after="60" w:line="312" w:lineRule="auto"/>
      </w:pPr>
      <w:r>
        <w:rPr>
          <w:rFonts w:ascii="바탕" w:hAnsi="바탕" w:eastAsia="바탕"/>
          <w:b w:val="0"/>
          <w:i w:val="0"/>
          <w:sz w:val="19"/>
        </w:rPr>
        <w:t>* 괄호 안의 (   )에는 사전 평가에서 측정된 대상자 집단의 평균값을 입력함.  * AI 모델: Claude Opus 4.5 (Anthropic, San Francisco, CA, USA)  * 접속: https://claude.ai 웹 인터페이스(기본 설정)  * 접속 시점: 2026년 4월</w:t>
      </w:r>
    </w:p>
    <w:p>
      <w:pPr>
        <w:spacing w:before="180" w:after="80" w:line="312" w:lineRule="auto"/>
      </w:pPr>
      <w:r>
        <w:rPr>
          <w:rFonts w:ascii="맑은 고딕" w:hAnsi="맑은 고딕" w:eastAsia="맑은 고딕"/>
          <w:b/>
          <w:i w:val="0"/>
          <w:sz w:val="22"/>
        </w:rPr>
        <w:t>작성자 최종 확인 사항</w:t>
      </w:r>
    </w:p>
    <w:p>
      <w:pPr>
        <w:spacing w:before="0" w:after="40" w:line="312" w:lineRule="auto"/>
      </w:pPr>
      <w:r>
        <w:rPr>
          <w:rFonts w:ascii="바탕" w:hAnsi="바탕" w:eastAsia="바탕"/>
          <w:b w:val="0"/>
          <w:i w:val="0"/>
          <w:color w:val="B03030"/>
          <w:sz w:val="18"/>
        </w:rPr>
        <w:t>※ 작성자 최종 확인 사항</w:t>
      </w:r>
    </w:p>
    <w:p>
      <w:pPr>
        <w:spacing w:before="0" w:after="40" w:line="312" w:lineRule="auto"/>
      </w:pPr>
      <w:r>
        <w:rPr>
          <w:rFonts w:ascii="바탕" w:hAnsi="바탕" w:eastAsia="바탕"/>
          <w:b w:val="0"/>
          <w:i w:val="0"/>
          <w:sz w:val="18"/>
        </w:rPr>
        <w:t>1) Table 1(실험군 AI 운동 프로그램): Appendix 1 프롬프트 기반의 근거중심 3종 프로그램(턱 당기기·견갑골 후인·신장)으로 작성하였습니다. 실제 대상자에게 적용한 운동과 일치하는지 연구팀이 최종 확인하세요.</w:t>
      </w:r>
    </w:p>
    <w:p>
      <w:pPr>
        <w:spacing w:before="0" w:after="40" w:line="312" w:lineRule="auto"/>
      </w:pPr>
      <w:r>
        <w:rPr>
          <w:rFonts w:ascii="바탕" w:hAnsi="바탕" w:eastAsia="바탕"/>
          <w:b w:val="0"/>
          <w:i w:val="0"/>
          <w:sz w:val="18"/>
        </w:rPr>
        <w:t>2) 군 배정 매핑 확인: 분석상 그룹 1=실험군(AI), 2=대조군(표준)으로 처리하였습니다. 실제 무작위배정과 일치하는지 확인하세요.</w:t>
      </w:r>
    </w:p>
    <w:p>
      <w:pPr>
        <w:spacing w:before="0" w:after="40" w:line="312" w:lineRule="auto"/>
      </w:pPr>
      <w:r>
        <w:rPr>
          <w:rFonts w:ascii="바탕" w:hAnsi="바탕" w:eastAsia="바탕"/>
          <w:b w:val="0"/>
          <w:i w:val="0"/>
          <w:sz w:val="18"/>
        </w:rPr>
        <w:t>3) 표본 보고: 일반적 특성은 무작위배정 40명, 중재 효과는 사전·사후 완전자료 34명(각 군 17명, 결측 각 3명) 기준입니다. 초안의 ITT(40)+PP 계획과 달리, 결측 6명은 사전·사후 측정이 모두 없어 대체가 불가능하여 완전자료 분석으로 보고하였습니다. 지도교수와 보고 방식을 확정하세요.</w:t>
      </w:r>
    </w:p>
    <w:p>
      <w:pPr>
        <w:spacing w:before="0" w:after="40" w:line="312" w:lineRule="auto"/>
      </w:pPr>
      <w:r>
        <w:rPr>
          <w:rFonts w:ascii="바탕" w:hAnsi="바탕" w:eastAsia="바탕"/>
          <w:b w:val="0"/>
          <w:i w:val="0"/>
          <w:sz w:val="18"/>
        </w:rPr>
        <w:t>4) 참고문헌 20편: 초안 17편 + 신규 3편([18] 스마트폰-경부통 체계적고찰, [19] AI 챗봇 vs 의료진, [20] 심부목굽힘근 운동). 전부 Crossref로 실재 확인하였고 DOI 링크를 포함하였습니다. 신규 3편의 본문 인용을 추가하였으나, 학회 양식의 인용 순서(Vancouver appearance order)는 최종 확인 권장.</w:t>
      </w:r>
    </w:p>
    <w:p>
      <w:pPr>
        <w:spacing w:before="0" w:after="40" w:line="312" w:lineRule="auto"/>
      </w:pPr>
      <w:r>
        <w:rPr>
          <w:rFonts w:ascii="바탕" w:hAnsi="바탕" w:eastAsia="바탕"/>
          <w:b w:val="0"/>
          <w:i w:val="0"/>
          <w:sz w:val="18"/>
        </w:rPr>
        <w:t>5) 학과 양식: 바탕 글꼴, Ⅰ.(12pt) / 1.(11pt) / 1)(10pt) 굵게, 본문 10pt, 줄간격 160%, 표는 3선 원칙·주석 9pt. docx에 반영하였으나 학과 최종 템플릿과 대조 바랍니다.</w:t>
      </w:r>
    </w:p>
    <w:p>
      <w:pPr>
        <w:spacing w:before="0" w:after="40" w:line="312" w:lineRule="auto"/>
      </w:pPr>
      <w:r>
        <w:rPr>
          <w:rFonts w:ascii="바탕" w:hAnsi="바탕" w:eastAsia="바탕"/>
          <w:b w:val="0"/>
          <w:i w:val="0"/>
          <w:sz w:val="18"/>
        </w:rPr>
        <w:t>6) 민감도 분석(신규 추가): 변화량의 정규성(Shapiro–Wilk)·등분산(Levene)을 점검하고 비모수(Mann–Whitney U/Wilcoxon)로 재확인한 결과를 연구방법과 연구결과(5절, Table 7)에 추가하였습니다. 군간 주결과는 검정법과 무관하게 동일하나, 측방굴곡(좌) 실험군의 군내 변화는 대응표본 t-검정에서만 경계적으로 유의(p≈.05)하여 보수적으로 서술하였습니다.</w:t>
      </w:r>
    </w:p>
    <w:p>
      <w:pPr>
        <w:spacing w:before="0" w:after="40" w:line="312" w:lineRule="auto"/>
      </w:pPr>
      <w:r>
        <w:rPr>
          <w:rFonts w:ascii="바탕" w:hAnsi="바탕" w:eastAsia="바탕"/>
          <w:b w:val="0"/>
          <w:i w:val="0"/>
          <w:sz w:val="18"/>
        </w:rPr>
        <w:t>7) ★선언(Declarations) 섹션 신규 추가: 윤리승인·임상시험등록·연구비·이해상충·저자기여를 [대괄호] 자리표시자로 넣었습니다. 제출 전 반드시 사실대로 채우세요(특히 IRB 승인번호·임상시험 등록 여부). 빈 자리표시자가 남으면 게재 불가하며, 날조는 연구부정입니다. 연구방법의 IRB·할당은폐 [대괄호]도 동일하게 사실대로 기입하세요.</w:t>
      </w:r>
    </w:p>
    <w:p>
      <w:pPr>
        <w:spacing w:before="0" w:after="40" w:line="312" w:lineRule="auto"/>
      </w:pPr>
      <w:r>
        <w:rPr>
          <w:rFonts w:ascii="바탕" w:hAnsi="바탕" w:eastAsia="바탕"/>
          <w:b w:val="0"/>
          <w:i w:val="0"/>
          <w:sz w:val="18"/>
        </w:rPr>
        <w:t>8) 보고 강화: 일차/이차 결과변수 명시, 결측 처리(완전자료, 비-ITT) 근거, CONSORT 2010 보고 문구를 연구방법에 추가하고, Table 4에 군내 변화량의 95% 신뢰구간을 추가하였습니다.</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 w:hAnsi="바탕" w:eastAsia="바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doi.org/10.3233/BMR-130426" TargetMode="External"/><Relationship Id="rId16" Type="http://schemas.openxmlformats.org/officeDocument/2006/relationships/hyperlink" Target="https://doi.org/10.25259/AUJMSR_18_2020" TargetMode="External"/><Relationship Id="rId17" Type="http://schemas.openxmlformats.org/officeDocument/2006/relationships/hyperlink" Target="https://doi.org/10.1111/j.1468-2982.2005.01042.x" TargetMode="External"/><Relationship Id="rId18" Type="http://schemas.openxmlformats.org/officeDocument/2006/relationships/hyperlink" Target="https://doi.org/10.24171/j.phrp.2018.9.6.04" TargetMode="External"/><Relationship Id="rId19" Type="http://schemas.openxmlformats.org/officeDocument/2006/relationships/hyperlink" Target="https://doi.org/10.5535/arm.2012.36.1.98" TargetMode="External"/><Relationship Id="rId20" Type="http://schemas.openxmlformats.org/officeDocument/2006/relationships/hyperlink" Target="https://doi.org/10.1016/j.jmpt.2018.02.002" TargetMode="External"/><Relationship Id="rId21" Type="http://schemas.openxmlformats.org/officeDocument/2006/relationships/hyperlink" Target="https://doi.org/10.1589/jpts.27.1791" TargetMode="External"/><Relationship Id="rId22" Type="http://schemas.openxmlformats.org/officeDocument/2006/relationships/hyperlink" Target="https://doi.org/10.1038/s41591-018-0300-7" TargetMode="External"/><Relationship Id="rId23" Type="http://schemas.openxmlformats.org/officeDocument/2006/relationships/hyperlink" Target="https://doi.org/10.3390/app15073497" TargetMode="External"/><Relationship Id="rId24" Type="http://schemas.openxmlformats.org/officeDocument/2006/relationships/hyperlink" Target="https://doi.org/10.5114/biolsport.2024.133661" TargetMode="External"/><Relationship Id="rId25" Type="http://schemas.openxmlformats.org/officeDocument/2006/relationships/hyperlink" Target="https://doi.org/10.3390/medicina61050797" TargetMode="External"/><Relationship Id="rId26" Type="http://schemas.openxmlformats.org/officeDocument/2006/relationships/hyperlink" Target="https://doi.org/10.1007/s00586-015-4254-x" TargetMode="External"/><Relationship Id="rId27" Type="http://schemas.openxmlformats.org/officeDocument/2006/relationships/hyperlink" Target="https://doi.org/10.1589/jpts.37.171" TargetMode="External"/><Relationship Id="rId28" Type="http://schemas.openxmlformats.org/officeDocument/2006/relationships/hyperlink" Target="https://doi.org/10.1186/s12891-024-07775-6" TargetMode="External"/><Relationship Id="rId29" Type="http://schemas.openxmlformats.org/officeDocument/2006/relationships/hyperlink" Target="https://doi.org/10.1097/MD.0000000000031617" TargetMode="External"/><Relationship Id="rId30" Type="http://schemas.openxmlformats.org/officeDocument/2006/relationships/hyperlink" Target="https://doi.org/10.1001/jamainternmed.2023.1838" TargetMode="External"/><Relationship Id="rId31" Type="http://schemas.openxmlformats.org/officeDocument/2006/relationships/hyperlink" Target="https://doi.org/10.3233/BMR-1504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