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47834" w14:textId="77777777" w:rsidR="00390977" w:rsidRDefault="00390977" w:rsidP="00390977">
      <w:pPr>
        <w:spacing w:after="80" w:line="240" w:lineRule="auto"/>
        <w:rPr>
          <w:rFonts w:eastAsia="宋体"/>
          <w:lang w:eastAsia="zh-CN"/>
        </w:rPr>
      </w:pPr>
      <w:r w:rsidRPr="00390977">
        <w:t>Supplementary Methods</w:t>
      </w:r>
      <w:r w:rsidRPr="00390977">
        <w:t xml:space="preserve"> </w:t>
      </w:r>
    </w:p>
    <w:p w14:paraId="586D5D66" w14:textId="698A5CBC" w:rsidR="0024674B" w:rsidRDefault="00000000" w:rsidP="00390977">
      <w:pPr>
        <w:spacing w:after="80" w:line="240" w:lineRule="auto"/>
      </w:pPr>
      <w:r w:rsidRPr="00390977">
        <w:t>Extended analysis parameters and robustness procedures</w:t>
      </w:r>
    </w:p>
    <w:p w14:paraId="76A4E4D9" w14:textId="77777777" w:rsidR="0024674B" w:rsidRDefault="00000000" w:rsidP="00390977">
      <w:pPr>
        <w:spacing w:after="80" w:line="240" w:lineRule="auto"/>
      </w:pPr>
      <w:r w:rsidRPr="00390977">
        <w:t>1. Terminology and analytical hierarchy</w:t>
      </w:r>
    </w:p>
    <w:p w14:paraId="2EEC4E05" w14:textId="77777777" w:rsidR="0024674B" w:rsidRDefault="00000000">
      <w:pPr>
        <w:spacing w:after="80" w:line="240" w:lineRule="auto"/>
      </w:pPr>
      <w:r>
        <w:t>Homeostatic/regulatory, matrix-remodeling, and ECM-producing fibroblasts are cluster- and marker-derived fibroblast state classes. D1 and D2 are pseudotime-associated dynamic transcriptional programs. Brown, turquoise, and other WGCNA labels denote co-expression modules. These terms are not interchangeable.</w:t>
      </w:r>
    </w:p>
    <w:p w14:paraId="3A79F2F4" w14:textId="77777777" w:rsidR="0024674B" w:rsidRDefault="00000000">
      <w:pPr>
        <w:spacing w:after="80" w:line="240" w:lineRule="auto"/>
      </w:pPr>
      <w:r>
        <w:t>GSE191067 was used for external single-cell reproducibility evaluation. It was not used to reconstruct an independent trajectory or to validate D1/D2 pseudotime direction. Its primary role was annotation-concordant state localization, state-composition assessment, and preservation testing of frozen co-expression modules.</w:t>
      </w:r>
    </w:p>
    <w:p w14:paraId="736A4C03" w14:textId="77777777" w:rsidR="0024674B" w:rsidRDefault="00000000" w:rsidP="00390977">
      <w:pPr>
        <w:spacing w:after="80" w:line="240" w:lineRule="auto"/>
      </w:pPr>
      <w:r w:rsidRPr="00390977">
        <w:t>2. Discovery-cohort preprocessing and integration audit</w:t>
      </w:r>
    </w:p>
    <w:p w14:paraId="4FF2F2F8" w14:textId="77777777" w:rsidR="0024674B" w:rsidRDefault="00000000">
      <w:pPr>
        <w:spacing w:after="80" w:line="240" w:lineRule="auto"/>
      </w:pPr>
      <w:r>
        <w:t>Seurat objects were created with min.cells=3 and min.features=200. Per-sample QC retained cells with nFeature_RNA&gt;=300 and percent.mt&lt;=25%; the upper nFeature_RNA threshold was min(9000, sample 99.5th percentile), and the upper nCount_RNA threshold was min(100000, sample 99.5th percentile). LogNormalize used scale.factor=10000, and 3000 variable genes were selected by vst.</w:t>
      </w:r>
    </w:p>
    <w:p w14:paraId="365FF2E1" w14:textId="77777777" w:rsidR="0024674B" w:rsidRDefault="00000000">
      <w:pPr>
        <w:spacing w:after="80" w:line="240" w:lineRule="auto"/>
      </w:pPr>
      <w:r>
        <w:t>After JoinLayers, percent.mt and nCount_RNA were regressed in ScaleData. Fifty PCs were computed; Harmony used sample as the batch variable on the first 40 PCs. The global graph and UMAP used the first 30 Harmony dimensions, and resolution 0.6 was selected from 0.2, 0.4, 0.6, 0.8, and 1.0.</w:t>
      </w:r>
    </w:p>
    <w:p w14:paraId="19F572F7" w14:textId="77777777" w:rsidR="0024674B" w:rsidRDefault="00000000">
      <w:pPr>
        <w:spacing w:after="80" w:line="240" w:lineRule="auto"/>
      </w:pPr>
      <w:r>
        <w:t>Integration sensitivity compared uncorrected PCA and Harmony spaces across 20, 30, and 40 dimensions and resolutions 0.1-0.4. The audit included 30-nearest-neighbor sample entropy, state purity, adjusted Rand index, and leave-one-sample-out reanalysis. Candidate fibroblasts were additionally audited with scDblFinder v1.24.10 on a per-sample basis.</w:t>
      </w:r>
    </w:p>
    <w:p w14:paraId="78481D4F" w14:textId="77777777" w:rsidR="0024674B" w:rsidRDefault="00000000" w:rsidP="00390977">
      <w:pPr>
        <w:spacing w:after="80" w:line="240" w:lineRule="auto"/>
      </w:pPr>
      <w:r w:rsidRPr="00390977">
        <w:t>3. Fibroblast purification and state annotation</w:t>
      </w:r>
    </w:p>
    <w:p w14:paraId="019946A8" w14:textId="77777777" w:rsidR="0024674B" w:rsidRDefault="00000000">
      <w:pPr>
        <w:spacing w:after="80" w:line="240" w:lineRule="auto"/>
      </w:pPr>
      <w:r>
        <w:t>The 1350 candidate fibroblasts were reprocessed with LogNormalize, 2000 variable genes, regression of percent.mt and nCount_RNA, 30 PCs, sample-Harmony integration, and graph construction on the first 15 Harmony dimensions. Resolution 0.6 was chosen after evaluation of 0.2-1.2 in increments of 0.2.</w:t>
      </w:r>
    </w:p>
    <w:p w14:paraId="70383E52" w14:textId="77777777" w:rsidR="0024674B" w:rsidRDefault="00000000">
      <w:pPr>
        <w:spacing w:after="80" w:line="240" w:lineRule="auto"/>
      </w:pPr>
      <w:r>
        <w:t>Clusters with concordant epithelial, endothelial, immune, or pericyte markers were excluded. The remaining 1117 cells were summarized into three major state classes using one-versus-all positive markers and GO Biological Process, Hallmark, KEGG, and Reactome enrichment. Forty-seven low-frequency, sample-skewed cells were assigned as other fibroblasts and excluded from trajectory analysis.</w:t>
      </w:r>
    </w:p>
    <w:p w14:paraId="38BBBED6" w14:textId="77777777" w:rsidR="0024674B" w:rsidRDefault="00000000" w:rsidP="00390977">
      <w:pPr>
        <w:spacing w:after="80" w:line="240" w:lineRule="auto"/>
      </w:pPr>
      <w:r w:rsidRPr="00390977">
        <w:t>4. DDRTree construction, root selection, and pseudotime sensitivity</w:t>
      </w:r>
    </w:p>
    <w:p w14:paraId="1594DE1A" w14:textId="77777777" w:rsidR="0024674B" w:rsidRDefault="00000000">
      <w:pPr>
        <w:spacing w:after="80" w:line="240" w:lineRule="auto"/>
      </w:pPr>
      <w:r>
        <w:t>The primary trajectory included 1070 cells. Ordering genes were selected by state-wise one-versus-all Wilcoxon testing (min.pct=0.10, logfc.threshold=0.10, adjusted P&lt;0.05), ordered by adjusted P and absolute log2 fold change, deduplicated, and capped at 2000; 1586 genes entered DDRTree.</w:t>
      </w:r>
    </w:p>
    <w:p w14:paraId="0B19546E" w14:textId="77777777" w:rsidR="0024674B" w:rsidRDefault="00000000">
      <w:pPr>
        <w:spacing w:after="80" w:line="240" w:lineRule="auto"/>
      </w:pPr>
      <w:r>
        <w:t>Only degree-one endpoints with at least eight mapped cells were eligible as roots. The root was selected without disease labels by maximizing the mean size-factor-normalized log1p expression of PI16, APOD, ABCA8, IGFBP3, and WIF1 in endpoint-neighboring cells. Graph pseudotime was the weighted shortest-path distance from the root to the nearest principal-graph vertex plus the cell-to-vertex Euclidean distance, shifted to a minimum of zero.</w:t>
      </w:r>
    </w:p>
    <w:p w14:paraId="65C8B04A" w14:textId="77777777" w:rsidR="0024674B" w:rsidRDefault="00000000">
      <w:pPr>
        <w:spacing w:after="80" w:line="240" w:lineRule="auto"/>
      </w:pPr>
      <w:r>
        <w:t>Sensitivity analyses reconstructed DDRTree using the top 500, top 1000, and all 1586 state-differential ordering genes and the top 1000 and 2000 variable genes. Alternative roots were the two remodeling-associated endpoints. Slingshot analyses in expression-derived PCA space specified either only the homeostatic/regulatory start state or both candidate terminal states.</w:t>
      </w:r>
    </w:p>
    <w:p w14:paraId="5F1FE6CA" w14:textId="77777777" w:rsidR="0024674B" w:rsidRDefault="00000000" w:rsidP="00390977">
      <w:pPr>
        <w:spacing w:after="80" w:line="240" w:lineRule="auto"/>
      </w:pPr>
      <w:r w:rsidRPr="00390977">
        <w:t>5. Dynamic-gene discovery and tradeSeq</w:t>
      </w:r>
    </w:p>
    <w:p w14:paraId="65E5C067" w14:textId="77777777" w:rsidR="0024674B" w:rsidRDefault="00000000">
      <w:pPr>
        <w:spacing w:after="80" w:line="240" w:lineRule="auto"/>
      </w:pPr>
      <w:r>
        <w:t xml:space="preserve">Trajectory-associated genes required BH FDR&lt;0.05, absolute Spearman rho&gt;0.20, and detection in &gt;10% of trajectory cells. Cells were divided into 30 equal-frequency pseudotime bins; bin means were </w:t>
      </w:r>
      <w:r>
        <w:lastRenderedPageBreak/>
        <w:t>standardized within genes. k-means solutions k=2-10 were compared using silhouette width, repeated-clustering ARI, Calinski-Harabasz index, and module size; k=2 defined D1 and D2.</w:t>
      </w:r>
    </w:p>
    <w:p w14:paraId="3A131446" w14:textId="77777777" w:rsidR="0024674B" w:rsidRDefault="00000000">
      <w:pPr>
        <w:spacing w:after="80" w:line="240" w:lineRule="auto"/>
      </w:pPr>
      <w:r>
        <w:t>Two DDRTree lineages connected the root to the mixed-remodeling and ECM-dominant endpoints. tradeSeq v1.24.0 used raw counts, a negative-binomial GAM, lineage pseudotime/weights, and model.matrix(~ donor). associationTest, patternTest, diffEndTest, and earlyDETest(knots=c(1,2)) were run on genes with finite test statistics and P values.</w:t>
      </w:r>
    </w:p>
    <w:p w14:paraId="08FD87A4" w14:textId="77777777" w:rsidR="0024674B" w:rsidRDefault="00000000">
      <w:pPr>
        <w:spacing w:after="80" w:line="240" w:lineRule="auto"/>
      </w:pPr>
      <w:r>
        <w:t>Six knots were used in the primary model. With seed 20260717, evaluateK compared 3-8 knots in 500 fixed-sampled genes; six knots had the lowest mean AIC and the largest fraction of genes within two AIC units of the gene-specific minimum (241/500).</w:t>
      </w:r>
    </w:p>
    <w:p w14:paraId="014959A0" w14:textId="77777777" w:rsidR="0024674B" w:rsidRDefault="00000000" w:rsidP="00390977">
      <w:pPr>
        <w:spacing w:after="80" w:line="240" w:lineRule="auto"/>
      </w:pPr>
      <w:r w:rsidRPr="00390977">
        <w:t>6. Clean-program definition and donor-aware robustness</w:t>
      </w:r>
    </w:p>
    <w:p w14:paraId="760007B1" w14:textId="77777777" w:rsidR="0024674B" w:rsidRDefault="00000000">
      <w:pPr>
        <w:spacing w:after="80" w:line="240" w:lineRule="auto"/>
      </w:pPr>
      <w:r>
        <w:t>Clean D1 required negative pseudotime correlation and clean D2 positive correlation. Prespecified symbol filters removed mitochondrial (^MT-), cytoplasmic or mitochondrial ribosomal (^(RPS|RPL|MRPS|MRPL)), hemoglobin, canonical histone, and keratin genes. Functional categories were not used for subjective exclusion. The frozen sets contained 42 clean D1 and 975 clean D2 genes.</w:t>
      </w:r>
    </w:p>
    <w:p w14:paraId="7A3416D2" w14:textId="77777777" w:rsidR="0024674B" w:rsidRDefault="00000000">
      <w:pPr>
        <w:spacing w:after="80" w:line="240" w:lineRule="auto"/>
      </w:pPr>
      <w:r>
        <w:t>Per-donor correlations required at least 20 trajectory cells per donor, nonzero expression variance, at least 10 distinct pseudotime values, and gene detection in max(5, ceiling(0.10*n)) cells; genes were summarized when evaluable in at least three donors. Fixed-trajectory leave-one-donor-out recomputed correlations after omitting each donor. Equal-donor subsampling used 100 repeats of 6 donors x 11 cells and 5 donors x 43 cells; direction retention required the expected sign in at least 80/100 repeats.</w:t>
      </w:r>
    </w:p>
    <w:p w14:paraId="3B5C75E4" w14:textId="77777777" w:rsidR="0024674B" w:rsidRDefault="00000000">
      <w:pPr>
        <w:spacing w:after="80" w:line="240" w:lineRule="auto"/>
      </w:pPr>
      <w:r>
        <w:t>Gaussian GAMs used log1p(raw count/Monocle2 Size_Factor) with donor fixed effects, donor random intercepts, or inverse-donor-cell-count weights. A result was supportive when the smooth-term BH FDR was &lt;0.05 and the fitted endpoint difference had the expected sign. Single-lineage tradeSeq used raw counts, TMM-derived effective-library-size offsets, and donor covariates.</w:t>
      </w:r>
    </w:p>
    <w:p w14:paraId="6523928E" w14:textId="77777777" w:rsidR="0024674B" w:rsidRDefault="00000000">
      <w:pPr>
        <w:spacing w:after="80" w:line="240" w:lineRule="auto"/>
      </w:pPr>
      <w:r>
        <w:t>At score level, clean D1 was negatively and clean D2 positively correlated with pseudotime in all six donors. In the 6 x 11-cell analysis, 42/42 clean D1 and 955/975 clean D2 genes retained the expected direction in at least 80% of repeats; in the 5 x 43-cell analysis, the corresponding counts were 42/42 and 975/975. Full gene-level results are provided in Supplementary Data S4-S5.</w:t>
      </w:r>
    </w:p>
    <w:p w14:paraId="20BA2C8D" w14:textId="77777777" w:rsidR="0024674B" w:rsidRDefault="00000000" w:rsidP="00390977">
      <w:pPr>
        <w:spacing w:after="80" w:line="240" w:lineRule="auto"/>
      </w:pPr>
      <w:r w:rsidRPr="00390977">
        <w:t>7. Discovery-only WGCNA and sensitivity analyses</w:t>
      </w:r>
    </w:p>
    <w:p w14:paraId="214BE455" w14:textId="77777777" w:rsidR="0024674B" w:rsidRDefault="00000000">
      <w:pPr>
        <w:spacing w:after="80" w:line="240" w:lineRule="auto"/>
      </w:pPr>
      <w:r>
        <w:t>Genes detected in at least 5% of discovery trajectory cells were eligible, and the 3000 genes with greatest discovery-metacell variance were used. GSE191067 was not queried during gene selection or module discovery, and clean-program genes were not force-included.</w:t>
      </w:r>
    </w:p>
    <w:p w14:paraId="778352D0" w14:textId="77777777" w:rsidR="0024674B" w:rsidRDefault="00000000">
      <w:pPr>
        <w:spacing w:after="80" w:line="240" w:lineRule="auto"/>
      </w:pPr>
      <w:r>
        <w:t>Primary metacells were created within donor x fibroblast-state strata by pseudotime order, with 25 consecutive cells per bin and at least eight cells in the final retained bin. Forty-two metacells were obtained from five donors. Donor N176712 contributed 11 trajectory cells distributed 1/6/4 across the three states and therefore formed no eligible state-stratified metacell.</w:t>
      </w:r>
    </w:p>
    <w:p w14:paraId="040CEFC6" w14:textId="77777777" w:rsidR="0024674B" w:rsidRDefault="00000000">
      <w:pPr>
        <w:spacing w:after="80" w:line="240" w:lineRule="auto"/>
      </w:pPr>
      <w:r>
        <w:t>WGCNA v1.74 used a signed network, soft-threshold power 18, minModuleSize=25, and mergeCutHeight=0.25. D1- and D2-aligned modules were selected by the largest positive donor-equal Spearman correlation. Stability was examined by leave-one-donor-out and 2000 donor-cluster bootstrap replicates (seed 20260717). A pseudotime-independent sensitivity network used k-means neighborhoods in the first 20 discovery PCs within donor x state strata.</w:t>
      </w:r>
    </w:p>
    <w:p w14:paraId="7F573C4B" w14:textId="77777777" w:rsidR="0024674B" w:rsidRDefault="00000000" w:rsidP="00390977">
      <w:pPr>
        <w:spacing w:after="80" w:line="240" w:lineRule="auto"/>
      </w:pPr>
      <w:r w:rsidRPr="00390977">
        <w:t>8. GSE191067 external single-cell reproducibility evaluation</w:t>
      </w:r>
    </w:p>
    <w:p w14:paraId="50B10062" w14:textId="77777777" w:rsidR="0024674B" w:rsidRDefault="00000000">
      <w:pPr>
        <w:spacing w:after="80" w:line="240" w:lineRule="auto"/>
      </w:pPr>
      <w:r>
        <w:t>After Ensembl-version removal and HGNC-symbol mapping, 93359 input cells were reduced to 91217 after Seurat object-creation filters and 87250 after sample-specific QC. Purification retained 17020 fibroblasts. Reclustering used LogNormalize, 3000 variable genes, regression of percent.mt and nCount_RNA, 30 PCs, sample-Harmony integration, 20-neighbor SNN construction, and UMAP with 30 neighbors, min.dist=0.3, and cosine distance.</w:t>
      </w:r>
    </w:p>
    <w:p w14:paraId="31688240" w14:textId="77777777" w:rsidR="0024674B" w:rsidRDefault="00000000">
      <w:pPr>
        <w:spacing w:after="80" w:line="240" w:lineRule="auto"/>
      </w:pPr>
      <w:r>
        <w:t>Resolutions 0.02, 0.05, 0.08, 0.10, 0.15, 0.20, and 0.30 were audited. Among solutions with 3-10 clusters and a minimum cluster size of 50, resolution 0.20 maximized the mean silhouette on a fixed 4000-cell sample in Harmony dimensions 1-15.</w:t>
      </w:r>
    </w:p>
    <w:p w14:paraId="11599224" w14:textId="77777777" w:rsidR="0024674B" w:rsidRDefault="00000000">
      <w:pPr>
        <w:spacing w:after="80" w:line="240" w:lineRule="auto"/>
      </w:pPr>
      <w:r>
        <w:lastRenderedPageBreak/>
        <w:t>Clusters were mapped to the three state classes using prespecified classic marker sets. A top-versus-second marker-score margin &lt;0.01 was flagged as low confidence; a negative maximum score was flagged as weak absolute marker support. Clean-program scores were calculated after intersecting frozen members with detected genes and z-standardizing each gene across cells. Scores were summarized by donor x state. No independent root or trajectory was reconstructed; these analyses assess annotation-concordant external localization rather than independent replication of dynamic direction.</w:t>
      </w:r>
    </w:p>
    <w:p w14:paraId="34482E18" w14:textId="77777777" w:rsidR="0024674B" w:rsidRDefault="00000000" w:rsidP="00390977">
      <w:pPr>
        <w:spacing w:after="80" w:line="240" w:lineRule="auto"/>
      </w:pPr>
      <w:r w:rsidRPr="00390977">
        <w:t>9. Matched donor-state module preservation</w:t>
      </w:r>
    </w:p>
    <w:p w14:paraId="501D1F57" w14:textId="77777777" w:rsidR="0024674B" w:rsidRDefault="00000000">
      <w:pPr>
        <w:spacing w:after="80" w:line="240" w:lineRule="auto"/>
      </w:pPr>
      <w:r>
        <w:t>Discovery modules were frozen before external expression was accessed, then intersected with GSE191067-detected genes. Mean log-normalized expression was aggregated within actual donor x state units, yielding 18 units in each cohort. Every unit, donor, state, and cell count is listed in Supplementary Data S6.</w:t>
      </w:r>
    </w:p>
    <w:p w14:paraId="08483788" w14:textId="77777777" w:rsidR="0024674B" w:rsidRDefault="00000000">
      <w:pPr>
        <w:spacing w:after="80" w:line="240" w:lineRule="auto"/>
      </w:pPr>
      <w:r>
        <w:t>WGCNA modulePreservation used 2000 permutations, quickCor=0, and seed 20260717. Gene retention, Zsummary, and medianRank were reported. Leave-one-external-donor-out analyses used 200 permutations. Zsummary&gt;2 was interpreted as evidence of preservation and considered jointly with module size, medianRank, and donor sensitivity. Repeated states from the same donor were not treated as independent patients.</w:t>
      </w:r>
    </w:p>
    <w:p w14:paraId="55871799" w14:textId="77777777" w:rsidR="0024674B" w:rsidRDefault="00000000" w:rsidP="00390977">
      <w:pPr>
        <w:spacing w:after="80" w:line="240" w:lineRule="auto"/>
      </w:pPr>
      <w:r w:rsidRPr="00390977">
        <w:t>10. PRJNA813172 processing and bulk projection</w:t>
      </w:r>
    </w:p>
    <w:p w14:paraId="3AA13574" w14:textId="77777777" w:rsidR="0024674B" w:rsidRDefault="00000000">
      <w:pPr>
        <w:spacing w:after="80" w:line="240" w:lineRule="auto"/>
      </w:pPr>
      <w:r>
        <w:t>Seventy-seven SRR accessions were parsed from filereport_read_run_PRJNA813172.tsv. aria2c v1.37.0 downloaded SRA files; SRA Toolkit v3.4.1 fastq-dump --split-files --skip-technical --gzip generated paired FASTQ files. Salmon v2.1.1 quantified against a GENCODE release 50 transcriptome index (k=31; sample options -l A and four threads).</w:t>
      </w:r>
    </w:p>
    <w:p w14:paraId="558C7A0E" w14:textId="77777777" w:rsidR="0024674B" w:rsidRDefault="00000000">
      <w:pPr>
        <w:spacing w:after="80" w:line="240" w:lineRule="auto"/>
      </w:pPr>
      <w:r>
        <w:t>tximport v1.38.2 imported quant.sf files with type='salmon' and countsFromAbundance='no'. Transcripts mapping to the same GENCODE v50 gene symbol were aggregated during tximport. Gene-symbol TPM, estimated-count, and effective-length matrices were generated; log2(TPM+1) was matched to clinical metadata by SRA Run ID without additional expression filtering.</w:t>
      </w:r>
    </w:p>
    <w:p w14:paraId="09335FE7" w14:textId="77777777" w:rsidR="0024674B" w:rsidRDefault="00000000">
      <w:pPr>
        <w:spacing w:after="80" w:line="240" w:lineRule="auto"/>
      </w:pPr>
      <w:r>
        <w:t>Detected genes were z-standardized across the 77 samples, and each score was the mean z value of detected members. Following the prespecified decrease of D1 along discovery pseudotime, clean D1 loss was defined before recurrence labels were read as -1 x clean D1 and designated the primary exploratory candidate score. Clean D2 and the five-hub benchmark served as secondary references; five-hub comprised CHI3L1, IL1RN, MMP7, TNFAIP3, and TNFAIP6 and used the same scoring rule.</w:t>
      </w:r>
    </w:p>
    <w:p w14:paraId="12F2DB37" w14:textId="77777777" w:rsidR="0024674B" w:rsidRDefault="00000000" w:rsidP="00390977">
      <w:pPr>
        <w:spacing w:after="80" w:line="240" w:lineRule="auto"/>
      </w:pPr>
      <w:r w:rsidRPr="00390977">
        <w:t>11. ROC and precision-recall statistics</w:t>
      </w:r>
    </w:p>
    <w:p w14:paraId="09D08C99" w14:textId="77777777" w:rsidR="0024674B" w:rsidRDefault="00000000">
      <w:pPr>
        <w:spacing w:after="80" w:line="240" w:lineRule="auto"/>
      </w:pPr>
      <w:r>
        <w:t>ROC AUC was computed from the Mann-Whitney rank statistic. Average precision (AP) was computed after descending score order as the mean precision at the ranks occupied by recurrent cases. The displayed stepwise precision-recall curve was constructed so that its area equals this AP definition. AP was not estimated by trapezoidal integration of an interpolated precision-recall curve.</w:t>
      </w:r>
    </w:p>
    <w:p w14:paraId="20AE853A" w14:textId="77777777" w:rsidR="0024674B" w:rsidRDefault="00000000">
      <w:pPr>
        <w:spacing w:after="80" w:line="240" w:lineRule="auto"/>
      </w:pPr>
      <w:r>
        <w:t>AUC and AP percentile 95% confidence intervals used 5000 outcome-stratified bootstrap replicates. Empirical significance used 10000 label permutations with the +1 correction. AUC differences used 5000 paired stratified bootstrap replicates. Leave-one-positive-out omitted each of the seven recurrence cases in turn. Seed 20260711 was used for all bulk bootstrap and permutation analyses.</w:t>
      </w:r>
    </w:p>
    <w:p w14:paraId="6239CC06" w14:textId="77777777" w:rsidR="0024674B" w:rsidRDefault="00000000" w:rsidP="00390977">
      <w:pPr>
        <w:spacing w:after="80" w:line="240" w:lineRule="auto"/>
        <w:rPr>
          <w:rFonts w:eastAsia="宋体"/>
          <w:lang w:eastAsia="zh-CN"/>
        </w:rPr>
      </w:pPr>
      <w:r w:rsidRPr="00390977">
        <w:t>12. Random seeds and principal software</w:t>
      </w:r>
    </w:p>
    <w:p w14:paraId="4AD22CB0" w14:textId="1B599DBA" w:rsidR="0024674B" w:rsidRDefault="00390977">
      <w:pPr>
        <w:spacing w:after="80" w:line="240" w:lineRule="auto"/>
      </w:pPr>
      <w:r w:rsidRPr="00390977">
        <w:t>All stochastic analyses were performed using fixed random seeds specified in the corresponding analysis scripts.</w:t>
      </w:r>
      <w:r>
        <w:rPr>
          <w:rFonts w:eastAsia="宋体" w:hint="eastAsia"/>
          <w:lang w:eastAsia="zh-CN"/>
        </w:rPr>
        <w:t xml:space="preserve"> </w:t>
      </w:r>
      <w:r w:rsidR="00000000">
        <w:t>Analyses were performed in R 4.5.2. Principal packages were Seurat 5.5.0, SeuratObject 5.4.0, Harmony 2.0.4, monocle 2.99.0, DDRTree 0.1.6, Slingshot 2.18.0, tradeSeq 1.24.0, mgcv 1.9-4, WGCNA 1.74, clusterProfiler 4.18.4, org.Hs.eg.db 3.22.0, tximport 1.38.2, pROC 1.19.0.1, msigdbr 26.1.0, and scDblFinder 1.24.10.</w:t>
      </w:r>
    </w:p>
    <w:sectPr w:rsidR="0024674B" w:rsidSect="00034616">
      <w:headerReference w:type="default" r:id="rId8"/>
      <w:footerReference w:type="default" r:id="rId9"/>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5E56A" w14:textId="77777777" w:rsidR="00AB70C9" w:rsidRDefault="00AB70C9">
      <w:pPr>
        <w:spacing w:after="0" w:line="240" w:lineRule="auto"/>
      </w:pPr>
      <w:r>
        <w:separator/>
      </w:r>
    </w:p>
  </w:endnote>
  <w:endnote w:type="continuationSeparator" w:id="0">
    <w:p w14:paraId="60EEC7BA" w14:textId="77777777" w:rsidR="00AB70C9" w:rsidRDefault="00AB70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5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F8B66" w14:textId="77777777" w:rsidR="0024674B" w:rsidRDefault="0024674B">
    <w:pPr>
      <w:pStyle w:val="a7"/>
      <w:spacing w:after="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F61C9E" w14:textId="77777777" w:rsidR="00AB70C9" w:rsidRDefault="00AB70C9">
      <w:pPr>
        <w:spacing w:after="0" w:line="240" w:lineRule="auto"/>
      </w:pPr>
      <w:r>
        <w:separator/>
      </w:r>
    </w:p>
  </w:footnote>
  <w:footnote w:type="continuationSeparator" w:id="0">
    <w:p w14:paraId="3463FBCC" w14:textId="77777777" w:rsidR="00AB70C9" w:rsidRDefault="00AB70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F52C3" w14:textId="77777777" w:rsidR="0024674B" w:rsidRDefault="0024674B">
    <w:pPr>
      <w:pStyle w:val="a5"/>
      <w:spacing w:after="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699086617">
    <w:abstractNumId w:val="8"/>
  </w:num>
  <w:num w:numId="2" w16cid:durableId="90636521">
    <w:abstractNumId w:val="6"/>
  </w:num>
  <w:num w:numId="3" w16cid:durableId="607589538">
    <w:abstractNumId w:val="5"/>
  </w:num>
  <w:num w:numId="4" w16cid:durableId="1368531288">
    <w:abstractNumId w:val="4"/>
  </w:num>
  <w:num w:numId="5" w16cid:durableId="1373381514">
    <w:abstractNumId w:val="7"/>
  </w:num>
  <w:num w:numId="6" w16cid:durableId="2028672094">
    <w:abstractNumId w:val="3"/>
  </w:num>
  <w:num w:numId="7" w16cid:durableId="1804494340">
    <w:abstractNumId w:val="2"/>
  </w:num>
  <w:num w:numId="8" w16cid:durableId="550003590">
    <w:abstractNumId w:val="1"/>
  </w:num>
  <w:num w:numId="9" w16cid:durableId="12151933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1133"/>
    <w:rsid w:val="0024674B"/>
    <w:rsid w:val="0029639D"/>
    <w:rsid w:val="00326F90"/>
    <w:rsid w:val="00390977"/>
    <w:rsid w:val="00AA1D8D"/>
    <w:rsid w:val="00AB70C9"/>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27C8072"/>
  <w14:defaultImageDpi w14:val="300"/>
  <w15:docId w15:val="{868CA007-11D3-4D21-97F4-228CB90884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Times New Roman" w:hAnsi="Times New Roman" w:cs="Times New Roman"/>
      <w:color w:val="000000"/>
    </w:rPr>
  </w:style>
  <w:style w:type="paragraph" w:styleId="1">
    <w:name w:val="heading 1"/>
    <w:basedOn w:val="a1"/>
    <w:next w:val="a1"/>
    <w:link w:val="10"/>
    <w:uiPriority w:val="9"/>
    <w:qFormat/>
    <w:rsid w:val="00FC693F"/>
    <w:pPr>
      <w:keepNext/>
      <w:keepLines/>
      <w:spacing w:before="480" w:after="0"/>
      <w:outlineLvl w:val="0"/>
    </w:pPr>
    <w:rPr>
      <w:b/>
      <w:bCs/>
      <w:szCs w:val="28"/>
    </w:rPr>
  </w:style>
  <w:style w:type="paragraph" w:styleId="21">
    <w:name w:val="heading 2"/>
    <w:basedOn w:val="a1"/>
    <w:next w:val="a1"/>
    <w:link w:val="22"/>
    <w:uiPriority w:val="9"/>
    <w:unhideWhenUsed/>
    <w:qFormat/>
    <w:rsid w:val="00FC693F"/>
    <w:pPr>
      <w:keepNext/>
      <w:keepLines/>
      <w:spacing w:before="200" w:after="0"/>
      <w:outlineLvl w:val="1"/>
    </w:pPr>
    <w:rPr>
      <w:b/>
      <w:bCs/>
      <w:szCs w:val="26"/>
    </w:rPr>
  </w:style>
  <w:style w:type="paragraph" w:styleId="31">
    <w:name w:val="heading 3"/>
    <w:basedOn w:val="a1"/>
    <w:next w:val="a1"/>
    <w:link w:val="32"/>
    <w:uiPriority w:val="9"/>
    <w:unhideWhenUsed/>
    <w:qFormat/>
    <w:rsid w:val="00FC693F"/>
    <w:pPr>
      <w:keepNext/>
      <w:keepLines/>
      <w:spacing w:before="200" w:after="0"/>
      <w:outlineLvl w:val="2"/>
    </w:pPr>
    <w:rPr>
      <w:b/>
      <w:bCs/>
    </w:rPr>
  </w:style>
  <w:style w:type="paragraph" w:styleId="4">
    <w:name w:val="heading 4"/>
    <w:basedOn w:val="a1"/>
    <w:next w:val="a1"/>
    <w:link w:val="40"/>
    <w:uiPriority w:val="9"/>
    <w:semiHidden/>
    <w:unhideWhenUsed/>
    <w:qFormat/>
    <w:rsid w:val="00FC693F"/>
    <w:pPr>
      <w:keepNext/>
      <w:keepLines/>
      <w:spacing w:before="200" w:after="0"/>
      <w:outlineLvl w:val="3"/>
    </w:pPr>
    <w:rPr>
      <w:b/>
      <w:bCs/>
      <w:iCs/>
    </w:rPr>
  </w:style>
  <w:style w:type="paragraph" w:styleId="5">
    <w:name w:val="heading 5"/>
    <w:basedOn w:val="a1"/>
    <w:next w:val="a1"/>
    <w:link w:val="50"/>
    <w:uiPriority w:val="9"/>
    <w:semiHidden/>
    <w:unhideWhenUsed/>
    <w:qFormat/>
    <w:rsid w:val="00FC693F"/>
    <w:pPr>
      <w:keepNext/>
      <w:keepLines/>
      <w:spacing w:before="200" w:after="0"/>
      <w:outlineLvl w:val="4"/>
    </w:pPr>
    <w:rPr>
      <w:b/>
    </w:rPr>
  </w:style>
  <w:style w:type="paragraph" w:styleId="6">
    <w:name w:val="heading 6"/>
    <w:basedOn w:val="a1"/>
    <w:next w:val="a1"/>
    <w:link w:val="60"/>
    <w:uiPriority w:val="9"/>
    <w:semiHidden/>
    <w:unhideWhenUsed/>
    <w:qFormat/>
    <w:rsid w:val="00FC693F"/>
    <w:pPr>
      <w:keepNext/>
      <w:keepLines/>
      <w:spacing w:before="200" w:after="0"/>
      <w:outlineLvl w:val="5"/>
    </w:pPr>
    <w:rPr>
      <w:b/>
      <w:iCs/>
    </w:rPr>
  </w:style>
  <w:style w:type="paragraph" w:styleId="7">
    <w:name w:val="heading 7"/>
    <w:basedOn w:val="a1"/>
    <w:next w:val="a1"/>
    <w:link w:val="70"/>
    <w:uiPriority w:val="9"/>
    <w:semiHidden/>
    <w:unhideWhenUsed/>
    <w:qFormat/>
    <w:rsid w:val="00FC693F"/>
    <w:pPr>
      <w:keepNext/>
      <w:keepLines/>
      <w:spacing w:before="200" w:after="0"/>
      <w:outlineLvl w:val="6"/>
    </w:pPr>
    <w:rPr>
      <w:b/>
      <w:iCs/>
    </w:rPr>
  </w:style>
  <w:style w:type="paragraph" w:styleId="8">
    <w:name w:val="heading 8"/>
    <w:basedOn w:val="a1"/>
    <w:next w:val="a1"/>
    <w:link w:val="80"/>
    <w:uiPriority w:val="9"/>
    <w:semiHidden/>
    <w:unhideWhenUsed/>
    <w:qFormat/>
    <w:rsid w:val="00FC693F"/>
    <w:pPr>
      <w:keepNext/>
      <w:keepLines/>
      <w:spacing w:before="200" w:after="0"/>
      <w:outlineLvl w:val="7"/>
    </w:pPr>
    <w:rPr>
      <w:b/>
      <w:szCs w:val="20"/>
    </w:rPr>
  </w:style>
  <w:style w:type="paragraph" w:styleId="9">
    <w:name w:val="heading 9"/>
    <w:basedOn w:val="a1"/>
    <w:next w:val="a1"/>
    <w:link w:val="90"/>
    <w:uiPriority w:val="9"/>
    <w:semiHidden/>
    <w:unhideWhenUsed/>
    <w:qFormat/>
    <w:rsid w:val="00FC693F"/>
    <w:pPr>
      <w:keepNext/>
      <w:keepLines/>
      <w:spacing w:before="200" w:after="0"/>
      <w:outlineLvl w:val="8"/>
    </w:pPr>
    <w:rPr>
      <w:b/>
      <w:iCs/>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rPr>
      <w:rFonts w:ascii="Times New Roman" w:eastAsia="Times New Roman" w:hAnsi="Times New Roman" w:cs="Times New Roman"/>
      <w:color w:val="000000"/>
    </w:r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spacing w:val="5"/>
      <w:kern w:val="2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Cs/>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color w:val="00000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Cs/>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Cs/>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Cs/>
      <w:iCs/>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rPr>
      <w:b w:val="0"/>
    </w:r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1617</Words>
  <Characters>10543</Characters>
  <Application>Microsoft Office Word</Application>
  <DocSecurity>0</DocSecurity>
  <Lines>152</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雨童 袁</cp:lastModifiedBy>
  <cp:revision>2</cp:revision>
  <dcterms:created xsi:type="dcterms:W3CDTF">2013-12-23T23:15:00Z</dcterms:created>
  <dcterms:modified xsi:type="dcterms:W3CDTF">2026-07-21T15:37:00Z</dcterms:modified>
  <cp:category/>
</cp:coreProperties>
</file>