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47834" w14:textId="77777777" w:rsidR="00390977" w:rsidRDefault="00390977" w:rsidP="00390977">
      <w:pPr>
        <w:spacing w:after="80" w:line="240" w:lineRule="auto"/>
        <w:rPr>
          <w:rFonts w:eastAsia="宋体"/>
          <w:lang w:eastAsia="zh-CN"/>
        </w:rPr>
      </w:pPr>
      <w:r w:rsidRPr="00390977">
        <w:t>Supplementary Methods</w:t>
      </w:r>
      <w:r w:rsidRPr="00390977">
        <w:t xml:space="preserve"> </w:t>
      </w:r>
    </w:p>
    <w:p w14:paraId="586D5D66" w14:textId="698A5CBC" w:rsidR="0024674B" w:rsidRDefault="00000000" w:rsidP="00390977">
      <w:pPr>
        <w:spacing w:after="80" w:line="240" w:lineRule="auto"/>
      </w:pPr>
      <w:r w:rsidRPr="00390977">
        <w:t>Extended analysis parameters and robustness procedures</w:t>
      </w:r>
    </w:p>
    <w:p w14:paraId="76A4E4D9" w14:textId="77777777" w:rsidR="0024674B" w:rsidRDefault="00000000" w:rsidP="00390977">
      <w:pPr>
        <w:spacing w:after="80" w:line="240" w:lineRule="auto"/>
      </w:pPr>
      <w:r w:rsidRPr="00390977">
        <w:t>1. Terminology and analytical hierarchy</w:t>
      </w:r>
    </w:p>
    <w:p w14:paraId="2EEC4E05" w14:textId="77777777" w:rsidR="0024674B" w:rsidRDefault="00000000">
      <w:pPr>
        <w:spacing w:after="80" w:line="240" w:lineRule="auto"/>
      </w:pPr>
      <w:r>
        <w:t>Homeostatic/regulatory, matrix-remodeling, and ECM-producing fibroblasts are cluster- and marker-derived fibroblast state classes. D1 and D2 are pseudotime-associated dynamic transcriptional programs. Brown, turquoise, and other WGCNA labels denote co-expression modules. These terms are not interchangeable.</w:t>
      </w:r>
    </w:p>
    <w:p w14:paraId="3A79F2F4" w14:textId="77777777" w:rsidR="0024674B" w:rsidRDefault="00000000">
      <w:pPr>
        <w:spacing w:after="80" w:line="240" w:lineRule="auto"/>
      </w:pPr>
      <w:r>
        <w:t>GSE191067 was used for external single-cell reproducibility evaluation. It was not used to reconstruct an independent trajectory or to validate D1/D2 pseudotime direction. Its primary role was annotation-concordant state localization, state-composition assessment, and preservation testing of frozen co-expression modules.</w:t>
      </w:r>
    </w:p>
    <w:p w14:paraId="736A4C03" w14:textId="77777777" w:rsidR="0024674B" w:rsidRDefault="00000000" w:rsidP="00390977">
      <w:pPr>
        <w:spacing w:after="80" w:line="240" w:lineRule="auto"/>
      </w:pPr>
      <w:r>
        <w:t>2. Discovery-cohort sample processing, library preparation, and primary read processing</w:t>
      </w:r>
    </w:p>
    <w:p w14:paraId="4FF2F2F8" w14:textId="77777777" w:rsidR="0024674B" w:rsidRDefault="00000000">
      <w:pPr>
        <w:spacing w:after="80" w:line="240" w:lineRule="auto"/>
      </w:pPr>
      <w:r>
        <w:t>Fresh keloid and normal-skin specimens were obtained from six unrelated individuals and transported on ice in sterile 1× DPBS. Tissues were minced on ice and digested in PBS containing 0.2% collagenase II, 10 µg/mL DNase I, and 5% fetal bovine serum at 37°C with shaking at 50 r.p.m. for approximately 40 min. Dissociated cells were collected at 20-min intervals, passed through a 40-µm nylon cell strainer, subjected to red blood cell lysis, and washed with 1× DPBS containing 2% fetal bovine serum. Cell viability was assessed by trypan-blue exclusion using a Countess II automated cell counter.</w:t>
      </w:r>
    </w:p>
    <w:p w14:paraId="4FF2F2F8" w14:textId="77777777" w:rsidR="0024674B" w:rsidRDefault="00000000">
      <w:pPr>
        <w:spacing w:after="80" w:line="240" w:lineRule="auto"/>
      </w:pPr>
      <w:r>
        <w:t>Single-cell RNA-sequencing libraries were generated using the DNBelab C Series platform. Cell suspensions, capture beads, and oil were loaded into a C4 microfluidic cartridge for droplet generation, cell lysis, and mRNA capture. Following emulsion breakage and bead recovery, reverse transcription, second-strand synthesis, cDNA amplification, fragment selection, adapter ligation, sample barcoding, and library circularization were performed according to the manufacturer’s workflow. The resulting libraries were sequenced on the DNBSEQ-T7RS platform.</w:t>
      </w:r>
    </w:p>
    <w:p w14:paraId="4FF2F2F8" w14:textId="77777777" w:rsidR="0024674B" w:rsidRDefault="00000000">
      <w:pPr>
        <w:spacing w:after="80" w:line="240" w:lineRule="auto"/>
      </w:pPr>
      <w:r>
        <w:t>Sequencing reads were processed using DNBC4tools v2.1.2 with manufacturer-recommended parameters. Reads were aligned to the human GRCh38 reference genome using STAR, followed by barcode and UMI processing and generation of sample-specific gene-by-cell count matrices. These matrices were used as input for the final Seurat workflow described below.</w:t>
      </w:r>
    </w:p>
    <w:p w14:paraId="736A4C03" w14:textId="77777777" w:rsidR="0024674B" w:rsidRDefault="00000000" w:rsidP="00390977">
      <w:pPr>
        <w:spacing w:after="80" w:line="240" w:lineRule="auto"/>
      </w:pPr>
      <w:r>
        <w:t>3. Discovery-cohort preprocessing and integration audit</w:t>
      </w:r>
    </w:p>
    <w:p w14:paraId="4FF2F2F8" w14:textId="77777777" w:rsidR="0024674B" w:rsidRDefault="00000000">
      <w:pPr>
        <w:spacing w:after="80" w:line="240" w:lineRule="auto"/>
      </w:pPr>
      <w:r>
        <w:t>Seurat objects were created with min.cells=3 and min.features=200. Per-sample QC retained cells with nFeature_RNA&gt;=300 and percent.mt&lt;=25%; the upper nFeature_RNA threshold was min(9000, sample 99.5th percentile), and the upper nCount_RNA threshold was min(100000, sample 99.5th percentile). LogNormalize used scale.factor=10000, and 3000 variable genes were selected by vst.</w:t>
      </w:r>
    </w:p>
    <w:p w14:paraId="365FF2E1" w14:textId="77777777" w:rsidR="0024674B" w:rsidRDefault="00000000">
      <w:pPr>
        <w:spacing w:after="80" w:line="240" w:lineRule="auto"/>
      </w:pPr>
      <w:r>
        <w:t>After JoinLayers, percent.mt and nCount_RNA were regressed in ScaleData. Fifty PCs were computed; Harmony used sample as the batch variable on the first 40 PCs. The global graph and UMAP used the first 30 Harmony dimensions, and resolution 0.6 was selected from 0.2, 0.4, 0.6, 0.8, and 1.0.</w:t>
      </w:r>
    </w:p>
    <w:p w14:paraId="19F572F7" w14:textId="77777777" w:rsidR="0024674B" w:rsidRDefault="00000000">
      <w:pPr>
        <w:spacing w:after="80" w:line="240" w:lineRule="auto"/>
      </w:pPr>
      <w:r>
        <w:t>Integration sensitivity compared uncorrected PCA and Harmony spaces across 20, 30, and 40 dimensions and resolutions 0.1-0.4. The audit included 30-nearest-neighbor sample entropy, state purity, adjusted Rand index, and leave-one-sample-out reanalysis. Candidate fibroblasts were additionally audited with scDblFinder v1.24.10 on a per-sample basis.</w:t>
      </w:r>
    </w:p>
    <w:p w14:paraId="78481D4F" w14:textId="77777777" w:rsidR="0024674B" w:rsidRDefault="00000000" w:rsidP="00390977">
      <w:pPr>
        <w:spacing w:after="80" w:line="240" w:lineRule="auto"/>
      </w:pPr>
      <w:r>
        <w:t>4. Fibroblast purification and state annotation</w:t>
      </w:r>
    </w:p>
    <w:p w14:paraId="019946A8" w14:textId="77777777" w:rsidR="0024674B" w:rsidRDefault="00000000">
      <w:pPr>
        <w:spacing w:after="80" w:line="240" w:lineRule="auto"/>
      </w:pPr>
      <w:r>
        <w:t>The 1350 candidate fibroblasts were reprocessed with LogNormalize, 2000 variable genes, regression of percent.mt and nCount_RNA, 30 PCs, sample-Harmony integration, and graph construction on the first 15 Harmony dimensions. Resolution 0.6 was chosen after evaluation of 0.2-1.2 in increments of 0.2.</w:t>
      </w:r>
    </w:p>
    <w:p w14:paraId="70383E52" w14:textId="77777777" w:rsidR="0024674B" w:rsidRDefault="00000000">
      <w:pPr>
        <w:spacing w:after="80" w:line="240" w:lineRule="auto"/>
      </w:pPr>
      <w:r>
        <w:t>Clusters with concordant epithelial, endothelial, immune, or pericyte markers were excluded. The remaining 1117 cells were summarized into three major state classes using one-versus-all positive markers and GO Biological Process, Hallmark, KEGG, and Reactome enrichment. Forty-seven low-frequency, sample-skewed cells were assigned as other fibroblasts and excluded from trajectory analysis.</w:t>
      </w:r>
    </w:p>
    <w:p w14:paraId="38BBBED6" w14:textId="77777777" w:rsidR="0024674B" w:rsidRDefault="00000000" w:rsidP="00390977">
      <w:pPr>
        <w:spacing w:after="80" w:line="240" w:lineRule="auto"/>
      </w:pPr>
      <w:r>
        <w:t>5. DDRTree construction, root selection, and pseudotime sensitivity</w:t>
      </w:r>
    </w:p>
    <w:p w14:paraId="1594DE1A" w14:textId="77777777" w:rsidR="0024674B" w:rsidRDefault="00000000">
      <w:pPr>
        <w:spacing w:after="80" w:line="240" w:lineRule="auto"/>
      </w:pPr>
      <w:r>
        <w:t>The primary trajectory included 1070 cells. Ordering genes were selected by state-wise one-versus-all Wilcoxon testing (min.pct=0.10, logfc.threshold=0.10, adjusted P&lt;0.05), ordered by adjusted P and absolute log2 fold change, deduplicated, and capped at 2000; 1586 genes entered DDRTree.</w:t>
      </w:r>
    </w:p>
    <w:p w14:paraId="0B19546E" w14:textId="77777777" w:rsidR="0024674B" w:rsidRDefault="00000000">
      <w:pPr>
        <w:spacing w:after="80" w:line="240" w:lineRule="auto"/>
      </w:pPr>
      <w:r>
        <w:t>Only degree-one endpoints with at least eight mapped cells were eligible as roots. The root was selected without disease labels by maximizing the mean size-factor-normalized log1p expression of PI16, APOD, ABCA8, IGFBP3, and WIF1 in endpoint-neighboring cells. Graph pseudotime was the weighted shortest-path distance from the root to the nearest principal-graph vertex plus the cell-to-vertex Euclidean distance, shifted to a minimum of zero.</w:t>
      </w:r>
    </w:p>
    <w:p w14:paraId="65C8B04A" w14:textId="77777777" w:rsidR="0024674B" w:rsidRDefault="00000000">
      <w:pPr>
        <w:spacing w:after="80" w:line="240" w:lineRule="auto"/>
      </w:pPr>
      <w:r>
        <w:t>Sensitivity analyses reconstructed DDRTree using the top 500, top 1000, and all 1586 state-differential ordering genes and the top 1000 and 2000 variable genes. Alternative roots were the two remodeling-associated endpoints. Slingshot analyses in expression-derived PCA space specified either only the homeostatic/regulatory start state or both candidate terminal states.</w:t>
      </w:r>
    </w:p>
    <w:p w14:paraId="5F1FE6CA" w14:textId="77777777" w:rsidR="0024674B" w:rsidRDefault="00000000" w:rsidP="00390977">
      <w:pPr>
        <w:spacing w:after="80" w:line="240" w:lineRule="auto"/>
      </w:pPr>
      <w:r>
        <w:t>6. Dynamic-gene discovery and tradeSeq</w:t>
      </w:r>
    </w:p>
    <w:p w14:paraId="65E5C067" w14:textId="77777777" w:rsidR="0024674B" w:rsidRDefault="00000000">
      <w:pPr>
        <w:spacing w:after="80" w:line="240" w:lineRule="auto"/>
      </w:pPr>
      <w:r>
        <w:t xml:space="preserve">Trajectory-associated genes required BH FDR&lt;0.05, absolute Spearman rho&gt;0.20, and detection in &gt;10% of trajectory cells. Cells were divided into 30 equal-frequency pseudotime bins; bin means were </w:t>
      </w:r>
      <w:r>
        <w:lastRenderedPageBreak/>
        <w:t>standardized within genes. k-means solutions k=2-10 were compared using silhouette width, repeated-clustering ARI, Calinski-Harabasz index, and module size; k=2 defined D1 and D2.</w:t>
      </w:r>
    </w:p>
    <w:p w14:paraId="3A131446" w14:textId="77777777" w:rsidR="0024674B" w:rsidRDefault="00000000">
      <w:pPr>
        <w:spacing w:after="80" w:line="240" w:lineRule="auto"/>
      </w:pPr>
      <w:r>
        <w:t>Two DDRTree lineages connected the root to the mixed-remodeling and ECM-dominant endpoints. tradeSeq v1.24.0 used raw counts, a negative-binomial GAM, lineage pseudotime/weights, and model.matrix(~ donor). associationTest, patternTest, diffEndTest, and earlyDETest(knots=c(1,2)) were run on genes with finite test statistics and P values.</w:t>
      </w:r>
    </w:p>
    <w:p w14:paraId="08FD87A4" w14:textId="77777777" w:rsidR="0024674B" w:rsidRDefault="00000000">
      <w:pPr>
        <w:spacing w:after="80" w:line="240" w:lineRule="auto"/>
      </w:pPr>
      <w:r>
        <w:t>Six knots were used in the primary model. With seed 20260717, evaluateK compared 3-8 knots in 500 fixed-sampled genes; six knots had the lowest mean AIC and the largest fraction of genes within two AIC units of the gene-specific minimum (241/500).</w:t>
      </w:r>
    </w:p>
    <w:p w14:paraId="014959A0" w14:textId="77777777" w:rsidR="0024674B" w:rsidRDefault="00000000" w:rsidP="00390977">
      <w:pPr>
        <w:spacing w:after="80" w:line="240" w:lineRule="auto"/>
      </w:pPr>
      <w:r>
        <w:t>7. Clean-program definition and donor-aware robustness</w:t>
      </w:r>
    </w:p>
    <w:p w14:paraId="760007B1" w14:textId="77777777" w:rsidR="0024674B" w:rsidRDefault="00000000">
      <w:pPr>
        <w:spacing w:after="80" w:line="240" w:lineRule="auto"/>
      </w:pPr>
      <w:r>
        <w:t>Clean D1 required negative pseudotime correlation and clean D2 positive correlation. Prespecified symbol filters removed mitochondrial (^MT-), cytoplasmic or mitochondrial ribosomal (^(RPS|RPL|MRPS|MRPL)), hemoglobin, canonical histone, and keratin genes. Functional categories were not used for subjective exclusion. The frozen sets contained 42 clean D1 and 975 clean D2 genes.</w:t>
      </w:r>
    </w:p>
    <w:p w14:paraId="7A3416D2" w14:textId="77777777" w:rsidR="0024674B" w:rsidRDefault="00000000">
      <w:pPr>
        <w:spacing w:after="80" w:line="240" w:lineRule="auto"/>
      </w:pPr>
      <w:r>
        <w:t>Per-donor correlations required at least 20 trajectory cells per donor, nonzero expression variance, at least 10 distinct pseudotime values, and gene detection in max(5, ceiling(0.10*n)) cells; genes were summarized when evaluable in at least three donors. Fixed-trajectory leave-one-donor-out recomputed correlations after omitting each donor. Equal-donor subsampling used 100 repeats of 6 donors x 11 cells and 5 donors x 43 cells; direction retention required the expected sign in at least 80/100 repeats.</w:t>
      </w:r>
    </w:p>
    <w:p w14:paraId="3B5C75E4" w14:textId="77777777" w:rsidR="0024674B" w:rsidRDefault="00000000">
      <w:pPr>
        <w:spacing w:after="80" w:line="240" w:lineRule="auto"/>
      </w:pPr>
      <w:r>
        <w:t>Gaussian GAMs used log1p(raw count/Monocle2 Size_Factor) with donor fixed effects, donor random intercepts, or inverse-donor-cell-count weights. A result was supportive when the smooth-term BH FDR was &lt;0.05 and the fitted endpoint difference had the expected sign. Single-lineage tradeSeq used raw counts, TMM-derived effective-library-size offsets, and donor covariates.</w:t>
      </w:r>
    </w:p>
    <w:p w14:paraId="6523928E" w14:textId="77777777" w:rsidR="0024674B" w:rsidRDefault="00000000">
      <w:pPr>
        <w:spacing w:after="80" w:line="240" w:lineRule="auto"/>
      </w:pPr>
      <w:r>
        <w:t>At score level, clean D1 was negatively and clean D2 positively correlated with pseudotime in all six donors. In the 6 x 11-cell analysis, 42/42 clean D1 and 955/975 clean D2 genes retained the expected direction in at least 80% of repeats; in the 5 x 43-cell analysis, the corresponding counts were 42/42 and 975/975. Full gene-level results are provided in Supplementary Data S4-S5.</w:t>
      </w:r>
    </w:p>
    <w:p w14:paraId="20BA2C8D" w14:textId="77777777" w:rsidR="0024674B" w:rsidRDefault="00000000" w:rsidP="00390977">
      <w:pPr>
        <w:spacing w:after="80" w:line="240" w:lineRule="auto"/>
      </w:pPr>
      <w:r>
        <w:t>8. Discovery-only WGCNA and sensitivity analyses</w:t>
      </w:r>
    </w:p>
    <w:p w14:paraId="214BE455" w14:textId="77777777" w:rsidR="0024674B" w:rsidRDefault="00000000">
      <w:pPr>
        <w:spacing w:after="80" w:line="240" w:lineRule="auto"/>
      </w:pPr>
      <w:r>
        <w:t>Genes detected in at least 5% of discovery trajectory cells were eligible, and the 3000 genes with greatest discovery-metacell variance were used. GSE191067 was not queried during gene selection or module discovery, and clean-program genes were not force-included.</w:t>
      </w:r>
    </w:p>
    <w:p w14:paraId="778352D0" w14:textId="77777777" w:rsidR="0024674B" w:rsidRDefault="00000000">
      <w:pPr>
        <w:spacing w:after="80" w:line="240" w:lineRule="auto"/>
      </w:pPr>
      <w:r>
        <w:t>Primary metacells were created within donor x fibroblast-state strata by pseudotime order, with 25 consecutive cells per bin and at least eight cells in the final retained bin. Forty-two metacells were obtained from five donors. Donor N176712 contributed 11 trajectory cells distributed 1/6/4 across the three states and therefore formed no eligible state-stratified metacell.</w:t>
      </w:r>
    </w:p>
    <w:p w14:paraId="040CEFC6" w14:textId="77777777" w:rsidR="0024674B" w:rsidRDefault="00000000">
      <w:pPr>
        <w:spacing w:after="80" w:line="240" w:lineRule="auto"/>
      </w:pPr>
      <w:r>
        <w:t>WGCNA v1.74 used a signed network, soft-threshold power 18, minModuleSize=25, and mergeCutHeight=0.25. D1- and D2-aligned modules were selected by the largest positive donor-equal Spearman correlation. Stability was examined by leave-one-donor-out and 2000 donor-cluster bootstrap replicates (seed 20260717). A pseudotime-independent sensitivity network used k-means neighborhoods in the first 20 discovery PCs within donor x state strata.</w:t>
      </w:r>
    </w:p>
    <w:p w14:paraId="7F573C4B" w14:textId="77777777" w:rsidR="0024674B" w:rsidRDefault="00000000" w:rsidP="00390977">
      <w:pPr>
        <w:spacing w:after="80" w:line="240" w:lineRule="auto"/>
      </w:pPr>
      <w:r>
        <w:t>9. GSE191067 external single-cell reproducibility evaluation</w:t>
      </w:r>
    </w:p>
    <w:p w14:paraId="50B10062" w14:textId="77777777" w:rsidR="0024674B" w:rsidRDefault="00000000">
      <w:pPr>
        <w:spacing w:after="80" w:line="240" w:lineRule="auto"/>
      </w:pPr>
      <w:r>
        <w:t>After Ensembl-version removal and HGNC-symbol mapping, 93359 input cells were reduced to 91217 after Seurat object-creation filters and 87250 after sample-specific QC. Purification retained 17020 fibroblasts. Reclustering used LogNormalize, 3000 variable genes, regression of percent.mt and nCount_RNA, 30 PCs, sample-Harmony integration, 20-neighbor SNN construction, and UMAP with 30 neighbors, min.dist=0.3, and cosine distance.</w:t>
      </w:r>
    </w:p>
    <w:p w14:paraId="31688240" w14:textId="77777777" w:rsidR="0024674B" w:rsidRDefault="00000000">
      <w:pPr>
        <w:spacing w:after="80" w:line="240" w:lineRule="auto"/>
      </w:pPr>
      <w:r>
        <w:t>Resolutions 0.02, 0.05, 0.08, 0.10, 0.15, 0.20, and 0.30 were audited. Among solutions with 3-10 clusters and a minimum cluster size of 50, resolution 0.20 maximized the mean silhouette on a fixed 4000-cell sample in Harmony dimensions 1-15.</w:t>
      </w:r>
    </w:p>
    <w:p w14:paraId="11599224" w14:textId="77777777" w:rsidR="0024674B" w:rsidRDefault="00000000">
      <w:pPr>
        <w:spacing w:after="80" w:line="240" w:lineRule="auto"/>
      </w:pPr>
      <w:r>
        <w:lastRenderedPageBreak/>
        <w:t>Clusters were mapped to the three state classes using prespecified classic marker sets. A top-versus-second marker-score margin &lt;0.01 was flagged as low confidence; a negative maximum score was flagged as weak absolute marker support. Clean-program scores were calculated after intersecting frozen members with detected genes and z-standardizing each gene across cells. Scores were summarized by donor x state. No independent root or trajectory was reconstructed; these analyses assess annotation-concordant external localization rather than independent replication of dynamic direction.</w:t>
      </w:r>
    </w:p>
    <w:p w14:paraId="34482E18" w14:textId="77777777" w:rsidR="0024674B" w:rsidRDefault="00000000" w:rsidP="00390977">
      <w:pPr>
        <w:spacing w:after="80" w:line="240" w:lineRule="auto"/>
      </w:pPr>
      <w:r>
        <w:t>10. Matched donor-state module preservation</w:t>
      </w:r>
    </w:p>
    <w:p w14:paraId="501D1F57" w14:textId="77777777" w:rsidR="0024674B" w:rsidRDefault="00000000">
      <w:pPr>
        <w:spacing w:after="80" w:line="240" w:lineRule="auto"/>
      </w:pPr>
      <w:r>
        <w:t>Discovery modules were frozen before external expression was accessed, then intersected with GSE191067-detected genes. Mean log-normalized expression was aggregated within actual donor x state units, yielding 18 units in each cohort. Every unit, donor, state, and cell count is listed in Supplementary Data S6.</w:t>
      </w:r>
    </w:p>
    <w:p w14:paraId="08483788" w14:textId="77777777" w:rsidR="0024674B" w:rsidRDefault="00000000">
      <w:pPr>
        <w:spacing w:after="80" w:line="240" w:lineRule="auto"/>
      </w:pPr>
      <w:r>
        <w:t>WGCNA modulePreservation used 2000 permutations, quickCor=0, and seed 20260717. Gene retention, Zsummary, and medianRank were reported. Leave-one-external-donor-out analyses used 200 permutations. Zsummary&gt;2 was interpreted as evidence of preservation and considered jointly with module size, medianRank, and donor sensitivity. Repeated states from the same donor were not treated as independent patients.</w:t>
      </w:r>
    </w:p>
    <w:p w14:paraId="55871799" w14:textId="77777777" w:rsidR="0024674B" w:rsidRDefault="00000000" w:rsidP="00390977">
      <w:pPr>
        <w:spacing w:after="80" w:line="240" w:lineRule="auto"/>
      </w:pPr>
      <w:r>
        <w:t>11. PRJNA813172 processing and bulk projection</w:t>
      </w:r>
    </w:p>
    <w:p w14:paraId="3AA13574" w14:textId="77777777" w:rsidR="0024674B" w:rsidRDefault="00000000">
      <w:pPr>
        <w:spacing w:after="80" w:line="240" w:lineRule="auto"/>
      </w:pPr>
      <w:r>
        <w:t>Seventy-seven SRR accessions were parsed from filereport_read_run_PRJNA813172.tsv. aria2c v1.37.0 downloaded SRA files; SRA Toolkit v3.4.1 fastq-dump --split-files --skip-technical --gzip generated paired FASTQ files. Salmon v2.1.1 quantified against a GENCODE release 50 transcriptome index (k=31; sample options -l A and four threads).</w:t>
      </w:r>
    </w:p>
    <w:p w14:paraId="558C7A0E" w14:textId="77777777" w:rsidR="0024674B" w:rsidRDefault="00000000">
      <w:pPr>
        <w:spacing w:after="80" w:line="240" w:lineRule="auto"/>
      </w:pPr>
      <w:r>
        <w:t>tximport v1.38.2 imported quant.sf files with type='salmon' and countsFromAbundance='no'. Transcripts mapping to the same GENCODE v50 gene symbol were aggregated during tximport. Gene-symbol TPM, estimated-count, and effective-length matrices were generated; log2(TPM+1) was matched to clinical metadata by SRA Run ID without additional expression filtering.</w:t>
      </w:r>
    </w:p>
    <w:p w14:paraId="09335FE7" w14:textId="77777777" w:rsidR="0024674B" w:rsidRDefault="00000000">
      <w:pPr>
        <w:spacing w:after="80" w:line="240" w:lineRule="auto"/>
      </w:pPr>
      <w:r>
        <w:t>Detected genes were z-standardized across the 77 samples, and each score was the mean z value of detected members. Following the prespecified decrease of D1 along discovery pseudotime, clean D1 loss was defined before recurrence labels were read as -1 x clean D1 and designated the primary exploratory candidate score. Clean D2 and the five-hub benchmark served as secondary references; five-hub comprised CHI3L1, IL1RN, MMP7, TNFAIP3, and TNFAIP6 and used the same scoring rule.</w:t>
      </w:r>
    </w:p>
    <w:p w14:paraId="12F2DB37" w14:textId="77777777" w:rsidR="0024674B" w:rsidRDefault="00000000" w:rsidP="00390977">
      <w:pPr>
        <w:spacing w:after="80" w:line="240" w:lineRule="auto"/>
      </w:pPr>
      <w:r>
        <w:t>12. ROC and precision-recall statistics</w:t>
      </w:r>
    </w:p>
    <w:p w14:paraId="09D08C99" w14:textId="77777777" w:rsidR="0024674B" w:rsidRDefault="00000000">
      <w:pPr>
        <w:spacing w:after="80" w:line="240" w:lineRule="auto"/>
      </w:pPr>
      <w:r>
        <w:t>ROC AUC was computed from the Mann-Whitney rank statistic. Average precision (AP) was computed after descending score order as the mean precision at the ranks occupied by recurrent cases. The displayed stepwise precision-recall curve was constructed so that its area equals this AP definition. AP was not estimated by trapezoidal integration of an interpolated precision-recall curve.</w:t>
      </w:r>
    </w:p>
    <w:p w14:paraId="20AE853A" w14:textId="77777777" w:rsidR="0024674B" w:rsidRDefault="00000000">
      <w:pPr>
        <w:spacing w:after="80" w:line="240" w:lineRule="auto"/>
      </w:pPr>
      <w:r>
        <w:t>AUC and AP percentile 95% confidence intervals used 5000 outcome-stratified bootstrap replicates. Empirical significance used 10000 label permutations with the +1 correction. AUC differences used 5000 paired stratified bootstrap replicates. Leave-one-positive-out omitted each of the seven recurrence cases in turn. Seed 20260711 was used for all bulk bootstrap and permutation analyses.</w:t>
      </w:r>
    </w:p>
    <w:p w14:paraId="6239CC06" w14:textId="77777777" w:rsidR="0024674B" w:rsidRDefault="00000000" w:rsidP="00390977">
      <w:pPr>
        <w:spacing w:after="80" w:line="240" w:lineRule="auto"/>
        <w:rPr>
          <w:rFonts w:eastAsia="宋体"/>
          <w:lang w:eastAsia="zh-CN"/>
        </w:rPr>
      </w:pPr>
      <w:r>
        <w:t>13. Random seeds and principal software</w:t>
      </w:r>
    </w:p>
    <w:p w14:paraId="4AD22CB0" w14:textId="1B599DBA" w:rsidR="0024674B" w:rsidRDefault="00390977">
      <w:pPr>
        <w:spacing w:after="80" w:line="240" w:lineRule="auto"/>
      </w:pPr>
      <w:r w:rsidRPr="00390977">
        <w:t>All stochastic analyses were performed using fixed random seeds specified in the corresponding analysis scripts.</w:t>
      </w:r>
      <w:r>
        <w:rPr>
          <w:rFonts w:eastAsia="宋体" w:hint="eastAsia"/>
          <w:lang w:eastAsia="zh-CN"/>
        </w:rPr>
        <w:t xml:space="preserve"> </w:t>
      </w:r>
      <w:r w:rsidR="00000000">
        <w:t>Analyses were performed in R 4.5.2. Principal packages were Seurat 5.5.0, SeuratObject 5.4.0, Harmony 2.0.4, monocle 2.99.0, DDRTree 0.1.6, Slingshot 2.18.0, tradeSeq 1.24.0, mgcv 1.9-4, WGCNA 1.74, clusterProfiler 4.18.4, org.Hs.eg.db 3.22.0, tximport 1.38.2, pROC 1.19.0.1, msigdbr 26.1.0, and scDblFinder 1.24.10.</w:t>
      </w:r>
    </w:p>
    <w:sectPr w:rsidR="0024674B" w:rsidSect="00034616">
      <w:headerReference w:type="default" r:id="rId8"/>
      <w:footerReference w:type="default" r:id="rId9"/>
      <w:pgSz w:w="12240" w:h="15840"/>
      <w:pgMar w:top="1134"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5E56A" w14:textId="77777777" w:rsidR="00AB70C9" w:rsidRDefault="00AB70C9">
      <w:pPr>
        <w:spacing w:after="0" w:line="240" w:lineRule="auto"/>
      </w:pPr>
      <w:r>
        <w:separator/>
      </w:r>
    </w:p>
  </w:endnote>
  <w:endnote w:type="continuationSeparator" w:id="0">
    <w:p w14:paraId="60EEC7BA" w14:textId="77777777" w:rsidR="00AB70C9" w:rsidRDefault="00AB70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F8B66" w14:textId="77777777" w:rsidR="0024674B" w:rsidRDefault="0024674B">
    <w:pPr>
      <w:pStyle w:val="a7"/>
      <w:spacing w:after="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61C9E" w14:textId="77777777" w:rsidR="00AB70C9" w:rsidRDefault="00AB70C9">
      <w:pPr>
        <w:spacing w:after="0" w:line="240" w:lineRule="auto"/>
      </w:pPr>
      <w:r>
        <w:separator/>
      </w:r>
    </w:p>
  </w:footnote>
  <w:footnote w:type="continuationSeparator" w:id="0">
    <w:p w14:paraId="3463FBCC" w14:textId="77777777" w:rsidR="00AB70C9" w:rsidRDefault="00AB70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F52C3" w14:textId="77777777" w:rsidR="0024674B" w:rsidRDefault="0024674B">
    <w:pPr>
      <w:pStyle w:val="a5"/>
      <w:spacing w:after="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99086617">
    <w:abstractNumId w:val="8"/>
  </w:num>
  <w:num w:numId="2" w16cid:durableId="90636521">
    <w:abstractNumId w:val="6"/>
  </w:num>
  <w:num w:numId="3" w16cid:durableId="607589538">
    <w:abstractNumId w:val="5"/>
  </w:num>
  <w:num w:numId="4" w16cid:durableId="1368531288">
    <w:abstractNumId w:val="4"/>
  </w:num>
  <w:num w:numId="5" w16cid:durableId="1373381514">
    <w:abstractNumId w:val="7"/>
  </w:num>
  <w:num w:numId="6" w16cid:durableId="2028672094">
    <w:abstractNumId w:val="3"/>
  </w:num>
  <w:num w:numId="7" w16cid:durableId="1804494340">
    <w:abstractNumId w:val="2"/>
  </w:num>
  <w:num w:numId="8" w16cid:durableId="550003590">
    <w:abstractNumId w:val="1"/>
  </w:num>
  <w:num w:numId="9" w16cid:durableId="1215193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1133"/>
    <w:rsid w:val="0024674B"/>
    <w:rsid w:val="0029639D"/>
    <w:rsid w:val="00326F90"/>
    <w:rsid w:val="00390977"/>
    <w:rsid w:val="00AA1D8D"/>
    <w:rsid w:val="00AB70C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27C8072"/>
  <w14:defaultImageDpi w14:val="300"/>
  <w15:docId w15:val="{868CA007-11D3-4D21-97F4-228CB9088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cs="Times New Roman"/>
      <w:color w:val="000000"/>
    </w:rPr>
  </w:style>
  <w:style w:type="paragraph" w:styleId="1">
    <w:name w:val="heading 1"/>
    <w:basedOn w:val="a1"/>
    <w:next w:val="a1"/>
    <w:link w:val="10"/>
    <w:uiPriority w:val="9"/>
    <w:qFormat/>
    <w:rsid w:val="00FC693F"/>
    <w:pPr>
      <w:keepNext/>
      <w:keepLines/>
      <w:spacing w:before="480" w:after="0"/>
      <w:outlineLvl w:val="0"/>
    </w:pPr>
    <w:rPr>
      <w:b/>
      <w:bCs/>
      <w:szCs w:val="28"/>
    </w:rPr>
  </w:style>
  <w:style w:type="paragraph" w:styleId="21">
    <w:name w:val="heading 2"/>
    <w:basedOn w:val="a1"/>
    <w:next w:val="a1"/>
    <w:link w:val="22"/>
    <w:uiPriority w:val="9"/>
    <w:unhideWhenUsed/>
    <w:qFormat/>
    <w:rsid w:val="00FC693F"/>
    <w:pPr>
      <w:keepNext/>
      <w:keepLines/>
      <w:spacing w:before="200" w:after="0"/>
      <w:outlineLvl w:val="1"/>
    </w:pPr>
    <w:rPr>
      <w:b/>
      <w:bCs/>
      <w:szCs w:val="26"/>
    </w:rPr>
  </w:style>
  <w:style w:type="paragraph" w:styleId="31">
    <w:name w:val="heading 3"/>
    <w:basedOn w:val="a1"/>
    <w:next w:val="a1"/>
    <w:link w:val="32"/>
    <w:uiPriority w:val="9"/>
    <w:unhideWhenUsed/>
    <w:qFormat/>
    <w:rsid w:val="00FC693F"/>
    <w:pPr>
      <w:keepNext/>
      <w:keepLines/>
      <w:spacing w:before="200" w:after="0"/>
      <w:outlineLvl w:val="2"/>
    </w:pPr>
    <w:rPr>
      <w:b/>
      <w:bCs/>
    </w:rPr>
  </w:style>
  <w:style w:type="paragraph" w:styleId="4">
    <w:name w:val="heading 4"/>
    <w:basedOn w:val="a1"/>
    <w:next w:val="a1"/>
    <w:link w:val="40"/>
    <w:uiPriority w:val="9"/>
    <w:semiHidden/>
    <w:unhideWhenUsed/>
    <w:qFormat/>
    <w:rsid w:val="00FC693F"/>
    <w:pPr>
      <w:keepNext/>
      <w:keepLines/>
      <w:spacing w:before="200" w:after="0"/>
      <w:outlineLvl w:val="3"/>
    </w:pPr>
    <w:rPr>
      <w:b/>
      <w:bCs/>
      <w:iCs/>
    </w:rPr>
  </w:style>
  <w:style w:type="paragraph" w:styleId="5">
    <w:name w:val="heading 5"/>
    <w:basedOn w:val="a1"/>
    <w:next w:val="a1"/>
    <w:link w:val="50"/>
    <w:uiPriority w:val="9"/>
    <w:semiHidden/>
    <w:unhideWhenUsed/>
    <w:qFormat/>
    <w:rsid w:val="00FC693F"/>
    <w:pPr>
      <w:keepNext/>
      <w:keepLines/>
      <w:spacing w:before="200" w:after="0"/>
      <w:outlineLvl w:val="4"/>
    </w:pPr>
    <w:rPr>
      <w:b/>
    </w:rPr>
  </w:style>
  <w:style w:type="paragraph" w:styleId="6">
    <w:name w:val="heading 6"/>
    <w:basedOn w:val="a1"/>
    <w:next w:val="a1"/>
    <w:link w:val="60"/>
    <w:uiPriority w:val="9"/>
    <w:semiHidden/>
    <w:unhideWhenUsed/>
    <w:qFormat/>
    <w:rsid w:val="00FC693F"/>
    <w:pPr>
      <w:keepNext/>
      <w:keepLines/>
      <w:spacing w:before="200" w:after="0"/>
      <w:outlineLvl w:val="5"/>
    </w:pPr>
    <w:rPr>
      <w:b/>
      <w:iCs/>
    </w:rPr>
  </w:style>
  <w:style w:type="paragraph" w:styleId="7">
    <w:name w:val="heading 7"/>
    <w:basedOn w:val="a1"/>
    <w:next w:val="a1"/>
    <w:link w:val="70"/>
    <w:uiPriority w:val="9"/>
    <w:semiHidden/>
    <w:unhideWhenUsed/>
    <w:qFormat/>
    <w:rsid w:val="00FC693F"/>
    <w:pPr>
      <w:keepNext/>
      <w:keepLines/>
      <w:spacing w:before="200" w:after="0"/>
      <w:outlineLvl w:val="6"/>
    </w:pPr>
    <w:rPr>
      <w:b/>
      <w:iCs/>
    </w:rPr>
  </w:style>
  <w:style w:type="paragraph" w:styleId="8">
    <w:name w:val="heading 8"/>
    <w:basedOn w:val="a1"/>
    <w:next w:val="a1"/>
    <w:link w:val="80"/>
    <w:uiPriority w:val="9"/>
    <w:semiHidden/>
    <w:unhideWhenUsed/>
    <w:qFormat/>
    <w:rsid w:val="00FC693F"/>
    <w:pPr>
      <w:keepNext/>
      <w:keepLines/>
      <w:spacing w:before="200" w:after="0"/>
      <w:outlineLvl w:val="7"/>
    </w:pPr>
    <w:rPr>
      <w:b/>
      <w:szCs w:val="20"/>
    </w:rPr>
  </w:style>
  <w:style w:type="paragraph" w:styleId="9">
    <w:name w:val="heading 9"/>
    <w:basedOn w:val="a1"/>
    <w:next w:val="a1"/>
    <w:link w:val="90"/>
    <w:uiPriority w:val="9"/>
    <w:semiHidden/>
    <w:unhideWhenUsed/>
    <w:qFormat/>
    <w:rsid w:val="00FC693F"/>
    <w:pPr>
      <w:keepNext/>
      <w:keepLines/>
      <w:spacing w:before="200" w:after="0"/>
      <w:outlineLvl w:val="8"/>
    </w:pPr>
    <w:rPr>
      <w:b/>
      <w:iCs/>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rPr>
      <w:rFonts w:ascii="Times New Roman" w:eastAsia="Times New Roman" w:hAnsi="Times New Roman" w:cs="Times New Roman"/>
      <w:color w:val="000000"/>
    </w:r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spacing w:val="5"/>
      <w:kern w:val="2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iCs/>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color w:val="00000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Cs/>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Cs/>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Cs/>
      <w:iCs/>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rPr>
      <w:b w:val="0"/>
    </w:r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1617</Words>
  <Characters>10543</Characters>
  <Application>Microsoft Office Word</Application>
  <DocSecurity>0</DocSecurity>
  <Lines>152</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雨童 袁</cp:lastModifiedBy>
  <cp:revision>2</cp:revision>
  <dcterms:created xsi:type="dcterms:W3CDTF">2013-12-23T23:15:00Z</dcterms:created>
  <dcterms:modified xsi:type="dcterms:W3CDTF">2026-07-21T15:37:00Z</dcterms:modified>
  <cp:category/>
</cp:coreProperties>
</file>