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06109" w14:textId="77BA95BD" w:rsidR="00162374" w:rsidRDefault="00362A24" w:rsidP="00362A24">
      <w:pPr>
        <w:jc w:val="center"/>
        <w:rPr>
          <w:rFonts w:hint="eastAsia"/>
        </w:rPr>
      </w:pPr>
      <w:r>
        <w:rPr>
          <w:rFonts w:hint="eastAsia"/>
        </w:rPr>
        <w:t xml:space="preserve">An </w:t>
      </w:r>
      <w:r w:rsidR="00006E08">
        <w:rPr>
          <w:rFonts w:hint="eastAsia"/>
        </w:rPr>
        <w:t>A</w:t>
      </w:r>
      <w:r>
        <w:rPr>
          <w:rFonts w:hint="eastAsia"/>
        </w:rPr>
        <w:t xml:space="preserve">nalysis of </w:t>
      </w:r>
      <w:r w:rsidR="00006E08">
        <w:rPr>
          <w:rFonts w:hint="eastAsia"/>
        </w:rPr>
        <w:t>R</w:t>
      </w:r>
      <w:r>
        <w:rPr>
          <w:rFonts w:hint="eastAsia"/>
        </w:rPr>
        <w:t xml:space="preserve">elationship between </w:t>
      </w:r>
      <w:r w:rsidR="00EC51E7">
        <w:rPr>
          <w:rFonts w:hint="eastAsia"/>
        </w:rPr>
        <w:t>U</w:t>
      </w:r>
      <w:r w:rsidR="001B62A3">
        <w:rPr>
          <w:rFonts w:hint="eastAsia"/>
        </w:rPr>
        <w:t>.</w:t>
      </w:r>
      <w:r w:rsidR="00EC51E7">
        <w:rPr>
          <w:rFonts w:hint="eastAsia"/>
        </w:rPr>
        <w:t>S</w:t>
      </w:r>
      <w:r w:rsidR="001B62A3">
        <w:rPr>
          <w:rFonts w:hint="eastAsia"/>
        </w:rPr>
        <w:t>.</w:t>
      </w:r>
      <w:r w:rsidR="00EC51E7">
        <w:rPr>
          <w:rFonts w:hint="eastAsia"/>
        </w:rPr>
        <w:t xml:space="preserve"> </w:t>
      </w:r>
      <w:r>
        <w:rPr>
          <w:rFonts w:hint="eastAsia"/>
        </w:rPr>
        <w:t>Dollar Index and Real Gold Price</w:t>
      </w:r>
    </w:p>
    <w:p w14:paraId="58B9A016" w14:textId="4270F36B" w:rsidR="002B1841" w:rsidRDefault="002B1841" w:rsidP="00362A24">
      <w:pPr>
        <w:jc w:val="center"/>
        <w:rPr>
          <w:rFonts w:hint="eastAsia"/>
        </w:rPr>
      </w:pPr>
      <w:r>
        <w:rPr>
          <w:rFonts w:hint="eastAsia"/>
        </w:rPr>
        <w:t>Zirui Huang, October 2025</w:t>
      </w:r>
    </w:p>
    <w:p w14:paraId="04273509" w14:textId="060174F3" w:rsidR="00362A24" w:rsidRDefault="00362A24" w:rsidP="00362A24">
      <w:pPr>
        <w:pStyle w:val="a9"/>
        <w:numPr>
          <w:ilvl w:val="0"/>
          <w:numId w:val="1"/>
        </w:numPr>
        <w:rPr>
          <w:rFonts w:hint="eastAsia"/>
        </w:rPr>
      </w:pPr>
      <w:r>
        <w:rPr>
          <w:rFonts w:hint="eastAsia"/>
        </w:rPr>
        <w:t>Introduction</w:t>
      </w:r>
    </w:p>
    <w:p w14:paraId="227268B2" w14:textId="191B226B" w:rsidR="00EC51E7" w:rsidRDefault="00EC51E7" w:rsidP="00EC51E7">
      <w:pPr>
        <w:rPr>
          <w:rFonts w:hint="eastAsia"/>
        </w:rPr>
      </w:pPr>
      <w:r>
        <w:rPr>
          <w:rFonts w:hint="eastAsia"/>
        </w:rPr>
        <w:t xml:space="preserve">Gold, a kind of charming metal, </w:t>
      </w:r>
      <w:r>
        <w:t>pl</w:t>
      </w:r>
      <w:r>
        <w:rPr>
          <w:rFonts w:hint="eastAsia"/>
        </w:rPr>
        <w:t>ays a very significant role in human society and people appreciate its shining color and precious value. In ancient times, the corpses of kings and queens were buried with gold; In modern times, even ordinary public can purchase gold as an investment while governments purchase gold as their foreign exchange reserve.</w:t>
      </w:r>
    </w:p>
    <w:p w14:paraId="198AD825" w14:textId="7A6A66F0" w:rsidR="00362A24" w:rsidRDefault="00EC51E7" w:rsidP="00362A24">
      <w:pPr>
        <w:rPr>
          <w:rFonts w:hint="eastAsia"/>
        </w:rPr>
      </w:pPr>
      <w:r>
        <w:rPr>
          <w:rFonts w:hint="eastAsia"/>
        </w:rPr>
        <w:t xml:space="preserve">From recent press, </w:t>
      </w:r>
      <w:r w:rsidR="00D43744">
        <w:rPr>
          <w:rFonts w:hint="eastAsia"/>
        </w:rPr>
        <w:t xml:space="preserve">real </w:t>
      </w:r>
      <w:r>
        <w:rPr>
          <w:rFonts w:hint="eastAsia"/>
        </w:rPr>
        <w:t>g</w:t>
      </w:r>
      <w:r w:rsidR="003F2342">
        <w:rPr>
          <w:rFonts w:hint="eastAsia"/>
        </w:rPr>
        <w:t xml:space="preserve">old </w:t>
      </w:r>
      <w:r w:rsidR="003C3E62">
        <w:t>price</w:t>
      </w:r>
      <w:r w:rsidR="00D43744">
        <w:rPr>
          <w:rFonts w:hint="eastAsia"/>
        </w:rPr>
        <w:t xml:space="preserve"> (Abbreviated as gold price)</w:t>
      </w:r>
      <w:r w:rsidR="003C3E62">
        <w:t xml:space="preserve"> ha</w:t>
      </w:r>
      <w:r w:rsidR="00D43744">
        <w:rPr>
          <w:rFonts w:hint="eastAsia"/>
        </w:rPr>
        <w:t>s</w:t>
      </w:r>
      <w:r w:rsidR="003F2342">
        <w:rPr>
          <w:rFonts w:hint="eastAsia"/>
        </w:rPr>
        <w:t xml:space="preserve"> risen vigorously </w:t>
      </w:r>
      <w:r w:rsidR="002B1841">
        <w:rPr>
          <w:rFonts w:hint="eastAsia"/>
        </w:rPr>
        <w:t>from October 2024 to now</w:t>
      </w:r>
      <w:r w:rsidR="00A1705A">
        <w:rPr>
          <w:rFonts w:hint="eastAsia"/>
        </w:rPr>
        <w:t xml:space="preserve"> [1]</w:t>
      </w:r>
      <w:r w:rsidR="002B1841">
        <w:rPr>
          <w:rFonts w:hint="eastAsia"/>
        </w:rPr>
        <w:t xml:space="preserve">, </w:t>
      </w:r>
      <w:r w:rsidR="003C3E62">
        <w:rPr>
          <w:rFonts w:hint="eastAsia"/>
        </w:rPr>
        <w:t>with</w:t>
      </w:r>
      <w:r w:rsidR="002B1841">
        <w:rPr>
          <w:rFonts w:hint="eastAsia"/>
        </w:rPr>
        <w:t xml:space="preserve"> around 2,500 U</w:t>
      </w:r>
      <w:r w:rsidR="001B62A3">
        <w:rPr>
          <w:rFonts w:hint="eastAsia"/>
        </w:rPr>
        <w:t>.</w:t>
      </w:r>
      <w:r w:rsidR="002B1841">
        <w:rPr>
          <w:rFonts w:hint="eastAsia"/>
        </w:rPr>
        <w:t>S</w:t>
      </w:r>
      <w:r w:rsidR="001B62A3">
        <w:rPr>
          <w:rFonts w:hint="eastAsia"/>
        </w:rPr>
        <w:t>.</w:t>
      </w:r>
      <w:r w:rsidR="002B1841">
        <w:rPr>
          <w:rFonts w:hint="eastAsia"/>
        </w:rPr>
        <w:t xml:space="preserve"> dollars per ounce in October 2024 and about 4,000 U</w:t>
      </w:r>
      <w:r w:rsidR="001B62A3">
        <w:rPr>
          <w:rFonts w:hint="eastAsia"/>
        </w:rPr>
        <w:t>.</w:t>
      </w:r>
      <w:r w:rsidR="002B1841">
        <w:rPr>
          <w:rFonts w:hint="eastAsia"/>
        </w:rPr>
        <w:t>S</w:t>
      </w:r>
      <w:r w:rsidR="001B62A3">
        <w:rPr>
          <w:rFonts w:hint="eastAsia"/>
        </w:rPr>
        <w:t>.</w:t>
      </w:r>
      <w:r w:rsidR="002B1841">
        <w:rPr>
          <w:rFonts w:hint="eastAsia"/>
        </w:rPr>
        <w:t xml:space="preserve"> dollars per ounce in October 2025, </w:t>
      </w:r>
      <w:r w:rsidR="00A1705A">
        <w:rPr>
          <w:rFonts w:hint="eastAsia"/>
        </w:rPr>
        <w:t>supported by the data</w:t>
      </w:r>
      <w:r w:rsidR="002B1841">
        <w:rPr>
          <w:rFonts w:hint="eastAsia"/>
        </w:rPr>
        <w:t xml:space="preserve"> shown in figure 1.1.</w:t>
      </w:r>
    </w:p>
    <w:p w14:paraId="123F3111" w14:textId="733F838F" w:rsidR="003C3E62" w:rsidRDefault="002D786E" w:rsidP="00F27189">
      <w:pPr>
        <w:jc w:val="center"/>
        <w:rPr>
          <w:rFonts w:hint="eastAsia"/>
        </w:rPr>
      </w:pPr>
      <w:r>
        <w:rPr>
          <w:noProof/>
        </w:rPr>
        <w:drawing>
          <wp:inline distT="0" distB="0" distL="0" distR="0" wp14:anchorId="66A70A3F" wp14:editId="0837C8B3">
            <wp:extent cx="5337018" cy="4182110"/>
            <wp:effectExtent l="0" t="0" r="16510" b="8890"/>
            <wp:docPr id="90065305" name="图表 1">
              <a:extLst xmlns:a="http://schemas.openxmlformats.org/drawingml/2006/main">
                <a:ext uri="{FF2B5EF4-FFF2-40B4-BE49-F238E27FC236}">
                  <a16:creationId xmlns:a16="http://schemas.microsoft.com/office/drawing/2014/main" id="{A1DD606F-161C-4A48-3F43-2CB1B54179E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69281875" w14:textId="4CACFA52" w:rsidR="001B62A3" w:rsidRDefault="002B1841" w:rsidP="001B62A3">
      <w:pPr>
        <w:ind w:left="800" w:hangingChars="400" w:hanging="800"/>
        <w:rPr>
          <w:rFonts w:hint="eastAsia"/>
          <w:sz w:val="20"/>
          <w:szCs w:val="20"/>
        </w:rPr>
      </w:pPr>
      <w:r w:rsidRPr="002B1841">
        <w:rPr>
          <w:rFonts w:hint="eastAsia"/>
          <w:sz w:val="20"/>
          <w:szCs w:val="20"/>
        </w:rPr>
        <w:t>Figure 1.1 The Line Graph of Gold Price XAU/USD between October 2024 and October 2025</w:t>
      </w:r>
      <w:r w:rsidR="00A1705A">
        <w:rPr>
          <w:rFonts w:hint="eastAsia"/>
          <w:sz w:val="20"/>
          <w:szCs w:val="20"/>
        </w:rPr>
        <w:t>.</w:t>
      </w:r>
      <w:r w:rsidR="001B62A3">
        <w:rPr>
          <w:rFonts w:hint="eastAsia"/>
          <w:sz w:val="20"/>
          <w:szCs w:val="20"/>
        </w:rPr>
        <w:t xml:space="preserve"> Source: </w:t>
      </w:r>
      <w:hyperlink r:id="rId8" w:history="1">
        <w:r w:rsidR="001B62A3" w:rsidRPr="00BE0B1B">
          <w:rPr>
            <w:rStyle w:val="ae"/>
            <w:rFonts w:hint="eastAsia"/>
            <w:sz w:val="20"/>
            <w:szCs w:val="20"/>
          </w:rPr>
          <w:t>http://www.investing.com/currencies/xau-usd-historical-data</w:t>
        </w:r>
      </w:hyperlink>
    </w:p>
    <w:p w14:paraId="3A89B257" w14:textId="427991AA" w:rsidR="00F27189" w:rsidRDefault="001B62A3" w:rsidP="001B62A3">
      <w:pPr>
        <w:rPr>
          <w:rFonts w:hint="eastAsia"/>
          <w:noProof/>
        </w:rPr>
      </w:pPr>
      <w:r>
        <w:rPr>
          <w:rFonts w:hint="eastAsia"/>
          <w:szCs w:val="22"/>
        </w:rPr>
        <w:t>Meanwhile, there has been a plummet in terms of U</w:t>
      </w:r>
      <w:r w:rsidR="005C3FDA">
        <w:rPr>
          <w:rFonts w:hint="eastAsia"/>
          <w:szCs w:val="22"/>
        </w:rPr>
        <w:t>.</w:t>
      </w:r>
      <w:r>
        <w:rPr>
          <w:rFonts w:hint="eastAsia"/>
          <w:szCs w:val="22"/>
        </w:rPr>
        <w:t>S</w:t>
      </w:r>
      <w:r w:rsidR="005C3FDA">
        <w:rPr>
          <w:rFonts w:hint="eastAsia"/>
          <w:szCs w:val="22"/>
        </w:rPr>
        <w:t>.</w:t>
      </w:r>
      <w:r>
        <w:rPr>
          <w:rFonts w:hint="eastAsia"/>
          <w:szCs w:val="22"/>
        </w:rPr>
        <w:t xml:space="preserve"> dollar index</w:t>
      </w:r>
      <w:r w:rsidR="005C3FDA">
        <w:rPr>
          <w:rFonts w:hint="eastAsia"/>
          <w:szCs w:val="22"/>
        </w:rPr>
        <w:t xml:space="preserve"> (Abbreviated as </w:t>
      </w:r>
      <w:r w:rsidR="005C3FDA">
        <w:rPr>
          <w:szCs w:val="22"/>
        </w:rPr>
        <w:t>‘</w:t>
      </w:r>
      <w:r w:rsidR="005C3FDA">
        <w:rPr>
          <w:rFonts w:hint="eastAsia"/>
          <w:szCs w:val="22"/>
        </w:rPr>
        <w:t>DXY</w:t>
      </w:r>
      <w:r w:rsidR="005C3FDA">
        <w:rPr>
          <w:szCs w:val="22"/>
        </w:rPr>
        <w:t>’</w:t>
      </w:r>
      <w:r w:rsidR="005C3FDA">
        <w:rPr>
          <w:rFonts w:hint="eastAsia"/>
          <w:szCs w:val="22"/>
        </w:rPr>
        <w:t xml:space="preserve"> generally)</w:t>
      </w:r>
      <w:r w:rsidR="00A02A8A">
        <w:rPr>
          <w:rFonts w:hint="eastAsia"/>
          <w:szCs w:val="22"/>
        </w:rPr>
        <w:t xml:space="preserve"> </w:t>
      </w:r>
      <w:r>
        <w:rPr>
          <w:rFonts w:hint="eastAsia"/>
          <w:szCs w:val="22"/>
        </w:rPr>
        <w:t>throughout the same period,</w:t>
      </w:r>
      <w:r w:rsidR="00F27189">
        <w:rPr>
          <w:rFonts w:hint="eastAsia"/>
          <w:szCs w:val="22"/>
        </w:rPr>
        <w:t xml:space="preserve"> particularly in the Q1 of 2025,</w:t>
      </w:r>
      <w:r w:rsidR="00F27189" w:rsidRPr="00F27189">
        <w:rPr>
          <w:noProof/>
        </w:rPr>
        <w:t xml:space="preserve"> </w:t>
      </w:r>
      <w:r w:rsidR="00F27189">
        <w:rPr>
          <w:rFonts w:hint="eastAsia"/>
          <w:noProof/>
        </w:rPr>
        <w:t xml:space="preserve">as shown in </w:t>
      </w:r>
      <w:r w:rsidR="00F27189">
        <w:rPr>
          <w:rFonts w:hint="eastAsia"/>
          <w:noProof/>
        </w:rPr>
        <w:lastRenderedPageBreak/>
        <w:t>Figure 1.2.</w:t>
      </w:r>
    </w:p>
    <w:p w14:paraId="503F8CA1" w14:textId="23DEEF29" w:rsidR="002B1841" w:rsidRDefault="00F27189" w:rsidP="0088229E">
      <w:pPr>
        <w:jc w:val="center"/>
        <w:rPr>
          <w:rFonts w:hint="eastAsia"/>
          <w:noProof/>
        </w:rPr>
      </w:pPr>
      <w:r>
        <w:rPr>
          <w:noProof/>
        </w:rPr>
        <w:drawing>
          <wp:inline distT="0" distB="0" distL="0" distR="0" wp14:anchorId="01DA10CB" wp14:editId="19924897">
            <wp:extent cx="5355125" cy="3669030"/>
            <wp:effectExtent l="0" t="0" r="17145" b="7620"/>
            <wp:docPr id="735592776" name="图表 1">
              <a:extLst xmlns:a="http://schemas.openxmlformats.org/drawingml/2006/main">
                <a:ext uri="{FF2B5EF4-FFF2-40B4-BE49-F238E27FC236}">
                  <a16:creationId xmlns:a16="http://schemas.microsoft.com/office/drawing/2014/main" id="{509AD378-2656-D653-C3E9-6A008167764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2485DB50" w14:textId="681D720B" w:rsidR="00F27189" w:rsidRPr="00F27189" w:rsidRDefault="00F27189" w:rsidP="0088229E">
      <w:pPr>
        <w:ind w:left="800" w:hangingChars="400" w:hanging="800"/>
        <w:jc w:val="center"/>
        <w:rPr>
          <w:rFonts w:hint="eastAsia"/>
          <w:sz w:val="20"/>
          <w:szCs w:val="20"/>
        </w:rPr>
      </w:pPr>
      <w:r w:rsidRPr="00F27189">
        <w:rPr>
          <w:rFonts w:hint="eastAsia"/>
          <w:noProof/>
          <w:sz w:val="20"/>
          <w:szCs w:val="20"/>
        </w:rPr>
        <w:t xml:space="preserve">Figure 1.2 </w:t>
      </w:r>
      <w:r w:rsidRPr="00F27189">
        <w:rPr>
          <w:rFonts w:hint="eastAsia"/>
          <w:sz w:val="20"/>
          <w:szCs w:val="20"/>
        </w:rPr>
        <w:t>The Line Graph of U.S. Dollar Index between October 2024 and October 2025</w:t>
      </w:r>
      <w:r w:rsidR="00A1705A">
        <w:rPr>
          <w:rFonts w:hint="eastAsia"/>
          <w:sz w:val="20"/>
          <w:szCs w:val="20"/>
        </w:rPr>
        <w:t>.</w:t>
      </w:r>
      <w:r w:rsidRPr="00F27189">
        <w:rPr>
          <w:rFonts w:hint="eastAsia"/>
          <w:sz w:val="20"/>
          <w:szCs w:val="20"/>
        </w:rPr>
        <w:t xml:space="preserve"> </w:t>
      </w:r>
      <w:r>
        <w:rPr>
          <w:rFonts w:hint="eastAsia"/>
          <w:sz w:val="20"/>
          <w:szCs w:val="20"/>
        </w:rPr>
        <w:t xml:space="preserve"> </w:t>
      </w:r>
      <w:r w:rsidRPr="00F27189">
        <w:rPr>
          <w:rFonts w:hint="eastAsia"/>
          <w:sz w:val="20"/>
          <w:szCs w:val="20"/>
        </w:rPr>
        <w:t xml:space="preserve">Source: </w:t>
      </w:r>
      <w:hyperlink r:id="rId10" w:history="1">
        <w:r w:rsidRPr="00F27189">
          <w:rPr>
            <w:rStyle w:val="ae"/>
            <w:rFonts w:hint="eastAsia"/>
            <w:sz w:val="20"/>
            <w:szCs w:val="20"/>
          </w:rPr>
          <w:t>https://www.investing.com/currencies/us-dollar-index-historical-data</w:t>
        </w:r>
      </w:hyperlink>
    </w:p>
    <w:p w14:paraId="60CF6935" w14:textId="22229153" w:rsidR="00F27189" w:rsidRDefault="00560AE6" w:rsidP="001B62A3">
      <w:pPr>
        <w:rPr>
          <w:rFonts w:hint="eastAsia"/>
          <w:szCs w:val="22"/>
        </w:rPr>
      </w:pPr>
      <w:r>
        <w:rPr>
          <w:rFonts w:hint="eastAsia"/>
          <w:szCs w:val="22"/>
        </w:rPr>
        <w:t>Here, we use the percentage change method to indicate the relative change of these two sets of data</w:t>
      </w:r>
      <w:r w:rsidR="00B70B1D">
        <w:rPr>
          <w:rFonts w:hint="eastAsia"/>
          <w:szCs w:val="22"/>
        </w:rPr>
        <w:t xml:space="preserve"> (choosing base date as 10/14/2024)</w:t>
      </w:r>
      <w:r>
        <w:rPr>
          <w:rFonts w:hint="eastAsia"/>
          <w:szCs w:val="22"/>
        </w:rPr>
        <w:t>:</w:t>
      </w:r>
    </w:p>
    <w:p w14:paraId="0369FEE9" w14:textId="25BC4B2A" w:rsidR="005C3FDA" w:rsidRDefault="005C3FDA" w:rsidP="005C3FDA">
      <w:pPr>
        <w:rPr>
          <w:rFonts w:hint="eastAsia"/>
          <w:szCs w:val="22"/>
        </w:rPr>
      </w:pPr>
      <m:oMath>
        <m:r>
          <m:rPr>
            <m:sty m:val="p"/>
          </m:rPr>
          <w:rPr>
            <w:rFonts w:ascii="Cambria Math" w:hAnsi="Cambria Math"/>
            <w:sz w:val="21"/>
            <w:szCs w:val="21"/>
          </w:rPr>
          <m:t xml:space="preserve">  </m:t>
        </m:r>
        <m:r>
          <m:rPr>
            <m:sty m:val="p"/>
          </m:rPr>
          <w:rPr>
            <w:rFonts w:ascii="Cambria Math" w:hAnsi="Cambria Math" w:hint="eastAsia"/>
            <w:sz w:val="21"/>
            <w:szCs w:val="21"/>
          </w:rPr>
          <m:t>Relative Percentage Change</m:t>
        </m:r>
        <m:r>
          <m:rPr>
            <m:sty m:val="p"/>
          </m:rPr>
          <w:rPr>
            <w:rFonts w:ascii="Cambria Math" w:hAnsi="Cambria Math"/>
            <w:sz w:val="21"/>
            <w:szCs w:val="21"/>
          </w:rPr>
          <m:t xml:space="preserve"> in Gold Price= </m:t>
        </m:r>
        <m:f>
          <m:fPr>
            <m:ctrlPr>
              <w:rPr>
                <w:rFonts w:ascii="Cambria Math" w:hAnsi="Cambria Math"/>
                <w:sz w:val="21"/>
                <w:szCs w:val="21"/>
              </w:rPr>
            </m:ctrlPr>
          </m:fPr>
          <m:num>
            <m:r>
              <w:rPr>
                <w:rFonts w:ascii="Cambria Math" w:hAnsi="Cambria Math"/>
                <w:sz w:val="21"/>
                <w:szCs w:val="21"/>
              </w:rPr>
              <m:t>Current Price - Price of Base Date</m:t>
            </m:r>
          </m:num>
          <m:den>
            <m:r>
              <w:rPr>
                <w:rFonts w:ascii="Cambria Math" w:hAnsi="Cambria Math"/>
                <w:sz w:val="21"/>
                <w:szCs w:val="21"/>
              </w:rPr>
              <m:t xml:space="preserve">Price of Base Date </m:t>
            </m:r>
          </m:den>
        </m:f>
      </m:oMath>
      <w:r>
        <w:rPr>
          <w:rFonts w:hint="eastAsia"/>
          <w:sz w:val="21"/>
          <w:szCs w:val="21"/>
        </w:rPr>
        <w:t xml:space="preserve"> </w:t>
      </w:r>
      <m:oMath>
        <m:r>
          <w:rPr>
            <w:rFonts w:ascii="Cambria Math" w:hAnsi="Cambria Math"/>
            <w:sz w:val="21"/>
            <w:szCs w:val="21"/>
          </w:rPr>
          <m:t>×100%</m:t>
        </m:r>
      </m:oMath>
    </w:p>
    <w:p w14:paraId="2654D8EE" w14:textId="17DC4D91" w:rsidR="00560AE6" w:rsidRDefault="00560AE6" w:rsidP="005C3FDA">
      <w:pPr>
        <w:rPr>
          <w:rFonts w:hint="eastAsia"/>
          <w:sz w:val="21"/>
          <w:szCs w:val="21"/>
        </w:rPr>
      </w:pPr>
      <w:r>
        <w:rPr>
          <w:rFonts w:hint="eastAsia"/>
          <w:szCs w:val="22"/>
        </w:rPr>
        <w:t xml:space="preserve"> </w:t>
      </w:r>
      <m:oMath>
        <m:r>
          <m:rPr>
            <m:sty m:val="p"/>
          </m:rPr>
          <w:rPr>
            <w:rFonts w:ascii="Cambria Math" w:hAnsi="Cambria Math" w:hint="eastAsia"/>
            <w:sz w:val="21"/>
            <w:szCs w:val="21"/>
          </w:rPr>
          <m:t>Relative Percentage Change</m:t>
        </m:r>
        <m:r>
          <m:rPr>
            <m:sty m:val="p"/>
          </m:rPr>
          <w:rPr>
            <w:rFonts w:ascii="Cambria Math" w:hAnsi="Cambria Math"/>
            <w:sz w:val="21"/>
            <w:szCs w:val="21"/>
          </w:rPr>
          <m:t xml:space="preserve"> in U.S. Dollar Index</m:t>
        </m:r>
        <m:r>
          <m:rPr>
            <m:sty m:val="p"/>
          </m:rPr>
          <w:rPr>
            <w:rFonts w:ascii="Cambria Math" w:hAnsi="Cambria Math" w:hint="eastAsia"/>
            <w:sz w:val="21"/>
            <w:szCs w:val="21"/>
          </w:rPr>
          <m:t xml:space="preserve"> =</m:t>
        </m:r>
        <m:r>
          <m:rPr>
            <m:sty m:val="p"/>
          </m:rPr>
          <w:rPr>
            <w:rFonts w:ascii="Cambria Math"/>
            <w:sz w:val="21"/>
            <w:szCs w:val="21"/>
          </w:rPr>
          <m:t xml:space="preserve"> </m:t>
        </m:r>
        <m:f>
          <m:fPr>
            <m:ctrlPr>
              <w:rPr>
                <w:rFonts w:ascii="Cambria Math" w:hAnsi="Cambria Math"/>
                <w:sz w:val="21"/>
                <w:szCs w:val="21"/>
              </w:rPr>
            </m:ctrlPr>
          </m:fPr>
          <m:num>
            <m:r>
              <w:rPr>
                <w:rFonts w:ascii="Cambria Math"/>
                <w:sz w:val="21"/>
                <w:szCs w:val="21"/>
              </w:rPr>
              <m:t xml:space="preserve">Current Index  </m:t>
            </m:r>
            <m:r>
              <w:rPr>
                <w:rFonts w:ascii="Cambria Math"/>
                <w:sz w:val="21"/>
                <w:szCs w:val="21"/>
              </w:rPr>
              <m:t>-</m:t>
            </m:r>
            <m:r>
              <w:rPr>
                <w:rFonts w:ascii="Cambria Math"/>
                <w:sz w:val="21"/>
                <w:szCs w:val="21"/>
              </w:rPr>
              <m:t xml:space="preserve"> Index of Base Date</m:t>
            </m:r>
          </m:num>
          <m:den>
            <m:r>
              <w:rPr>
                <w:rFonts w:ascii="Cambria Math"/>
                <w:sz w:val="21"/>
                <w:szCs w:val="21"/>
              </w:rPr>
              <m:t>Index of Base Date</m:t>
            </m:r>
          </m:den>
        </m:f>
        <m:r>
          <w:rPr>
            <w:rFonts w:ascii="Cambria Math"/>
            <w:sz w:val="21"/>
            <w:szCs w:val="21"/>
          </w:rPr>
          <m:t xml:space="preserve"> </m:t>
        </m:r>
        <m:r>
          <w:rPr>
            <w:rFonts w:ascii="Cambria Math" w:hAnsi="Cambria Math"/>
            <w:sz w:val="21"/>
            <w:szCs w:val="21"/>
          </w:rPr>
          <m:t>×</m:t>
        </m:r>
        <m:r>
          <w:rPr>
            <w:rFonts w:ascii="Cambria Math"/>
            <w:sz w:val="21"/>
            <w:szCs w:val="21"/>
          </w:rPr>
          <m:t xml:space="preserve">100% </m:t>
        </m:r>
      </m:oMath>
    </w:p>
    <w:p w14:paraId="60433591" w14:textId="18748FD2" w:rsidR="005C3FDA" w:rsidRDefault="005C3FDA" w:rsidP="005C3FDA">
      <w:pPr>
        <w:rPr>
          <w:rFonts w:hint="eastAsia"/>
          <w:szCs w:val="22"/>
        </w:rPr>
      </w:pPr>
      <w:r>
        <w:rPr>
          <w:rFonts w:hint="eastAsia"/>
          <w:szCs w:val="22"/>
        </w:rPr>
        <w:t>Then the transformed data are plotted together on a new line graph, demonstrating the difference in the trend</w:t>
      </w:r>
      <w:r w:rsidR="00BA7129">
        <w:rPr>
          <w:rFonts w:hint="eastAsia"/>
          <w:szCs w:val="22"/>
        </w:rPr>
        <w:t xml:space="preserve"> of two kinds of data, as demonstrated in Figure 1.3.</w:t>
      </w:r>
    </w:p>
    <w:p w14:paraId="0D67A068" w14:textId="7DD80058" w:rsidR="00BB2BA2" w:rsidRDefault="00BB2BA2" w:rsidP="005C3FDA">
      <w:pPr>
        <w:rPr>
          <w:rFonts w:hint="eastAsia"/>
          <w:szCs w:val="22"/>
        </w:rPr>
      </w:pPr>
      <w:r>
        <w:rPr>
          <w:rFonts w:hint="eastAsia"/>
          <w:szCs w:val="22"/>
        </w:rPr>
        <w:t>It is spotted that a</w:t>
      </w:r>
      <w:r w:rsidR="00A1705A">
        <w:rPr>
          <w:rFonts w:hint="eastAsia"/>
          <w:szCs w:val="22"/>
        </w:rPr>
        <w:t xml:space="preserve">n overall </w:t>
      </w:r>
      <w:r>
        <w:rPr>
          <w:rFonts w:hint="eastAsia"/>
          <w:szCs w:val="22"/>
        </w:rPr>
        <w:t xml:space="preserve">rough negative correlation was shown in the </w:t>
      </w:r>
      <w:r w:rsidR="00F2682F">
        <w:rPr>
          <w:rFonts w:hint="eastAsia"/>
          <w:szCs w:val="22"/>
        </w:rPr>
        <w:t>given period</w:t>
      </w:r>
      <w:r>
        <w:rPr>
          <w:rFonts w:hint="eastAsia"/>
          <w:szCs w:val="22"/>
        </w:rPr>
        <w:t xml:space="preserve">. With this superficial estimation, </w:t>
      </w:r>
      <w:r w:rsidR="00A1705A">
        <w:rPr>
          <w:rFonts w:hint="eastAsia"/>
          <w:szCs w:val="22"/>
        </w:rPr>
        <w:t xml:space="preserve">it elicits </w:t>
      </w:r>
      <w:r w:rsidR="0094151D">
        <w:rPr>
          <w:rFonts w:hint="eastAsia"/>
          <w:szCs w:val="22"/>
        </w:rPr>
        <w:t>some</w:t>
      </w:r>
      <w:r w:rsidR="00A1705A">
        <w:rPr>
          <w:rFonts w:hint="eastAsia"/>
          <w:szCs w:val="22"/>
        </w:rPr>
        <w:t xml:space="preserve"> problem</w:t>
      </w:r>
      <w:r w:rsidR="0094151D">
        <w:rPr>
          <w:rFonts w:hint="eastAsia"/>
          <w:szCs w:val="22"/>
        </w:rPr>
        <w:t>s</w:t>
      </w:r>
      <w:r w:rsidR="00A1705A">
        <w:rPr>
          <w:rFonts w:hint="eastAsia"/>
          <w:szCs w:val="22"/>
        </w:rPr>
        <w:t xml:space="preserve">: was the correlation between DXY and gold </w:t>
      </w:r>
      <w:r w:rsidR="00A1705A">
        <w:rPr>
          <w:szCs w:val="22"/>
        </w:rPr>
        <w:t>price</w:t>
      </w:r>
      <w:r w:rsidR="00A1705A">
        <w:rPr>
          <w:rFonts w:hint="eastAsia"/>
          <w:szCs w:val="22"/>
        </w:rPr>
        <w:t xml:space="preserve">s always negative? What </w:t>
      </w:r>
      <w:r w:rsidR="00A1705A">
        <w:rPr>
          <w:szCs w:val="22"/>
        </w:rPr>
        <w:t>is</w:t>
      </w:r>
      <w:r w:rsidR="00A1705A">
        <w:rPr>
          <w:rFonts w:hint="eastAsia"/>
          <w:szCs w:val="22"/>
        </w:rPr>
        <w:t xml:space="preserve"> the relationship between these two variables? What were the explicit and subtle reasons for the fluctuations? To </w:t>
      </w:r>
      <w:r w:rsidR="00B848DA">
        <w:rPr>
          <w:szCs w:val="22"/>
        </w:rPr>
        <w:t>respond</w:t>
      </w:r>
      <w:r w:rsidR="00B848DA">
        <w:rPr>
          <w:rFonts w:hint="eastAsia"/>
          <w:szCs w:val="22"/>
        </w:rPr>
        <w:t xml:space="preserve"> to</w:t>
      </w:r>
      <w:r w:rsidR="00A1705A">
        <w:rPr>
          <w:rFonts w:hint="eastAsia"/>
          <w:szCs w:val="22"/>
        </w:rPr>
        <w:t xml:space="preserve"> these questions, the following content will give the answer.</w:t>
      </w:r>
    </w:p>
    <w:p w14:paraId="57C1C942" w14:textId="3658A30A" w:rsidR="00BB2BA2" w:rsidRDefault="00BB2BA2" w:rsidP="005C3FDA">
      <w:pPr>
        <w:rPr>
          <w:rFonts w:hint="eastAsia"/>
          <w:szCs w:val="22"/>
        </w:rPr>
      </w:pPr>
      <w:r>
        <w:rPr>
          <w:noProof/>
        </w:rPr>
        <w:lastRenderedPageBreak/>
        <w:drawing>
          <wp:inline distT="0" distB="0" distL="0" distR="0" wp14:anchorId="0173871C" wp14:editId="0D94770F">
            <wp:extent cx="5801710" cy="4725670"/>
            <wp:effectExtent l="0" t="0" r="8890" b="17780"/>
            <wp:docPr id="1899197738" name="图表 1">
              <a:extLst xmlns:a="http://schemas.openxmlformats.org/drawingml/2006/main">
                <a:ext uri="{FF2B5EF4-FFF2-40B4-BE49-F238E27FC236}">
                  <a16:creationId xmlns:a16="http://schemas.microsoft.com/office/drawing/2014/main" id="{441F9F28-B344-068E-8025-FE813380992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0335CB0A" w14:textId="66E130E3" w:rsidR="00A1705A" w:rsidRPr="00A1705A" w:rsidRDefault="00A1705A" w:rsidP="0088229E">
      <w:pPr>
        <w:jc w:val="center"/>
        <w:rPr>
          <w:rFonts w:hint="eastAsia"/>
          <w:sz w:val="20"/>
          <w:szCs w:val="20"/>
        </w:rPr>
      </w:pPr>
      <w:r>
        <w:rPr>
          <w:rFonts w:hint="eastAsia"/>
          <w:sz w:val="20"/>
          <w:szCs w:val="20"/>
        </w:rPr>
        <w:t xml:space="preserve">Figure 1.3 </w:t>
      </w:r>
      <w:r w:rsidRPr="00A1705A">
        <w:rPr>
          <w:sz w:val="20"/>
          <w:szCs w:val="20"/>
        </w:rPr>
        <w:t>A Comparison Graph Between U.S. Dollar Index and Gold Price in Percentage Change</w:t>
      </w:r>
      <w:r>
        <w:rPr>
          <w:rFonts w:hint="eastAsia"/>
          <w:sz w:val="20"/>
          <w:szCs w:val="20"/>
        </w:rPr>
        <w:t>.</w:t>
      </w:r>
    </w:p>
    <w:p w14:paraId="1E7CAC14" w14:textId="45916650" w:rsidR="00F2682F" w:rsidRPr="006B269D" w:rsidRDefault="00F2682F" w:rsidP="005C3FDA">
      <w:pPr>
        <w:rPr>
          <w:rFonts w:hint="eastAsia"/>
          <w:szCs w:val="22"/>
        </w:rPr>
      </w:pPr>
      <w:r>
        <w:rPr>
          <w:rFonts w:hint="eastAsia"/>
          <w:szCs w:val="22"/>
        </w:rPr>
        <w:t>The structure of this piece of research will be organized as follows: the quantitative methods developed by the previous studies will be mentioned as literature review, and then some approaches will be picked as the methodology of this report. With the experimental results obtained from the data analysis, a qualitative explanation will be given</w:t>
      </w:r>
      <w:r w:rsidR="006B269D">
        <w:rPr>
          <w:rFonts w:hint="eastAsia"/>
          <w:szCs w:val="22"/>
        </w:rPr>
        <w:t xml:space="preserve"> in the discussion part</w:t>
      </w:r>
      <w:r>
        <w:rPr>
          <w:rFonts w:hint="eastAsia"/>
          <w:szCs w:val="22"/>
        </w:rPr>
        <w:t xml:space="preserve"> to support</w:t>
      </w:r>
      <w:r w:rsidR="006B269D">
        <w:rPr>
          <w:rFonts w:hint="eastAsia"/>
          <w:szCs w:val="22"/>
        </w:rPr>
        <w:t xml:space="preserve"> the quantitative analysis, </w:t>
      </w:r>
      <w:r w:rsidR="006B269D" w:rsidRPr="00190D5D">
        <w:rPr>
          <w:rFonts w:hint="eastAsia"/>
          <w:szCs w:val="22"/>
        </w:rPr>
        <w:t>combining the imp</w:t>
      </w:r>
      <w:r w:rsidR="006B269D">
        <w:rPr>
          <w:rFonts w:hint="eastAsia"/>
          <w:szCs w:val="22"/>
        </w:rPr>
        <w:t>ulses</w:t>
      </w:r>
      <w:r w:rsidR="006B269D" w:rsidRPr="00190D5D">
        <w:rPr>
          <w:rFonts w:hint="eastAsia"/>
          <w:szCs w:val="22"/>
        </w:rPr>
        <w:t xml:space="preserve"> from historical events</w:t>
      </w:r>
      <w:r w:rsidR="006B269D">
        <w:rPr>
          <w:rFonts w:hint="eastAsia"/>
          <w:szCs w:val="22"/>
        </w:rPr>
        <w:t xml:space="preserve">, </w:t>
      </w:r>
      <w:r w:rsidR="006B269D" w:rsidRPr="00190D5D">
        <w:rPr>
          <w:rFonts w:hint="eastAsia"/>
          <w:szCs w:val="22"/>
        </w:rPr>
        <w:t>macroeconomic policies</w:t>
      </w:r>
      <w:r w:rsidR="006B269D">
        <w:rPr>
          <w:rFonts w:hint="eastAsia"/>
          <w:szCs w:val="22"/>
        </w:rPr>
        <w:t>, behavioral economics and so on.</w:t>
      </w:r>
    </w:p>
    <w:p w14:paraId="6218601B" w14:textId="77777777" w:rsidR="00F2682F" w:rsidRDefault="00F2682F" w:rsidP="005C3FDA">
      <w:pPr>
        <w:rPr>
          <w:rFonts w:hint="eastAsia"/>
          <w:szCs w:val="22"/>
        </w:rPr>
      </w:pPr>
    </w:p>
    <w:p w14:paraId="5D72AE32" w14:textId="1534FE72" w:rsidR="00A1705A" w:rsidRPr="00D64C58" w:rsidRDefault="00A1705A" w:rsidP="00D64C58">
      <w:pPr>
        <w:pStyle w:val="a9"/>
        <w:numPr>
          <w:ilvl w:val="0"/>
          <w:numId w:val="1"/>
        </w:numPr>
        <w:rPr>
          <w:rFonts w:hint="eastAsia"/>
          <w:szCs w:val="22"/>
        </w:rPr>
      </w:pPr>
      <w:r w:rsidRPr="00D64C58">
        <w:rPr>
          <w:rFonts w:hint="eastAsia"/>
          <w:szCs w:val="22"/>
        </w:rPr>
        <w:t>Literature Review</w:t>
      </w:r>
      <w:r w:rsidR="00857927" w:rsidRPr="00D64C58">
        <w:rPr>
          <w:rFonts w:hint="eastAsia"/>
          <w:szCs w:val="22"/>
        </w:rPr>
        <w:t xml:space="preserve"> and Methodology</w:t>
      </w:r>
    </w:p>
    <w:p w14:paraId="63B6C834" w14:textId="67F12334" w:rsidR="00E618FB" w:rsidRDefault="00B848DA" w:rsidP="00B848DA">
      <w:pPr>
        <w:rPr>
          <w:rFonts w:hint="eastAsia"/>
          <w:szCs w:val="22"/>
        </w:rPr>
      </w:pPr>
      <w:r>
        <w:rPr>
          <w:rFonts w:hint="eastAsia"/>
          <w:szCs w:val="22"/>
        </w:rPr>
        <w:t xml:space="preserve">It is </w:t>
      </w:r>
      <w:r w:rsidR="00752359">
        <w:rPr>
          <w:rFonts w:hint="eastAsia"/>
          <w:szCs w:val="22"/>
        </w:rPr>
        <w:t xml:space="preserve">biased </w:t>
      </w:r>
      <w:r>
        <w:rPr>
          <w:rFonts w:hint="eastAsia"/>
          <w:szCs w:val="22"/>
        </w:rPr>
        <w:t xml:space="preserve">to take a glance at the plotted graph and </w:t>
      </w:r>
      <w:r w:rsidR="003154BD">
        <w:rPr>
          <w:rFonts w:hint="eastAsia"/>
          <w:szCs w:val="22"/>
        </w:rPr>
        <w:t xml:space="preserve">then </w:t>
      </w:r>
      <w:r>
        <w:rPr>
          <w:szCs w:val="22"/>
        </w:rPr>
        <w:t>allege</w:t>
      </w:r>
      <w:r>
        <w:rPr>
          <w:rFonts w:hint="eastAsia"/>
          <w:szCs w:val="22"/>
        </w:rPr>
        <w:t xml:space="preserve"> that two variables have certain relationships: a </w:t>
      </w:r>
      <w:r w:rsidR="00752359">
        <w:rPr>
          <w:rFonts w:hint="eastAsia"/>
          <w:szCs w:val="22"/>
        </w:rPr>
        <w:t xml:space="preserve">rigorous </w:t>
      </w:r>
      <w:r>
        <w:rPr>
          <w:rFonts w:hint="eastAsia"/>
          <w:szCs w:val="22"/>
        </w:rPr>
        <w:t>quantitative method is required to measure the relationship using</w:t>
      </w:r>
      <w:r w:rsidR="00A87A4E">
        <w:rPr>
          <w:rFonts w:hint="eastAsia"/>
          <w:szCs w:val="22"/>
        </w:rPr>
        <w:t xml:space="preserve"> unbiased</w:t>
      </w:r>
      <w:r>
        <w:rPr>
          <w:rFonts w:hint="eastAsia"/>
          <w:szCs w:val="22"/>
        </w:rPr>
        <w:t xml:space="preserve"> </w:t>
      </w:r>
      <w:r w:rsidR="00752359">
        <w:rPr>
          <w:rFonts w:hint="eastAsia"/>
          <w:szCs w:val="22"/>
        </w:rPr>
        <w:t xml:space="preserve">numbers. </w:t>
      </w:r>
    </w:p>
    <w:p w14:paraId="347F6E7C" w14:textId="68453073" w:rsidR="00743F42" w:rsidRDefault="00752359" w:rsidP="00B848DA">
      <w:pPr>
        <w:rPr>
          <w:rFonts w:hint="eastAsia"/>
          <w:szCs w:val="22"/>
        </w:rPr>
      </w:pPr>
      <w:r>
        <w:rPr>
          <w:rFonts w:hint="eastAsia"/>
          <w:szCs w:val="22"/>
        </w:rPr>
        <w:t xml:space="preserve">From previous researchers, </w:t>
      </w:r>
      <w:r w:rsidR="00E618FB">
        <w:rPr>
          <w:rFonts w:hint="eastAsia"/>
          <w:szCs w:val="22"/>
        </w:rPr>
        <w:t>it is effective to propose a hypothesis from observation of graph and then use quantitative methods to verify or reject the hypothesis, which is known as hypothesis testing in terms of statistics [2].</w:t>
      </w:r>
      <w:r w:rsidR="00E14342">
        <w:rPr>
          <w:rFonts w:hint="eastAsia"/>
          <w:szCs w:val="22"/>
        </w:rPr>
        <w:t xml:space="preserve"> </w:t>
      </w:r>
      <w:bookmarkStart w:id="0" w:name="OLE_LINK2"/>
      <w:r w:rsidR="00E7542D">
        <w:rPr>
          <w:rFonts w:hint="eastAsia"/>
          <w:szCs w:val="22"/>
        </w:rPr>
        <w:t xml:space="preserve">For what statistical model to apply, </w:t>
      </w:r>
      <w:r w:rsidR="00E7542D">
        <w:rPr>
          <w:szCs w:val="22"/>
        </w:rPr>
        <w:lastRenderedPageBreak/>
        <w:t>numerous</w:t>
      </w:r>
      <w:r w:rsidR="00E7542D">
        <w:rPr>
          <w:rFonts w:hint="eastAsia"/>
          <w:szCs w:val="22"/>
        </w:rPr>
        <w:t xml:space="preserve"> methods were applied by previous study, ranging from simple models, like Pearson</w:t>
      </w:r>
      <w:r w:rsidR="00E7542D">
        <w:rPr>
          <w:szCs w:val="22"/>
        </w:rPr>
        <w:t>’</w:t>
      </w:r>
      <w:r w:rsidR="00E7542D">
        <w:rPr>
          <w:rFonts w:hint="eastAsia"/>
          <w:szCs w:val="22"/>
        </w:rPr>
        <w:t xml:space="preserve">s correlation coefficient, to relatively advanced models, like </w:t>
      </w:r>
      <w:r w:rsidR="00E7542D" w:rsidRPr="00F345EB">
        <w:rPr>
          <w:szCs w:val="22"/>
        </w:rPr>
        <w:t>Vector Error Corre</w:t>
      </w:r>
      <w:r w:rsidR="00E7542D">
        <w:rPr>
          <w:rFonts w:hint="eastAsia"/>
          <w:szCs w:val="22"/>
        </w:rPr>
        <w:t>la</w:t>
      </w:r>
      <w:r w:rsidR="00E7542D" w:rsidRPr="00F345EB">
        <w:rPr>
          <w:szCs w:val="22"/>
        </w:rPr>
        <w:t xml:space="preserve">tion </w:t>
      </w:r>
      <w:r w:rsidR="005F5FD3">
        <w:rPr>
          <w:rFonts w:hint="eastAsia"/>
          <w:szCs w:val="22"/>
        </w:rPr>
        <w:t>M</w:t>
      </w:r>
      <w:r w:rsidR="00E7542D" w:rsidRPr="00F345EB">
        <w:rPr>
          <w:szCs w:val="22"/>
        </w:rPr>
        <w:t>odel</w:t>
      </w:r>
      <w:r w:rsidR="005F5FD3">
        <w:rPr>
          <w:rFonts w:hint="eastAsia"/>
          <w:szCs w:val="22"/>
        </w:rPr>
        <w:t xml:space="preserve"> </w:t>
      </w:r>
      <w:r w:rsidR="005F5FD3" w:rsidRPr="00F345EB">
        <w:rPr>
          <w:szCs w:val="22"/>
        </w:rPr>
        <w:t>(VEC</w:t>
      </w:r>
      <w:r w:rsidR="005F5FD3">
        <w:rPr>
          <w:rFonts w:hint="eastAsia"/>
          <w:szCs w:val="22"/>
        </w:rPr>
        <w:t>M</w:t>
      </w:r>
      <w:r w:rsidR="005F5FD3" w:rsidRPr="00F345EB">
        <w:rPr>
          <w:szCs w:val="22"/>
        </w:rPr>
        <w:t>)</w:t>
      </w:r>
      <w:r w:rsidR="00E7542D">
        <w:rPr>
          <w:rFonts w:hint="eastAsia"/>
          <w:szCs w:val="22"/>
        </w:rPr>
        <w:t xml:space="preserve">, observed by Lin et al [3]. </w:t>
      </w:r>
    </w:p>
    <w:p w14:paraId="49EEAB20" w14:textId="17A12173" w:rsidR="00130B45" w:rsidRDefault="00F110F2" w:rsidP="00B848DA">
      <w:pPr>
        <w:rPr>
          <w:rFonts w:hint="eastAsia"/>
          <w:szCs w:val="22"/>
        </w:rPr>
      </w:pPr>
      <w:r>
        <w:rPr>
          <w:rFonts w:hint="eastAsia"/>
          <w:szCs w:val="22"/>
        </w:rPr>
        <w:t xml:space="preserve">And many researchers explored the correlation by considering long-term effect and short-term </w:t>
      </w:r>
      <w:r w:rsidR="005D3A71">
        <w:rPr>
          <w:rFonts w:hint="eastAsia"/>
          <w:szCs w:val="22"/>
        </w:rPr>
        <w:t>impact, which can give a comprehensive comparison</w:t>
      </w:r>
      <w:r>
        <w:rPr>
          <w:rFonts w:hint="eastAsia"/>
          <w:szCs w:val="22"/>
        </w:rPr>
        <w:t xml:space="preserve">. </w:t>
      </w:r>
      <w:r w:rsidR="00130B45">
        <w:rPr>
          <w:rFonts w:hint="eastAsia"/>
          <w:szCs w:val="22"/>
        </w:rPr>
        <w:t>T</w:t>
      </w:r>
      <w:r w:rsidR="00E14342">
        <w:rPr>
          <w:rFonts w:hint="eastAsia"/>
          <w:szCs w:val="22"/>
        </w:rPr>
        <w:t xml:space="preserve">he piece of research focusing on the </w:t>
      </w:r>
      <w:r w:rsidR="00E14342" w:rsidRPr="00E14342">
        <w:rPr>
          <w:szCs w:val="22"/>
        </w:rPr>
        <w:t>dynamic linkages among the gold market, US dollar and crude oil market</w:t>
      </w:r>
      <w:r w:rsidR="00E14342">
        <w:rPr>
          <w:rFonts w:hint="eastAsia"/>
          <w:szCs w:val="22"/>
        </w:rPr>
        <w:t xml:space="preserve"> contributed by Mo B et al, offers a legitimate approach that applying </w:t>
      </w:r>
      <w:r w:rsidR="00E14342" w:rsidRPr="00E14342">
        <w:rPr>
          <w:szCs w:val="22"/>
        </w:rPr>
        <w:t>fractional</w:t>
      </w:r>
      <w:r w:rsidR="00E14342">
        <w:rPr>
          <w:rFonts w:hint="eastAsia"/>
          <w:szCs w:val="22"/>
        </w:rPr>
        <w:t xml:space="preserve"> </w:t>
      </w:r>
      <w:r w:rsidR="00E14342" w:rsidRPr="00E14342">
        <w:rPr>
          <w:szCs w:val="22"/>
        </w:rPr>
        <w:t>cointegration</w:t>
      </w:r>
      <w:r w:rsidR="00E14342">
        <w:rPr>
          <w:rFonts w:hint="eastAsia"/>
          <w:szCs w:val="22"/>
        </w:rPr>
        <w:t xml:space="preserve"> </w:t>
      </w:r>
      <w:r w:rsidR="00E14342" w:rsidRPr="00E14342">
        <w:rPr>
          <w:szCs w:val="22"/>
        </w:rPr>
        <w:t>and</w:t>
      </w:r>
      <w:r w:rsidR="00E14342">
        <w:rPr>
          <w:rFonts w:hint="eastAsia"/>
          <w:szCs w:val="22"/>
        </w:rPr>
        <w:t xml:space="preserve"> </w:t>
      </w:r>
      <w:r w:rsidR="00E14342" w:rsidRPr="00E14342">
        <w:rPr>
          <w:szCs w:val="22"/>
        </w:rPr>
        <w:t>DCC-MGARCH method</w:t>
      </w:r>
      <w:r w:rsidR="00E14342">
        <w:rPr>
          <w:rFonts w:hint="eastAsia"/>
          <w:szCs w:val="22"/>
        </w:rPr>
        <w:t xml:space="preserve"> for </w:t>
      </w:r>
      <w:r w:rsidR="00CE7139">
        <w:rPr>
          <w:rFonts w:hint="eastAsia"/>
          <w:szCs w:val="22"/>
        </w:rPr>
        <w:t xml:space="preserve">time-varying </w:t>
      </w:r>
      <w:r w:rsidR="00E14342">
        <w:rPr>
          <w:rFonts w:hint="eastAsia"/>
          <w:szCs w:val="22"/>
        </w:rPr>
        <w:t>long-term analysis (</w:t>
      </w:r>
      <w:r w:rsidR="00044C13">
        <w:rPr>
          <w:rFonts w:hint="eastAsia"/>
          <w:szCs w:val="22"/>
        </w:rPr>
        <w:t xml:space="preserve">1990-2016) and </w:t>
      </w:r>
      <w:r w:rsidR="00CE7139">
        <w:rPr>
          <w:rFonts w:hint="eastAsia"/>
          <w:szCs w:val="22"/>
        </w:rPr>
        <w:t>exerted</w:t>
      </w:r>
      <w:r w:rsidR="00E7542D">
        <w:rPr>
          <w:rFonts w:hint="eastAsia"/>
          <w:szCs w:val="22"/>
        </w:rPr>
        <w:t xml:space="preserve"> </w:t>
      </w:r>
      <w:r w:rsidR="00E7542D" w:rsidRPr="00E7542D">
        <w:rPr>
          <w:szCs w:val="22"/>
        </w:rPr>
        <w:t>Krystou</w:t>
      </w:r>
      <w:r w:rsidR="00E7542D">
        <w:rPr>
          <w:rFonts w:hint="eastAsia"/>
          <w:szCs w:val="22"/>
        </w:rPr>
        <w:t>-</w:t>
      </w:r>
      <w:r w:rsidR="00E7542D" w:rsidRPr="00E7542D">
        <w:rPr>
          <w:szCs w:val="22"/>
        </w:rPr>
        <w:t>Labys non-linear asymmetric Granger causality method</w:t>
      </w:r>
      <w:r w:rsidR="00E7542D" w:rsidRPr="00E7542D">
        <w:rPr>
          <w:rFonts w:hint="eastAsia"/>
          <w:szCs w:val="22"/>
        </w:rPr>
        <w:t xml:space="preserve"> </w:t>
      </w:r>
      <w:r w:rsidR="00044C13">
        <w:rPr>
          <w:rFonts w:hint="eastAsia"/>
          <w:szCs w:val="22"/>
        </w:rPr>
        <w:t xml:space="preserve">for </w:t>
      </w:r>
      <w:r>
        <w:rPr>
          <w:rFonts w:hint="eastAsia"/>
          <w:szCs w:val="22"/>
        </w:rPr>
        <w:t xml:space="preserve">the </w:t>
      </w:r>
      <w:r w:rsidR="00044C13">
        <w:rPr>
          <w:rFonts w:hint="eastAsia"/>
          <w:szCs w:val="22"/>
        </w:rPr>
        <w:t>analysis after the 2008 financial crisis (2007-2016)</w:t>
      </w:r>
      <w:r w:rsidR="00E7542D">
        <w:rPr>
          <w:rFonts w:hint="eastAsia"/>
          <w:szCs w:val="22"/>
        </w:rPr>
        <w:t xml:space="preserve"> for analyzing the strike of financial crisis in the short run</w:t>
      </w:r>
      <w:r w:rsidR="00867000">
        <w:rPr>
          <w:rFonts w:hint="eastAsia"/>
          <w:szCs w:val="22"/>
        </w:rPr>
        <w:t xml:space="preserve"> [</w:t>
      </w:r>
      <w:r w:rsidR="00E7542D">
        <w:rPr>
          <w:rFonts w:hint="eastAsia"/>
          <w:szCs w:val="22"/>
        </w:rPr>
        <w:t>4</w:t>
      </w:r>
      <w:r w:rsidR="00867000">
        <w:rPr>
          <w:rFonts w:hint="eastAsia"/>
          <w:szCs w:val="22"/>
        </w:rPr>
        <w:t>]</w:t>
      </w:r>
      <w:r w:rsidR="00044C13">
        <w:rPr>
          <w:rFonts w:hint="eastAsia"/>
          <w:szCs w:val="22"/>
        </w:rPr>
        <w:t>.</w:t>
      </w:r>
      <w:r>
        <w:rPr>
          <w:rFonts w:hint="eastAsia"/>
          <w:szCs w:val="22"/>
        </w:rPr>
        <w:t xml:space="preserve"> Additionally,</w:t>
      </w:r>
      <w:r w:rsidR="00CE7139">
        <w:rPr>
          <w:rFonts w:hint="eastAsia"/>
          <w:szCs w:val="22"/>
        </w:rPr>
        <w:t xml:space="preserve"> </w:t>
      </w:r>
      <w:r w:rsidR="00351E52">
        <w:rPr>
          <w:rFonts w:hint="eastAsia"/>
          <w:szCs w:val="22"/>
        </w:rPr>
        <w:t>He et al used t</w:t>
      </w:r>
      <w:r w:rsidR="00351E52" w:rsidRPr="00351E52">
        <w:rPr>
          <w:szCs w:val="22"/>
        </w:rPr>
        <w:t>hreshold VECM</w:t>
      </w:r>
      <w:r w:rsidR="00351E52" w:rsidRPr="00351E52">
        <w:rPr>
          <w:rFonts w:hint="eastAsia"/>
          <w:szCs w:val="22"/>
        </w:rPr>
        <w:t xml:space="preserve"> </w:t>
      </w:r>
      <w:r w:rsidR="003F7DCF">
        <w:rPr>
          <w:rFonts w:hint="eastAsia"/>
          <w:szCs w:val="22"/>
        </w:rPr>
        <w:t>to specifically study the dynamic</w:t>
      </w:r>
      <w:r w:rsidR="005450F2">
        <w:rPr>
          <w:rFonts w:hint="eastAsia"/>
          <w:szCs w:val="22"/>
        </w:rPr>
        <w:t xml:space="preserve"> of gold and the dollar, with different time </w:t>
      </w:r>
      <w:r w:rsidR="005450F2">
        <w:rPr>
          <w:szCs w:val="22"/>
        </w:rPr>
        <w:t>interval</w:t>
      </w:r>
      <w:r w:rsidR="005450F2">
        <w:rPr>
          <w:rFonts w:hint="eastAsia"/>
          <w:szCs w:val="22"/>
        </w:rPr>
        <w:t>s for rolling windows varying from 3 months to 10 years</w:t>
      </w:r>
      <w:r w:rsidR="00E7542D">
        <w:rPr>
          <w:rFonts w:hint="eastAsia"/>
          <w:szCs w:val="22"/>
        </w:rPr>
        <w:t xml:space="preserve"> </w:t>
      </w:r>
      <w:r w:rsidR="00E7542D">
        <w:rPr>
          <w:szCs w:val="22"/>
        </w:rPr>
        <w:t>embedded</w:t>
      </w:r>
      <w:r w:rsidR="00E7542D">
        <w:rPr>
          <w:rFonts w:hint="eastAsia"/>
          <w:szCs w:val="22"/>
        </w:rPr>
        <w:t xml:space="preserve"> in period January 1976 to December 2017</w:t>
      </w:r>
      <w:r w:rsidR="005450F2">
        <w:rPr>
          <w:rFonts w:hint="eastAsia"/>
          <w:szCs w:val="22"/>
        </w:rPr>
        <w:t xml:space="preserve">, </w:t>
      </w:r>
      <w:r w:rsidR="000852BA">
        <w:rPr>
          <w:rFonts w:hint="eastAsia"/>
          <w:szCs w:val="22"/>
        </w:rPr>
        <w:t xml:space="preserve">deriving </w:t>
      </w:r>
      <w:r w:rsidR="005450F2">
        <w:rPr>
          <w:rFonts w:hint="eastAsia"/>
          <w:szCs w:val="22"/>
        </w:rPr>
        <w:t xml:space="preserve">a growing negative correlation as the time span increases </w:t>
      </w:r>
      <w:r w:rsidR="000D47D7">
        <w:rPr>
          <w:rFonts w:hint="eastAsia"/>
          <w:szCs w:val="22"/>
        </w:rPr>
        <w:t>[</w:t>
      </w:r>
      <w:r w:rsidR="00E7542D">
        <w:rPr>
          <w:rFonts w:hint="eastAsia"/>
          <w:szCs w:val="22"/>
        </w:rPr>
        <w:t>5</w:t>
      </w:r>
      <w:r w:rsidR="000D47D7">
        <w:rPr>
          <w:rFonts w:hint="eastAsia"/>
          <w:szCs w:val="22"/>
        </w:rPr>
        <w:t>].</w:t>
      </w:r>
      <w:r w:rsidR="00A87A4E">
        <w:rPr>
          <w:rFonts w:hint="eastAsia"/>
          <w:szCs w:val="22"/>
        </w:rPr>
        <w:t xml:space="preserve"> </w:t>
      </w:r>
      <w:bookmarkEnd w:id="0"/>
    </w:p>
    <w:p w14:paraId="4E74E04C" w14:textId="43F47373" w:rsidR="00B848DA" w:rsidRDefault="00130B45" w:rsidP="00B848DA">
      <w:pPr>
        <w:rPr>
          <w:rFonts w:hint="eastAsia"/>
          <w:szCs w:val="22"/>
        </w:rPr>
      </w:pPr>
      <w:r>
        <w:rPr>
          <w:szCs w:val="22"/>
        </w:rPr>
        <w:t>Moreover</w:t>
      </w:r>
      <w:r>
        <w:rPr>
          <w:rFonts w:hint="eastAsia"/>
          <w:szCs w:val="22"/>
        </w:rPr>
        <w:t>, and importantly</w:t>
      </w:r>
      <w:r w:rsidR="00F345EB">
        <w:rPr>
          <w:rFonts w:hint="eastAsia"/>
          <w:szCs w:val="22"/>
        </w:rPr>
        <w:t xml:space="preserve">, </w:t>
      </w:r>
      <w:r w:rsidR="007647A7">
        <w:rPr>
          <w:rFonts w:hint="eastAsia"/>
          <w:szCs w:val="22"/>
        </w:rPr>
        <w:t>a large number of</w:t>
      </w:r>
      <w:r w:rsidR="00F345EB">
        <w:rPr>
          <w:rFonts w:hint="eastAsia"/>
          <w:szCs w:val="22"/>
        </w:rPr>
        <w:t xml:space="preserve"> models are merely </w:t>
      </w:r>
      <w:r w:rsidR="00F345EB">
        <w:rPr>
          <w:szCs w:val="22"/>
        </w:rPr>
        <w:t>suitable</w:t>
      </w:r>
      <w:r w:rsidR="007647A7">
        <w:rPr>
          <w:rFonts w:hint="eastAsia"/>
          <w:szCs w:val="22"/>
        </w:rPr>
        <w:t xml:space="preserve"> </w:t>
      </w:r>
      <w:r w:rsidR="00D524ED">
        <w:rPr>
          <w:szCs w:val="22"/>
        </w:rPr>
        <w:t>for particular</w:t>
      </w:r>
      <w:r w:rsidR="007647A7">
        <w:rPr>
          <w:rFonts w:hint="eastAsia"/>
          <w:szCs w:val="22"/>
        </w:rPr>
        <w:t xml:space="preserve"> </w:t>
      </w:r>
      <w:r w:rsidR="007647A7">
        <w:rPr>
          <w:szCs w:val="22"/>
        </w:rPr>
        <w:t>scenarios</w:t>
      </w:r>
      <w:r w:rsidR="007647A7">
        <w:rPr>
          <w:rFonts w:hint="eastAsia"/>
          <w:szCs w:val="22"/>
        </w:rPr>
        <w:t xml:space="preserve"> rather than for general use</w:t>
      </w:r>
      <w:r w:rsidR="00F345EB">
        <w:rPr>
          <w:rFonts w:hint="eastAsia"/>
          <w:szCs w:val="22"/>
        </w:rPr>
        <w:t xml:space="preserve">. For instance, </w:t>
      </w:r>
      <w:r w:rsidR="00E94B58" w:rsidRPr="00E94B58">
        <w:rPr>
          <w:szCs w:val="22"/>
        </w:rPr>
        <w:t xml:space="preserve">standard GARCH models </w:t>
      </w:r>
      <w:r w:rsidR="00E94B58">
        <w:rPr>
          <w:rFonts w:hint="eastAsia"/>
          <w:szCs w:val="22"/>
        </w:rPr>
        <w:t>are prone</w:t>
      </w:r>
      <w:r w:rsidR="00E94B58" w:rsidRPr="00E94B58">
        <w:rPr>
          <w:szCs w:val="22"/>
        </w:rPr>
        <w:t xml:space="preserve"> to over</w:t>
      </w:r>
      <w:r w:rsidR="00E94B58">
        <w:rPr>
          <w:rFonts w:hint="eastAsia"/>
          <w:szCs w:val="22"/>
        </w:rPr>
        <w:t>rating</w:t>
      </w:r>
      <w:r w:rsidR="00E94B58" w:rsidRPr="00E94B58">
        <w:rPr>
          <w:szCs w:val="22"/>
        </w:rPr>
        <w:t xml:space="preserve"> the </w:t>
      </w:r>
      <w:r w:rsidR="00E41D41">
        <w:rPr>
          <w:rFonts w:hint="eastAsia"/>
          <w:szCs w:val="22"/>
        </w:rPr>
        <w:t>potential</w:t>
      </w:r>
      <w:r w:rsidR="00E94B58" w:rsidRPr="00E94B58">
        <w:rPr>
          <w:szCs w:val="22"/>
        </w:rPr>
        <w:t xml:space="preserve"> volatility persistence when a break is not allowed in the long time series</w:t>
      </w:r>
      <w:r w:rsidR="00E41D41">
        <w:rPr>
          <w:rFonts w:hint="eastAsia"/>
          <w:szCs w:val="22"/>
        </w:rPr>
        <w:t xml:space="preserve"> [</w:t>
      </w:r>
      <w:r w:rsidR="000D47D7">
        <w:rPr>
          <w:rFonts w:hint="eastAsia"/>
          <w:szCs w:val="22"/>
        </w:rPr>
        <w:t>6</w:t>
      </w:r>
      <w:r w:rsidR="00E41D41">
        <w:rPr>
          <w:rFonts w:hint="eastAsia"/>
          <w:szCs w:val="22"/>
        </w:rPr>
        <w:t>]</w:t>
      </w:r>
      <w:r w:rsidR="00E94B58" w:rsidRPr="00E94B58">
        <w:rPr>
          <w:szCs w:val="22"/>
        </w:rPr>
        <w:t>.</w:t>
      </w:r>
      <w:r w:rsidR="00FF7131">
        <w:rPr>
          <w:rFonts w:hint="eastAsia"/>
          <w:szCs w:val="22"/>
        </w:rPr>
        <w:t xml:space="preserve"> Another example is that linear regression analysis after taking </w:t>
      </w:r>
      <w:r w:rsidR="005F2C5D">
        <w:rPr>
          <w:szCs w:val="22"/>
        </w:rPr>
        <w:t>logarithm</w:t>
      </w:r>
      <w:r w:rsidR="005F2C5D">
        <w:rPr>
          <w:rFonts w:hint="eastAsia"/>
          <w:szCs w:val="22"/>
        </w:rPr>
        <w:t>s</w:t>
      </w:r>
      <w:r w:rsidR="00FF7131">
        <w:rPr>
          <w:rFonts w:hint="eastAsia"/>
          <w:szCs w:val="22"/>
        </w:rPr>
        <w:t xml:space="preserve"> </w:t>
      </w:r>
      <w:r w:rsidR="005F2C5D">
        <w:rPr>
          <w:szCs w:val="22"/>
        </w:rPr>
        <w:t>is</w:t>
      </w:r>
      <w:r w:rsidR="00FF7131">
        <w:rPr>
          <w:rFonts w:hint="eastAsia"/>
          <w:szCs w:val="22"/>
        </w:rPr>
        <w:t xml:space="preserve"> used for the relationship between U.S dollars, stock, crude oil and gold in the research paper of </w:t>
      </w:r>
      <w:r w:rsidR="005F2C5D" w:rsidRPr="009A308A">
        <w:rPr>
          <w:szCs w:val="22"/>
        </w:rPr>
        <w:t>Khalife</w:t>
      </w:r>
      <w:r w:rsidR="005F2C5D">
        <w:rPr>
          <w:rFonts w:hint="eastAsia"/>
          <w:szCs w:val="22"/>
        </w:rPr>
        <w:t xml:space="preserve"> et al</w:t>
      </w:r>
      <w:r w:rsidR="00FF7131">
        <w:rPr>
          <w:rFonts w:hint="eastAsia"/>
          <w:szCs w:val="22"/>
        </w:rPr>
        <w:t xml:space="preserve">, which are </w:t>
      </w:r>
      <w:r w:rsidR="005F2C5D">
        <w:rPr>
          <w:rFonts w:hint="eastAsia"/>
          <w:szCs w:val="22"/>
        </w:rPr>
        <w:t>suitable for long-term analysis compared to short-term analysis</w:t>
      </w:r>
      <w:r w:rsidR="009D798D">
        <w:rPr>
          <w:rFonts w:hint="eastAsia"/>
          <w:szCs w:val="22"/>
        </w:rPr>
        <w:t xml:space="preserve"> for the reason that</w:t>
      </w:r>
      <w:r w:rsidR="005F2C5D">
        <w:rPr>
          <w:rFonts w:hint="eastAsia"/>
          <w:szCs w:val="22"/>
        </w:rPr>
        <w:t xml:space="preserve"> </w:t>
      </w:r>
      <w:r w:rsidR="005F2C5D" w:rsidRPr="005F2C5D">
        <w:rPr>
          <w:szCs w:val="22"/>
        </w:rPr>
        <w:t xml:space="preserve">long period </w:t>
      </w:r>
      <w:r w:rsidR="0016581C" w:rsidRPr="005F2C5D">
        <w:rPr>
          <w:szCs w:val="22"/>
        </w:rPr>
        <w:t>exhibit</w:t>
      </w:r>
      <w:r w:rsidR="0016581C" w:rsidRPr="005F2C5D">
        <w:rPr>
          <w:rFonts w:hint="eastAsia"/>
          <w:szCs w:val="22"/>
        </w:rPr>
        <w:t>s</w:t>
      </w:r>
      <w:r w:rsidR="005F2C5D" w:rsidRPr="005F2C5D">
        <w:rPr>
          <w:szCs w:val="22"/>
        </w:rPr>
        <w:t xml:space="preserve"> lower volatility</w:t>
      </w:r>
      <w:r w:rsidR="009D798D">
        <w:rPr>
          <w:rFonts w:hint="eastAsia"/>
          <w:szCs w:val="22"/>
        </w:rPr>
        <w:t xml:space="preserve"> [</w:t>
      </w:r>
      <w:r w:rsidR="000D47D7">
        <w:rPr>
          <w:rFonts w:hint="eastAsia"/>
          <w:szCs w:val="22"/>
        </w:rPr>
        <w:t>7</w:t>
      </w:r>
      <w:r w:rsidR="009D798D">
        <w:rPr>
          <w:rFonts w:hint="eastAsia"/>
          <w:szCs w:val="22"/>
        </w:rPr>
        <w:t>].</w:t>
      </w:r>
    </w:p>
    <w:p w14:paraId="0FCEAB04" w14:textId="34B5059A" w:rsidR="00D64C58" w:rsidRDefault="004B76F7" w:rsidP="00A1705A">
      <w:pPr>
        <w:rPr>
          <w:rFonts w:hint="eastAsia"/>
          <w:szCs w:val="22"/>
        </w:rPr>
      </w:pPr>
      <w:r>
        <w:rPr>
          <w:rFonts w:hint="eastAsia"/>
          <w:szCs w:val="22"/>
        </w:rPr>
        <w:t xml:space="preserve">Considering the utility of models, this report will </w:t>
      </w:r>
      <w:r w:rsidR="00C45812">
        <w:rPr>
          <w:rFonts w:hint="eastAsia"/>
          <w:szCs w:val="22"/>
        </w:rPr>
        <w:t>employ</w:t>
      </w:r>
      <w:r>
        <w:rPr>
          <w:rFonts w:hint="eastAsia"/>
          <w:szCs w:val="22"/>
        </w:rPr>
        <w:t xml:space="preserve"> </w:t>
      </w:r>
      <w:r w:rsidR="00F22D24">
        <w:rPr>
          <w:rFonts w:hint="eastAsia"/>
          <w:szCs w:val="22"/>
        </w:rPr>
        <w:t>two different methods to look into the relationship between</w:t>
      </w:r>
      <w:r w:rsidR="003A447B">
        <w:rPr>
          <w:rFonts w:hint="eastAsia"/>
          <w:szCs w:val="22"/>
        </w:rPr>
        <w:t xml:space="preserve"> DXY</w:t>
      </w:r>
      <w:r w:rsidR="00F22D24">
        <w:rPr>
          <w:rFonts w:hint="eastAsia"/>
          <w:szCs w:val="22"/>
        </w:rPr>
        <w:t xml:space="preserve"> and gold price.</w:t>
      </w:r>
      <w:r w:rsidR="00C00286">
        <w:rPr>
          <w:rFonts w:hint="eastAsia"/>
          <w:szCs w:val="22"/>
        </w:rPr>
        <w:t xml:space="preserve"> </w:t>
      </w:r>
      <w:r w:rsidR="004C20BE">
        <w:rPr>
          <w:rFonts w:hint="eastAsia"/>
          <w:szCs w:val="22"/>
        </w:rPr>
        <w:t xml:space="preserve">For </w:t>
      </w:r>
      <w:r w:rsidR="00F74A1E">
        <w:rPr>
          <w:rFonts w:hint="eastAsia"/>
          <w:szCs w:val="22"/>
        </w:rPr>
        <w:t xml:space="preserve">short-term </w:t>
      </w:r>
      <w:r w:rsidR="004C20BE">
        <w:rPr>
          <w:rFonts w:hint="eastAsia"/>
          <w:szCs w:val="22"/>
        </w:rPr>
        <w:t xml:space="preserve">analysis, </w:t>
      </w:r>
      <w:r w:rsidR="00B96ADD">
        <w:rPr>
          <w:rFonts w:hint="eastAsia"/>
          <w:szCs w:val="22"/>
        </w:rPr>
        <w:t>c</w:t>
      </w:r>
      <w:r w:rsidR="00B96ADD" w:rsidRPr="00B96ADD">
        <w:rPr>
          <w:szCs w:val="22"/>
        </w:rPr>
        <w:t xml:space="preserve">onsistent with standard practice in financial econometrics, we </w:t>
      </w:r>
      <w:r w:rsidR="00AB74B8">
        <w:rPr>
          <w:rFonts w:hint="eastAsia"/>
          <w:szCs w:val="22"/>
        </w:rPr>
        <w:t>will</w:t>
      </w:r>
      <w:r w:rsidR="00D524ED">
        <w:rPr>
          <w:rFonts w:hint="eastAsia"/>
          <w:szCs w:val="22"/>
        </w:rPr>
        <w:t xml:space="preserve"> </w:t>
      </w:r>
      <w:r w:rsidR="00D524ED">
        <w:rPr>
          <w:szCs w:val="22"/>
        </w:rPr>
        <w:t>consider</w:t>
      </w:r>
      <w:r w:rsidR="00D524ED">
        <w:rPr>
          <w:rFonts w:hint="eastAsia"/>
          <w:szCs w:val="22"/>
        </w:rPr>
        <w:t xml:space="preserve"> the </w:t>
      </w:r>
      <w:commentRangeStart w:id="1"/>
      <w:r w:rsidR="00D524ED">
        <w:rPr>
          <w:rFonts w:hint="eastAsia"/>
          <w:szCs w:val="22"/>
        </w:rPr>
        <w:t xml:space="preserve">level </w:t>
      </w:r>
      <w:r w:rsidR="009D1FC4">
        <w:rPr>
          <w:rFonts w:hint="eastAsia"/>
          <w:szCs w:val="22"/>
        </w:rPr>
        <w:t xml:space="preserve">and differenced </w:t>
      </w:r>
      <w:r w:rsidR="00D524ED">
        <w:rPr>
          <w:rFonts w:hint="eastAsia"/>
          <w:szCs w:val="22"/>
        </w:rPr>
        <w:t>data</w:t>
      </w:r>
      <w:commentRangeEnd w:id="1"/>
      <w:r w:rsidR="00882D1D" w:rsidRPr="00B96ADD">
        <w:rPr>
          <w:rStyle w:val="af7"/>
          <w:sz w:val="22"/>
          <w:szCs w:val="22"/>
        </w:rPr>
        <w:commentReference w:id="1"/>
      </w:r>
      <w:r w:rsidR="00B96ADD" w:rsidRPr="00B96ADD">
        <w:rPr>
          <w:szCs w:val="22"/>
        </w:rPr>
        <w:t xml:space="preserve">, which are commonly assumed to be </w:t>
      </w:r>
      <w:r w:rsidR="009D1FC4">
        <w:rPr>
          <w:rFonts w:hint="eastAsia"/>
          <w:szCs w:val="22"/>
        </w:rPr>
        <w:t>non-</w:t>
      </w:r>
      <w:r w:rsidR="00B96ADD" w:rsidRPr="00B96ADD">
        <w:rPr>
          <w:szCs w:val="22"/>
        </w:rPr>
        <w:t>stationary</w:t>
      </w:r>
      <w:r w:rsidR="009D1FC4">
        <w:rPr>
          <w:rFonts w:hint="eastAsia"/>
          <w:szCs w:val="22"/>
        </w:rPr>
        <w:t xml:space="preserve"> and stationary respectively</w:t>
      </w:r>
      <w:r w:rsidR="00B96ADD">
        <w:rPr>
          <w:rFonts w:hint="eastAsia"/>
          <w:szCs w:val="22"/>
        </w:rPr>
        <w:t xml:space="preserve"> and t</w:t>
      </w:r>
      <w:r w:rsidR="00B96ADD" w:rsidRPr="00B96ADD">
        <w:rPr>
          <w:szCs w:val="22"/>
        </w:rPr>
        <w:t>o confirm this,</w:t>
      </w:r>
      <w:r w:rsidR="00391C61">
        <w:rPr>
          <w:rFonts w:hint="eastAsia"/>
          <w:szCs w:val="22"/>
        </w:rPr>
        <w:t xml:space="preserve"> </w:t>
      </w:r>
      <w:r w:rsidR="00A12853">
        <w:rPr>
          <w:rFonts w:hint="eastAsia"/>
          <w:szCs w:val="22"/>
        </w:rPr>
        <w:t>A</w:t>
      </w:r>
      <w:r w:rsidR="00A12853" w:rsidRPr="00A12853">
        <w:rPr>
          <w:szCs w:val="22"/>
        </w:rPr>
        <w:t xml:space="preserve">ugmented Dickey-Fuller </w:t>
      </w:r>
      <w:r w:rsidR="00A12853">
        <w:rPr>
          <w:rFonts w:hint="eastAsia"/>
          <w:szCs w:val="22"/>
        </w:rPr>
        <w:t xml:space="preserve">(ADF) </w:t>
      </w:r>
      <w:r w:rsidR="00A12853" w:rsidRPr="00A12853">
        <w:rPr>
          <w:szCs w:val="22"/>
        </w:rPr>
        <w:t>Test</w:t>
      </w:r>
      <w:r w:rsidR="00B96ADD" w:rsidRPr="00B96ADD">
        <w:rPr>
          <w:szCs w:val="22"/>
        </w:rPr>
        <w:t xml:space="preserve"> </w:t>
      </w:r>
      <w:r w:rsidR="009D1FC4">
        <w:rPr>
          <w:rFonts w:hint="eastAsia"/>
          <w:szCs w:val="22"/>
        </w:rPr>
        <w:t xml:space="preserve">will be </w:t>
      </w:r>
      <w:r w:rsidR="00B96ADD" w:rsidRPr="00B96ADD">
        <w:rPr>
          <w:szCs w:val="22"/>
        </w:rPr>
        <w:t>conducted</w:t>
      </w:r>
      <w:r w:rsidR="00B96ADD">
        <w:rPr>
          <w:rFonts w:hint="eastAsia"/>
          <w:szCs w:val="22"/>
        </w:rPr>
        <w:t xml:space="preserve"> [8]. </w:t>
      </w:r>
      <w:r w:rsidR="003A447B">
        <w:rPr>
          <w:rFonts w:hint="eastAsia"/>
          <w:szCs w:val="22"/>
        </w:rPr>
        <w:t>Then</w:t>
      </w:r>
      <w:r w:rsidR="00E9581C">
        <w:rPr>
          <w:rFonts w:hint="eastAsia"/>
          <w:szCs w:val="22"/>
        </w:rPr>
        <w:t xml:space="preserve">, </w:t>
      </w:r>
      <w:r w:rsidR="00C00286">
        <w:rPr>
          <w:rFonts w:hint="eastAsia"/>
          <w:szCs w:val="22"/>
        </w:rPr>
        <w:t xml:space="preserve">a </w:t>
      </w:r>
      <w:commentRangeStart w:id="2"/>
      <w:r w:rsidR="00C00286">
        <w:rPr>
          <w:rFonts w:hint="eastAsia"/>
          <w:szCs w:val="22"/>
        </w:rPr>
        <w:t xml:space="preserve">rolling </w:t>
      </w:r>
      <w:bookmarkStart w:id="3" w:name="OLE_LINK3"/>
      <w:r w:rsidR="00C00286">
        <w:rPr>
          <w:rFonts w:hint="eastAsia"/>
          <w:szCs w:val="22"/>
        </w:rPr>
        <w:t xml:space="preserve">Pearson correlation coefficient </w:t>
      </w:r>
      <w:r w:rsidR="008E5E9B">
        <w:rPr>
          <w:rFonts w:hint="eastAsia"/>
          <w:szCs w:val="22"/>
        </w:rPr>
        <w:t>method</w:t>
      </w:r>
      <w:bookmarkEnd w:id="3"/>
      <w:commentRangeEnd w:id="2"/>
      <w:r w:rsidR="003736EA">
        <w:rPr>
          <w:rStyle w:val="af7"/>
          <w:rFonts w:hint="eastAsia"/>
          <w:sz w:val="22"/>
          <w:szCs w:val="22"/>
        </w:rPr>
        <w:commentReference w:id="2"/>
      </w:r>
      <w:r w:rsidR="008E5E9B">
        <w:rPr>
          <w:rFonts w:hint="eastAsia"/>
          <w:szCs w:val="22"/>
        </w:rPr>
        <w:t xml:space="preserve"> </w:t>
      </w:r>
      <w:r w:rsidR="00AB74B8">
        <w:rPr>
          <w:rFonts w:hint="eastAsia"/>
          <w:szCs w:val="22"/>
        </w:rPr>
        <w:t>will be</w:t>
      </w:r>
      <w:r w:rsidR="00C00286">
        <w:rPr>
          <w:rFonts w:hint="eastAsia"/>
          <w:szCs w:val="22"/>
        </w:rPr>
        <w:t xml:space="preserve"> used for modeling the</w:t>
      </w:r>
      <w:r w:rsidR="008E5E9B">
        <w:rPr>
          <w:rFonts w:hint="eastAsia"/>
          <w:szCs w:val="22"/>
        </w:rPr>
        <w:t xml:space="preserve"> </w:t>
      </w:r>
      <w:r w:rsidR="004C20BE">
        <w:rPr>
          <w:rFonts w:hint="eastAsia"/>
          <w:szCs w:val="22"/>
        </w:rPr>
        <w:t xml:space="preserve">relationship </w:t>
      </w:r>
      <w:r w:rsidR="003A447B">
        <w:rPr>
          <w:rFonts w:hint="eastAsia"/>
          <w:szCs w:val="22"/>
        </w:rPr>
        <w:t xml:space="preserve">of </w:t>
      </w:r>
      <w:r w:rsidR="00C45812">
        <w:rPr>
          <w:rFonts w:hint="eastAsia"/>
          <w:szCs w:val="22"/>
        </w:rPr>
        <w:t>two lines of data</w:t>
      </w:r>
      <w:r w:rsidR="008E5E9B">
        <w:rPr>
          <w:rFonts w:hint="eastAsia"/>
          <w:szCs w:val="22"/>
        </w:rPr>
        <w:t xml:space="preserve">, which alleviates the effect of outliers and possesses the ability to measure non-linear dependence compared to the traditional method of Pearson correlation coefficient [9]. </w:t>
      </w:r>
      <w:r w:rsidR="00780F57">
        <w:rPr>
          <w:rFonts w:hint="eastAsia"/>
          <w:szCs w:val="22"/>
        </w:rPr>
        <w:t xml:space="preserve">On the other hand, </w:t>
      </w:r>
      <w:r w:rsidR="004C20BE">
        <w:rPr>
          <w:rFonts w:hint="eastAsia"/>
          <w:szCs w:val="22"/>
        </w:rPr>
        <w:t xml:space="preserve">the </w:t>
      </w:r>
      <w:r w:rsidR="005F5FD3">
        <w:rPr>
          <w:rFonts w:hint="eastAsia"/>
          <w:szCs w:val="22"/>
        </w:rPr>
        <w:t>level</w:t>
      </w:r>
      <w:r w:rsidR="00A67E93">
        <w:rPr>
          <w:rFonts w:hint="eastAsia"/>
          <w:szCs w:val="22"/>
        </w:rPr>
        <w:t xml:space="preserve"> and differenced</w:t>
      </w:r>
      <w:r w:rsidR="005F5FD3">
        <w:rPr>
          <w:rFonts w:hint="eastAsia"/>
          <w:szCs w:val="22"/>
        </w:rPr>
        <w:t xml:space="preserve"> data will be examined again </w:t>
      </w:r>
      <w:r w:rsidR="008A780E">
        <w:rPr>
          <w:rFonts w:hint="eastAsia"/>
          <w:szCs w:val="22"/>
        </w:rPr>
        <w:t>on the basis of</w:t>
      </w:r>
      <w:r w:rsidR="00AB74B8">
        <w:rPr>
          <w:rFonts w:hint="eastAsia"/>
          <w:szCs w:val="22"/>
        </w:rPr>
        <w:t xml:space="preserve"> </w:t>
      </w:r>
      <w:r w:rsidR="004C20BE">
        <w:rPr>
          <w:rFonts w:hint="eastAsia"/>
          <w:szCs w:val="22"/>
        </w:rPr>
        <w:t xml:space="preserve">ADF </w:t>
      </w:r>
      <w:r w:rsidR="00AB74B8">
        <w:rPr>
          <w:rFonts w:hint="eastAsia"/>
          <w:szCs w:val="22"/>
        </w:rPr>
        <w:t xml:space="preserve">to guarantee </w:t>
      </w:r>
      <w:r w:rsidR="005F5FD3">
        <w:rPr>
          <w:rFonts w:hint="eastAsia"/>
          <w:szCs w:val="22"/>
        </w:rPr>
        <w:t xml:space="preserve">that </w:t>
      </w:r>
      <w:r w:rsidR="00AB74B8" w:rsidRPr="00AB74B8">
        <w:rPr>
          <w:szCs w:val="22"/>
        </w:rPr>
        <w:t>t</w:t>
      </w:r>
      <w:r w:rsidR="00AB74B8">
        <w:rPr>
          <w:rFonts w:hint="eastAsia"/>
          <w:szCs w:val="22"/>
        </w:rPr>
        <w:t>he data</w:t>
      </w:r>
      <w:r w:rsidR="00AB74B8" w:rsidRPr="00AB74B8">
        <w:rPr>
          <w:szCs w:val="22"/>
        </w:rPr>
        <w:t xml:space="preserve"> are integrated of order one</w:t>
      </w:r>
      <w:r w:rsidR="00AB74B8">
        <w:rPr>
          <w:rFonts w:hint="eastAsia"/>
          <w:szCs w:val="22"/>
        </w:rPr>
        <w:t xml:space="preserve"> as the </w:t>
      </w:r>
      <w:r w:rsidR="005F5FD3">
        <w:rPr>
          <w:szCs w:val="22"/>
        </w:rPr>
        <w:t>commonsense and</w:t>
      </w:r>
      <w:r w:rsidR="00AB74B8">
        <w:rPr>
          <w:rFonts w:hint="eastAsia"/>
          <w:szCs w:val="22"/>
        </w:rPr>
        <w:t xml:space="preserve"> then </w:t>
      </w:r>
      <w:r w:rsidR="00AB74B8" w:rsidRPr="00AB74B8">
        <w:rPr>
          <w:szCs w:val="22"/>
        </w:rPr>
        <w:t>Vector Error Correction Model (VECM)</w:t>
      </w:r>
      <w:r w:rsidR="00AB74B8">
        <w:rPr>
          <w:rFonts w:hint="eastAsia"/>
          <w:szCs w:val="22"/>
        </w:rPr>
        <w:t xml:space="preserve"> </w:t>
      </w:r>
      <w:r w:rsidR="00D524ED">
        <w:rPr>
          <w:rFonts w:hint="eastAsia"/>
          <w:szCs w:val="22"/>
        </w:rPr>
        <w:t xml:space="preserve">or </w:t>
      </w:r>
      <w:bookmarkStart w:id="4" w:name="OLE_LINK5"/>
      <w:commentRangeStart w:id="5"/>
      <w:r w:rsidR="00D524ED" w:rsidRPr="00D524ED">
        <w:rPr>
          <w:szCs w:val="22"/>
        </w:rPr>
        <w:t>Vector Autoregression</w:t>
      </w:r>
      <w:r w:rsidR="00D524ED">
        <w:rPr>
          <w:rFonts w:hint="eastAsia"/>
          <w:szCs w:val="22"/>
        </w:rPr>
        <w:t xml:space="preserve"> model</w:t>
      </w:r>
      <w:bookmarkEnd w:id="4"/>
      <w:r w:rsidR="00D524ED">
        <w:rPr>
          <w:rFonts w:hint="eastAsia"/>
          <w:szCs w:val="22"/>
        </w:rPr>
        <w:t xml:space="preserve"> (VAR)</w:t>
      </w:r>
      <w:commentRangeEnd w:id="5"/>
      <w:r w:rsidR="003736EA">
        <w:rPr>
          <w:rStyle w:val="af7"/>
          <w:rFonts w:hint="eastAsia"/>
          <w:sz w:val="22"/>
          <w:szCs w:val="22"/>
        </w:rPr>
        <w:commentReference w:id="5"/>
      </w:r>
      <w:r w:rsidR="00D524ED">
        <w:rPr>
          <w:rFonts w:hint="eastAsia"/>
          <w:szCs w:val="22"/>
        </w:rPr>
        <w:t xml:space="preserve"> </w:t>
      </w:r>
      <w:r w:rsidR="00AB74B8">
        <w:rPr>
          <w:rFonts w:hint="eastAsia"/>
          <w:szCs w:val="22"/>
        </w:rPr>
        <w:t>will be applied</w:t>
      </w:r>
      <w:r w:rsidR="00D524ED">
        <w:rPr>
          <w:rFonts w:hint="eastAsia"/>
          <w:szCs w:val="22"/>
        </w:rPr>
        <w:t xml:space="preserve"> depending on the </w:t>
      </w:r>
      <w:r w:rsidR="005F5FD3">
        <w:rPr>
          <w:rFonts w:hint="eastAsia"/>
          <w:szCs w:val="22"/>
        </w:rPr>
        <w:t xml:space="preserve">results of ADF </w:t>
      </w:r>
      <w:r w:rsidR="009D1FC4">
        <w:rPr>
          <w:rFonts w:hint="eastAsia"/>
          <w:szCs w:val="22"/>
        </w:rPr>
        <w:t xml:space="preserve">to seek whether the relationship derived by the rolling Pearson correlation changes in </w:t>
      </w:r>
      <w:r w:rsidR="00F74A1E">
        <w:rPr>
          <w:rFonts w:hint="eastAsia"/>
          <w:szCs w:val="22"/>
        </w:rPr>
        <w:t xml:space="preserve">a </w:t>
      </w:r>
      <w:r w:rsidR="00A44F29">
        <w:rPr>
          <w:rFonts w:hint="eastAsia"/>
          <w:szCs w:val="22"/>
        </w:rPr>
        <w:t xml:space="preserve">dynamic and </w:t>
      </w:r>
      <w:r w:rsidR="00F74A1E">
        <w:rPr>
          <w:rFonts w:hint="eastAsia"/>
          <w:szCs w:val="22"/>
        </w:rPr>
        <w:t>long-term outlook</w:t>
      </w:r>
      <w:r w:rsidR="00A44F29">
        <w:rPr>
          <w:rFonts w:hint="eastAsia"/>
          <w:szCs w:val="22"/>
        </w:rPr>
        <w:t xml:space="preserve"> </w:t>
      </w:r>
      <w:r w:rsidR="00AB74B8">
        <w:rPr>
          <w:rFonts w:hint="eastAsia"/>
          <w:szCs w:val="22"/>
        </w:rPr>
        <w:t>[10].</w:t>
      </w:r>
    </w:p>
    <w:p w14:paraId="16E1D0FB" w14:textId="53F3FA28" w:rsidR="009C2AC1" w:rsidRPr="00D701AE" w:rsidRDefault="00D701AE" w:rsidP="00D701AE">
      <w:pPr>
        <w:pStyle w:val="a9"/>
        <w:numPr>
          <w:ilvl w:val="0"/>
          <w:numId w:val="1"/>
        </w:numPr>
        <w:rPr>
          <w:rFonts w:hint="eastAsia"/>
          <w:szCs w:val="22"/>
        </w:rPr>
      </w:pPr>
      <w:r>
        <w:rPr>
          <w:rFonts w:hint="eastAsia"/>
          <w:szCs w:val="22"/>
        </w:rPr>
        <w:lastRenderedPageBreak/>
        <w:t>Data &amp; Parameter Selection</w:t>
      </w:r>
    </w:p>
    <w:p w14:paraId="54710AD0" w14:textId="48607130" w:rsidR="009C2AC1" w:rsidRDefault="00D52617" w:rsidP="00A1705A">
      <w:pPr>
        <w:rPr>
          <w:rFonts w:hint="eastAsia"/>
          <w:szCs w:val="22"/>
        </w:rPr>
      </w:pPr>
      <w:r>
        <w:rPr>
          <w:rFonts w:hint="eastAsia"/>
          <w:szCs w:val="22"/>
        </w:rPr>
        <w:t xml:space="preserve">All data </w:t>
      </w:r>
      <w:r w:rsidR="003354B8">
        <w:rPr>
          <w:rFonts w:hint="eastAsia"/>
          <w:szCs w:val="22"/>
        </w:rPr>
        <w:t xml:space="preserve">are </w:t>
      </w:r>
      <w:r w:rsidR="000D3BF7">
        <w:rPr>
          <w:rFonts w:hint="eastAsia"/>
          <w:szCs w:val="22"/>
        </w:rPr>
        <w:t xml:space="preserve">daily </w:t>
      </w:r>
      <w:r w:rsidR="00307E54">
        <w:rPr>
          <w:rFonts w:hint="eastAsia"/>
          <w:szCs w:val="22"/>
        </w:rPr>
        <w:t xml:space="preserve">closing price </w:t>
      </w:r>
      <w:r w:rsidR="000D3BF7">
        <w:rPr>
          <w:rFonts w:hint="eastAsia"/>
          <w:szCs w:val="22"/>
        </w:rPr>
        <w:t xml:space="preserve">data and </w:t>
      </w:r>
      <w:r>
        <w:rPr>
          <w:rFonts w:hint="eastAsia"/>
          <w:szCs w:val="22"/>
        </w:rPr>
        <w:t xml:space="preserve">sourced from </w:t>
      </w:r>
      <w:r w:rsidR="008B7F33">
        <w:rPr>
          <w:rFonts w:hint="eastAsia"/>
          <w:szCs w:val="22"/>
        </w:rPr>
        <w:t xml:space="preserve">the </w:t>
      </w:r>
      <w:r>
        <w:rPr>
          <w:rFonts w:hint="eastAsia"/>
          <w:szCs w:val="22"/>
        </w:rPr>
        <w:t xml:space="preserve">commonly </w:t>
      </w:r>
      <w:r>
        <w:rPr>
          <w:szCs w:val="22"/>
        </w:rPr>
        <w:t>authorized</w:t>
      </w:r>
      <w:r>
        <w:rPr>
          <w:rFonts w:hint="eastAsia"/>
          <w:szCs w:val="22"/>
        </w:rPr>
        <w:t xml:space="preserve"> </w:t>
      </w:r>
      <w:r>
        <w:rPr>
          <w:szCs w:val="22"/>
        </w:rPr>
        <w:t>database</w:t>
      </w:r>
      <w:r>
        <w:rPr>
          <w:rFonts w:hint="eastAsia"/>
          <w:szCs w:val="22"/>
        </w:rPr>
        <w:t xml:space="preserve"> website </w:t>
      </w:r>
      <w:r>
        <w:rPr>
          <w:szCs w:val="22"/>
        </w:rPr>
        <w:t>‘</w:t>
      </w:r>
      <w:r>
        <w:rPr>
          <w:rFonts w:hint="eastAsia"/>
          <w:szCs w:val="22"/>
        </w:rPr>
        <w:t>investing</w:t>
      </w:r>
      <w:r>
        <w:rPr>
          <w:szCs w:val="22"/>
        </w:rPr>
        <w:t>’</w:t>
      </w:r>
      <w:r w:rsidR="003354B8">
        <w:rPr>
          <w:rFonts w:hint="eastAsia"/>
          <w:szCs w:val="22"/>
        </w:rPr>
        <w:t xml:space="preserve">, with the </w:t>
      </w:r>
      <w:r>
        <w:rPr>
          <w:rFonts w:hint="eastAsia"/>
          <w:szCs w:val="22"/>
        </w:rPr>
        <w:t>data from 1985</w:t>
      </w:r>
      <w:r w:rsidR="003354B8">
        <w:rPr>
          <w:rFonts w:hint="eastAsia"/>
          <w:szCs w:val="22"/>
        </w:rPr>
        <w:t xml:space="preserve"> to 2025 extracted. The reason why the data before 1985 are not used is that </w:t>
      </w:r>
      <w:r w:rsidR="00B82E08">
        <w:rPr>
          <w:rFonts w:hint="eastAsia"/>
          <w:szCs w:val="22"/>
        </w:rPr>
        <w:t>when coming before</w:t>
      </w:r>
      <w:r w:rsidR="003354B8">
        <w:rPr>
          <w:rFonts w:hint="eastAsia"/>
          <w:szCs w:val="22"/>
        </w:rPr>
        <w:t xml:space="preserve"> 1985</w:t>
      </w:r>
      <w:r w:rsidR="00B82E08">
        <w:rPr>
          <w:rFonts w:hint="eastAsia"/>
          <w:szCs w:val="22"/>
        </w:rPr>
        <w:t xml:space="preserve">, the worldwide financial system was more drastic since it was just divorced from The Bretton Woods </w:t>
      </w:r>
      <w:r w:rsidR="00782380">
        <w:rPr>
          <w:szCs w:val="22"/>
        </w:rPr>
        <w:t>System</w:t>
      </w:r>
      <w:r w:rsidR="00782380">
        <w:rPr>
          <w:rFonts w:hint="eastAsia"/>
          <w:szCs w:val="22"/>
        </w:rPr>
        <w:t xml:space="preserve">, and it experienced a transitional period for reconstruction and reinforcement. </w:t>
      </w:r>
      <w:r w:rsidR="00A1070B">
        <w:rPr>
          <w:rFonts w:hint="eastAsia"/>
          <w:szCs w:val="22"/>
        </w:rPr>
        <w:t xml:space="preserve">And the analysis is divided into three time intervals, 1985-2007, 2008-2019, 2020-2025, due to </w:t>
      </w:r>
      <w:r w:rsidR="00437D8B">
        <w:rPr>
          <w:rFonts w:hint="eastAsia"/>
          <w:szCs w:val="22"/>
        </w:rPr>
        <w:t xml:space="preserve">2008 </w:t>
      </w:r>
      <w:r w:rsidR="00A1070B">
        <w:rPr>
          <w:rFonts w:hint="eastAsia"/>
          <w:szCs w:val="22"/>
        </w:rPr>
        <w:t xml:space="preserve">Financial Crisis and </w:t>
      </w:r>
      <w:r w:rsidR="00437D8B">
        <w:rPr>
          <w:rFonts w:hint="eastAsia"/>
          <w:szCs w:val="22"/>
        </w:rPr>
        <w:t xml:space="preserve">2020 </w:t>
      </w:r>
      <w:r w:rsidR="00A1070B">
        <w:rPr>
          <w:rFonts w:hint="eastAsia"/>
          <w:szCs w:val="22"/>
        </w:rPr>
        <w:t xml:space="preserve">COVID-19 pandemic, and this is supported by </w:t>
      </w:r>
      <w:r w:rsidR="00782380">
        <w:rPr>
          <w:rFonts w:hint="eastAsia"/>
          <w:szCs w:val="22"/>
        </w:rPr>
        <w:t xml:space="preserve">the conclusion given by </w:t>
      </w:r>
      <w:r w:rsidR="00A1070B" w:rsidRPr="00A1070B">
        <w:rPr>
          <w:szCs w:val="22"/>
        </w:rPr>
        <w:t>Miyazaki</w:t>
      </w:r>
      <w:r w:rsidR="00A1070B">
        <w:rPr>
          <w:rFonts w:hint="eastAsia"/>
          <w:szCs w:val="22"/>
        </w:rPr>
        <w:t xml:space="preserve"> and </w:t>
      </w:r>
      <w:r w:rsidR="00A1070B" w:rsidRPr="00A1070B">
        <w:rPr>
          <w:szCs w:val="22"/>
        </w:rPr>
        <w:t>Hamori</w:t>
      </w:r>
      <w:r w:rsidR="00A1070B">
        <w:rPr>
          <w:rFonts w:hint="eastAsia"/>
          <w:szCs w:val="22"/>
        </w:rPr>
        <w:t xml:space="preserve"> [11], that under different macroeconomic</w:t>
      </w:r>
      <w:r w:rsidR="00C71102">
        <w:rPr>
          <w:rFonts w:hint="eastAsia"/>
          <w:szCs w:val="22"/>
        </w:rPr>
        <w:t xml:space="preserve"> environments and policies</w:t>
      </w:r>
      <w:r w:rsidR="00A1070B">
        <w:rPr>
          <w:rFonts w:hint="eastAsia"/>
          <w:szCs w:val="22"/>
        </w:rPr>
        <w:t>, the reflected relationship is very likely to change significantly</w:t>
      </w:r>
      <w:r w:rsidR="00C71102">
        <w:rPr>
          <w:rFonts w:hint="eastAsia"/>
          <w:szCs w:val="22"/>
        </w:rPr>
        <w:t xml:space="preserve">, </w:t>
      </w:r>
      <w:r w:rsidR="005030BA">
        <w:rPr>
          <w:rFonts w:hint="eastAsia"/>
          <w:szCs w:val="22"/>
        </w:rPr>
        <w:t xml:space="preserve">and therefore </w:t>
      </w:r>
      <w:r w:rsidR="00C71102">
        <w:rPr>
          <w:rFonts w:hint="eastAsia"/>
          <w:szCs w:val="22"/>
        </w:rPr>
        <w:t>this separation can make it easier for subsequent qualitative explanation.</w:t>
      </w:r>
    </w:p>
    <w:p w14:paraId="5A22E96A" w14:textId="6ECE562A" w:rsidR="0079429D" w:rsidRDefault="0046087D" w:rsidP="00A1705A">
      <w:pPr>
        <w:rPr>
          <w:rFonts w:hint="eastAsia"/>
          <w:szCs w:val="22"/>
        </w:rPr>
      </w:pPr>
      <w:r>
        <w:rPr>
          <w:rFonts w:hint="eastAsia"/>
          <w:szCs w:val="22"/>
        </w:rPr>
        <w:t xml:space="preserve">In terms of the choice of window length of rolling </w:t>
      </w:r>
      <w:r w:rsidRPr="0046087D">
        <w:rPr>
          <w:rFonts w:hint="eastAsia"/>
          <w:szCs w:val="22"/>
        </w:rPr>
        <w:t>Pearson correlation coefficient method</w:t>
      </w:r>
      <w:r>
        <w:rPr>
          <w:rFonts w:hint="eastAsia"/>
          <w:szCs w:val="22"/>
        </w:rPr>
        <w:t>, i</w:t>
      </w:r>
      <w:r w:rsidRPr="0046087D">
        <w:rPr>
          <w:szCs w:val="22"/>
        </w:rPr>
        <w:t xml:space="preserve">n periods of </w:t>
      </w:r>
      <w:r>
        <w:rPr>
          <w:rFonts w:hint="eastAsia"/>
          <w:szCs w:val="22"/>
        </w:rPr>
        <w:t>rising</w:t>
      </w:r>
      <w:r w:rsidRPr="0046087D">
        <w:rPr>
          <w:szCs w:val="22"/>
        </w:rPr>
        <w:t xml:space="preserve"> market uncertainty, shorter windows are also considered to better capture rapid structural changes</w:t>
      </w:r>
      <w:r>
        <w:rPr>
          <w:rFonts w:hint="eastAsia"/>
          <w:szCs w:val="22"/>
        </w:rPr>
        <w:t xml:space="preserve"> and</w:t>
      </w:r>
      <w:r w:rsidR="00065FFE">
        <w:rPr>
          <w:rFonts w:hint="eastAsia"/>
          <w:szCs w:val="22"/>
        </w:rPr>
        <w:t xml:space="preserve"> vice versa. A main window is chosen due to the economic </w:t>
      </w:r>
      <w:r w:rsidR="000D3BF7">
        <w:rPr>
          <w:szCs w:val="22"/>
        </w:rPr>
        <w:t>characteristic</w:t>
      </w:r>
      <w:r w:rsidR="000D3BF7">
        <w:rPr>
          <w:rFonts w:hint="eastAsia"/>
          <w:szCs w:val="22"/>
        </w:rPr>
        <w:t>s</w:t>
      </w:r>
      <w:r w:rsidR="00065FFE">
        <w:rPr>
          <w:rFonts w:hint="eastAsia"/>
          <w:szCs w:val="22"/>
        </w:rPr>
        <w:t xml:space="preserve"> whereas</w:t>
      </w:r>
      <w:r w:rsidRPr="0046087D">
        <w:rPr>
          <w:szCs w:val="22"/>
        </w:rPr>
        <w:t xml:space="preserve"> </w:t>
      </w:r>
      <w:r w:rsidR="00065FFE">
        <w:rPr>
          <w:rFonts w:hint="eastAsia"/>
          <w:szCs w:val="22"/>
        </w:rPr>
        <w:t>r</w:t>
      </w:r>
      <w:r w:rsidRPr="0046087D">
        <w:rPr>
          <w:szCs w:val="22"/>
        </w:rPr>
        <w:t xml:space="preserve">obustness checks using </w:t>
      </w:r>
      <w:r>
        <w:rPr>
          <w:rFonts w:hint="eastAsia"/>
          <w:szCs w:val="22"/>
        </w:rPr>
        <w:t>auxiliary</w:t>
      </w:r>
      <w:r w:rsidRPr="0046087D">
        <w:rPr>
          <w:szCs w:val="22"/>
        </w:rPr>
        <w:t xml:space="preserve"> window lengths </w:t>
      </w:r>
      <w:r w:rsidR="000D3BF7">
        <w:rPr>
          <w:rFonts w:hint="eastAsia"/>
          <w:szCs w:val="22"/>
        </w:rPr>
        <w:t xml:space="preserve">as comparison </w:t>
      </w:r>
      <w:r w:rsidRPr="0046087D">
        <w:rPr>
          <w:szCs w:val="22"/>
        </w:rPr>
        <w:t>yield qualitatively similar results.</w:t>
      </w:r>
      <w:r w:rsidR="00065FFE">
        <w:rPr>
          <w:rFonts w:hint="eastAsia"/>
          <w:szCs w:val="22"/>
        </w:rPr>
        <w:t xml:space="preserve"> </w:t>
      </w:r>
      <w:commentRangeStart w:id="6"/>
      <w:r w:rsidR="00065FFE">
        <w:rPr>
          <w:rFonts w:hint="eastAsia"/>
          <w:szCs w:val="22"/>
        </w:rPr>
        <w:t xml:space="preserve">Detailed parameters are arranged here: </w:t>
      </w:r>
      <w:r w:rsidR="0079429D">
        <w:rPr>
          <w:rFonts w:hint="eastAsia"/>
          <w:szCs w:val="22"/>
        </w:rPr>
        <w:t>60 trading days as the main window length while 30 and 120 trading days as auxiliary window length.</w:t>
      </w:r>
      <w:commentRangeEnd w:id="6"/>
      <w:r w:rsidR="00F07D72">
        <w:rPr>
          <w:rStyle w:val="af7"/>
          <w:rFonts w:hint="eastAsia"/>
          <w:sz w:val="22"/>
          <w:szCs w:val="22"/>
        </w:rPr>
        <w:commentReference w:id="6"/>
      </w:r>
    </w:p>
    <w:p w14:paraId="52819824" w14:textId="06835FCB" w:rsidR="00A6610E" w:rsidRDefault="00017233" w:rsidP="00A1705A">
      <w:pPr>
        <w:rPr>
          <w:rFonts w:hint="eastAsia"/>
          <w:szCs w:val="22"/>
        </w:rPr>
      </w:pPr>
      <w:r w:rsidRPr="00017233">
        <w:rPr>
          <w:szCs w:val="22"/>
        </w:rPr>
        <w:t>While the rolling correlation analysis i</w:t>
      </w:r>
      <w:r>
        <w:rPr>
          <w:rFonts w:hint="eastAsia"/>
          <w:szCs w:val="22"/>
        </w:rPr>
        <w:t>ncorporates</w:t>
      </w:r>
      <w:r w:rsidRPr="00017233">
        <w:rPr>
          <w:szCs w:val="22"/>
        </w:rPr>
        <w:t xml:space="preserve"> the choice of window length as a time-scale parameter, the VECM</w:t>
      </w:r>
      <w:r w:rsidR="005F5FD3">
        <w:rPr>
          <w:rFonts w:hint="eastAsia"/>
          <w:szCs w:val="22"/>
        </w:rPr>
        <w:t xml:space="preserve"> or VAR</w:t>
      </w:r>
      <w:r w:rsidRPr="00017233">
        <w:rPr>
          <w:szCs w:val="22"/>
        </w:rPr>
        <w:t xml:space="preserve"> requires a set of specifications, including the sample period, cointegration rank, lag order, and deterministic components, each of which reflects underlying economic assumptions</w:t>
      </w:r>
      <w:r>
        <w:rPr>
          <w:rFonts w:hint="eastAsia"/>
          <w:szCs w:val="22"/>
        </w:rPr>
        <w:t xml:space="preserve"> and relies on the pre-experimental tests. </w:t>
      </w:r>
      <w:r w:rsidR="00D524ED">
        <w:rPr>
          <w:rFonts w:hint="eastAsia"/>
          <w:szCs w:val="22"/>
        </w:rPr>
        <w:t>Also, d</w:t>
      </w:r>
      <w:r w:rsidR="00D524ED" w:rsidRPr="00D524ED">
        <w:rPr>
          <w:szCs w:val="22"/>
        </w:rPr>
        <w:t>epending on unit root test results, either VECM or VAR will be employed.</w:t>
      </w:r>
      <w:r w:rsidR="00D524ED">
        <w:rPr>
          <w:rFonts w:hint="eastAsia"/>
          <w:szCs w:val="22"/>
        </w:rPr>
        <w:t xml:space="preserve"> </w:t>
      </w:r>
      <w:r>
        <w:rPr>
          <w:rFonts w:hint="eastAsia"/>
          <w:szCs w:val="22"/>
        </w:rPr>
        <w:t>The parameter selection of this part will be specified in the next section.</w:t>
      </w:r>
      <w:r w:rsidR="00C06AA8">
        <w:rPr>
          <w:rFonts w:hint="eastAsia"/>
          <w:szCs w:val="22"/>
        </w:rPr>
        <w:t xml:space="preserve"> More specifically, if two variables are </w:t>
      </w:r>
      <w:r w:rsidR="008E5C25">
        <w:rPr>
          <w:rFonts w:hint="eastAsia"/>
          <w:szCs w:val="22"/>
        </w:rPr>
        <w:t>non-stationary</w:t>
      </w:r>
      <w:r w:rsidR="008A5376">
        <w:rPr>
          <w:rFonts w:hint="eastAsia"/>
          <w:szCs w:val="22"/>
        </w:rPr>
        <w:t xml:space="preserve"> I(0)</w:t>
      </w:r>
      <w:r w:rsidR="008E5C25">
        <w:rPr>
          <w:rFonts w:hint="eastAsia"/>
          <w:szCs w:val="22"/>
        </w:rPr>
        <w:t xml:space="preserve">, VECM </w:t>
      </w:r>
      <w:r w:rsidR="008E5C25">
        <w:rPr>
          <w:szCs w:val="22"/>
        </w:rPr>
        <w:t>will be</w:t>
      </w:r>
      <w:r w:rsidR="008E5C25">
        <w:rPr>
          <w:rFonts w:hint="eastAsia"/>
          <w:szCs w:val="22"/>
        </w:rPr>
        <w:t xml:space="preserve"> applied; if one variable is non-stationary</w:t>
      </w:r>
      <w:r w:rsidR="00A67E93">
        <w:rPr>
          <w:rFonts w:hint="eastAsia"/>
          <w:szCs w:val="22"/>
        </w:rPr>
        <w:t xml:space="preserve"> I(0)</w:t>
      </w:r>
      <w:r w:rsidR="008E5C25">
        <w:rPr>
          <w:rFonts w:hint="eastAsia"/>
          <w:szCs w:val="22"/>
        </w:rPr>
        <w:t xml:space="preserve"> and the other variable is stationary</w:t>
      </w:r>
      <w:r w:rsidR="00A67E93">
        <w:rPr>
          <w:rFonts w:hint="eastAsia"/>
          <w:szCs w:val="22"/>
        </w:rPr>
        <w:t xml:space="preserve"> I(1)</w:t>
      </w:r>
      <w:r w:rsidR="008E5C25">
        <w:rPr>
          <w:rFonts w:hint="eastAsia"/>
          <w:szCs w:val="22"/>
        </w:rPr>
        <w:t xml:space="preserve">, VAR is applied; if </w:t>
      </w:r>
      <w:r w:rsidR="00A67E93">
        <w:rPr>
          <w:rFonts w:hint="eastAsia"/>
          <w:szCs w:val="22"/>
        </w:rPr>
        <w:t xml:space="preserve">both </w:t>
      </w:r>
      <w:r w:rsidR="00772104">
        <w:rPr>
          <w:szCs w:val="22"/>
        </w:rPr>
        <w:t>variable</w:t>
      </w:r>
      <w:r w:rsidR="00772104">
        <w:rPr>
          <w:rFonts w:hint="eastAsia"/>
          <w:szCs w:val="22"/>
        </w:rPr>
        <w:t>s</w:t>
      </w:r>
      <w:r w:rsidR="008E5C25">
        <w:rPr>
          <w:rFonts w:hint="eastAsia"/>
          <w:szCs w:val="22"/>
        </w:rPr>
        <w:t xml:space="preserve"> </w:t>
      </w:r>
      <w:r w:rsidR="00A67E93">
        <w:rPr>
          <w:rFonts w:hint="eastAsia"/>
          <w:szCs w:val="22"/>
        </w:rPr>
        <w:t>are</w:t>
      </w:r>
      <w:r w:rsidR="008E5C25">
        <w:rPr>
          <w:rFonts w:hint="eastAsia"/>
          <w:szCs w:val="22"/>
        </w:rPr>
        <w:t xml:space="preserve"> stationary</w:t>
      </w:r>
      <w:r w:rsidR="00A67E93">
        <w:rPr>
          <w:rFonts w:hint="eastAsia"/>
          <w:szCs w:val="22"/>
        </w:rPr>
        <w:t xml:space="preserve"> I(1)</w:t>
      </w:r>
      <w:r w:rsidR="00DC3A8F">
        <w:rPr>
          <w:rFonts w:hint="eastAsia"/>
          <w:szCs w:val="22"/>
        </w:rPr>
        <w:t>, the model will be re-considered.</w:t>
      </w:r>
    </w:p>
    <w:p w14:paraId="4A90EBDB" w14:textId="77777777" w:rsidR="0088229E" w:rsidRDefault="0088229E" w:rsidP="00A1705A">
      <w:pPr>
        <w:rPr>
          <w:rFonts w:hint="eastAsia"/>
          <w:szCs w:val="22"/>
        </w:rPr>
      </w:pPr>
    </w:p>
    <w:p w14:paraId="63CBC5BD" w14:textId="133690CE" w:rsidR="002172C2" w:rsidRPr="002172C2" w:rsidRDefault="00A6610E" w:rsidP="002172C2">
      <w:pPr>
        <w:pStyle w:val="a9"/>
        <w:numPr>
          <w:ilvl w:val="0"/>
          <w:numId w:val="1"/>
        </w:numPr>
        <w:rPr>
          <w:rFonts w:hint="eastAsia"/>
          <w:szCs w:val="22"/>
        </w:rPr>
      </w:pPr>
      <w:r>
        <w:rPr>
          <w:rFonts w:hint="eastAsia"/>
          <w:szCs w:val="22"/>
        </w:rPr>
        <w:t xml:space="preserve">Quantitative </w:t>
      </w:r>
      <w:r w:rsidR="006B269D">
        <w:rPr>
          <w:rFonts w:hint="eastAsia"/>
          <w:szCs w:val="22"/>
        </w:rPr>
        <w:t>Results</w:t>
      </w:r>
    </w:p>
    <w:p w14:paraId="60FC763A" w14:textId="683A9ABF" w:rsidR="009C2AC1" w:rsidRDefault="002172C2" w:rsidP="002172C2">
      <w:pPr>
        <w:pStyle w:val="a9"/>
        <w:numPr>
          <w:ilvl w:val="1"/>
          <w:numId w:val="1"/>
        </w:numPr>
        <w:rPr>
          <w:rFonts w:hint="eastAsia"/>
          <w:szCs w:val="22"/>
        </w:rPr>
      </w:pPr>
      <w:r w:rsidRPr="002172C2">
        <w:rPr>
          <w:rFonts w:hint="eastAsia"/>
          <w:szCs w:val="22"/>
        </w:rPr>
        <w:t>Preliminary Analysis</w:t>
      </w:r>
    </w:p>
    <w:p w14:paraId="5DE01EF0" w14:textId="793617BE" w:rsidR="00772221" w:rsidRPr="008B31F5" w:rsidRDefault="00772221" w:rsidP="00772221">
      <w:pPr>
        <w:rPr>
          <w:rFonts w:hint="eastAsia"/>
          <w:szCs w:val="22"/>
        </w:rPr>
      </w:pPr>
      <w:r>
        <w:rPr>
          <w:rFonts w:hint="eastAsia"/>
          <w:szCs w:val="22"/>
        </w:rPr>
        <w:t>Firstly, the basic properties of the sample data are examined to avoid basic technical errors, shown in Figure 4.1.1</w:t>
      </w:r>
      <w:r w:rsidR="00E958E0">
        <w:rPr>
          <w:rFonts w:hint="eastAsia"/>
          <w:szCs w:val="22"/>
        </w:rPr>
        <w:t xml:space="preserve"> and an overall graph </w:t>
      </w:r>
      <w:r w:rsidR="009E6779">
        <w:rPr>
          <w:szCs w:val="22"/>
        </w:rPr>
        <w:t>illustrates</w:t>
      </w:r>
      <w:r w:rsidR="00E958E0">
        <w:rPr>
          <w:rFonts w:hint="eastAsia"/>
          <w:szCs w:val="22"/>
        </w:rPr>
        <w:t xml:space="preserve"> the trend of two variables, shown in Figure 4.1.2</w:t>
      </w:r>
      <w:r w:rsidR="008B31F5">
        <w:rPr>
          <w:rFonts w:hint="eastAsia"/>
          <w:szCs w:val="22"/>
        </w:rPr>
        <w:t xml:space="preserve"> and Figure 4.1.3.</w:t>
      </w:r>
    </w:p>
    <w:p w14:paraId="620801D1" w14:textId="5ED5C26D" w:rsidR="002172C2" w:rsidRPr="002172C2" w:rsidRDefault="002172C2" w:rsidP="008B31F5">
      <w:pPr>
        <w:jc w:val="center"/>
        <w:rPr>
          <w:rFonts w:hint="eastAsia"/>
          <w:szCs w:val="22"/>
        </w:rPr>
      </w:pPr>
      <w:r w:rsidRPr="002172C2">
        <w:rPr>
          <w:noProof/>
          <w:szCs w:val="22"/>
        </w:rPr>
        <w:lastRenderedPageBreak/>
        <w:drawing>
          <wp:inline distT="0" distB="0" distL="0" distR="0" wp14:anchorId="4990C41C" wp14:editId="47D1630C">
            <wp:extent cx="2167938" cy="2353901"/>
            <wp:effectExtent l="0" t="0" r="3810" b="8890"/>
            <wp:docPr id="7977079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707916" name=""/>
                    <pic:cNvPicPr/>
                  </pic:nvPicPr>
                  <pic:blipFill>
                    <a:blip r:embed="rId16"/>
                    <a:stretch>
                      <a:fillRect/>
                    </a:stretch>
                  </pic:blipFill>
                  <pic:spPr>
                    <a:xfrm>
                      <a:off x="0" y="0"/>
                      <a:ext cx="2167938" cy="2353901"/>
                    </a:xfrm>
                    <a:prstGeom prst="rect">
                      <a:avLst/>
                    </a:prstGeom>
                  </pic:spPr>
                </pic:pic>
              </a:graphicData>
            </a:graphic>
          </wp:inline>
        </w:drawing>
      </w:r>
    </w:p>
    <w:p w14:paraId="3B95991F" w14:textId="53374123" w:rsidR="009C2AC1" w:rsidRDefault="002172C2" w:rsidP="008B31F5">
      <w:pPr>
        <w:jc w:val="center"/>
        <w:rPr>
          <w:rFonts w:hint="eastAsia"/>
          <w:sz w:val="20"/>
          <w:szCs w:val="20"/>
        </w:rPr>
      </w:pPr>
      <w:r w:rsidRPr="002172C2">
        <w:rPr>
          <w:rFonts w:hint="eastAsia"/>
          <w:sz w:val="20"/>
          <w:szCs w:val="20"/>
        </w:rPr>
        <w:t>Figure 4.1.1 Descriptive Properties in Sample data</w:t>
      </w:r>
    </w:p>
    <w:p w14:paraId="5EBD9ECF" w14:textId="225DA6E6" w:rsidR="008B31F5" w:rsidRDefault="008B31F5" w:rsidP="00D64C58">
      <w:pPr>
        <w:jc w:val="center"/>
        <w:rPr>
          <w:rFonts w:hint="eastAsia"/>
          <w:sz w:val="20"/>
          <w:szCs w:val="20"/>
        </w:rPr>
      </w:pPr>
      <w:r w:rsidRPr="008B31F5">
        <w:rPr>
          <w:noProof/>
          <w:sz w:val="20"/>
          <w:szCs w:val="20"/>
        </w:rPr>
        <w:drawing>
          <wp:inline distT="0" distB="0" distL="0" distR="0" wp14:anchorId="7DD89041" wp14:editId="0DE58605">
            <wp:extent cx="4150122" cy="1749287"/>
            <wp:effectExtent l="0" t="0" r="3175" b="3810"/>
            <wp:docPr id="95682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8294" name=""/>
                    <pic:cNvPicPr/>
                  </pic:nvPicPr>
                  <pic:blipFill>
                    <a:blip r:embed="rId17"/>
                    <a:stretch>
                      <a:fillRect/>
                    </a:stretch>
                  </pic:blipFill>
                  <pic:spPr>
                    <a:xfrm>
                      <a:off x="0" y="0"/>
                      <a:ext cx="4163554" cy="1754949"/>
                    </a:xfrm>
                    <a:prstGeom prst="rect">
                      <a:avLst/>
                    </a:prstGeom>
                  </pic:spPr>
                </pic:pic>
              </a:graphicData>
            </a:graphic>
          </wp:inline>
        </w:drawing>
      </w:r>
    </w:p>
    <w:p w14:paraId="5F184D6A" w14:textId="681AD1BB" w:rsidR="008B31F5" w:rsidRDefault="008B31F5" w:rsidP="008B31F5">
      <w:pPr>
        <w:jc w:val="center"/>
        <w:rPr>
          <w:rFonts w:hint="eastAsia"/>
          <w:sz w:val="20"/>
          <w:szCs w:val="20"/>
        </w:rPr>
      </w:pPr>
      <w:bookmarkStart w:id="7" w:name="OLE_LINK4"/>
      <w:r>
        <w:rPr>
          <w:rFonts w:hint="eastAsia"/>
          <w:sz w:val="20"/>
          <w:szCs w:val="20"/>
        </w:rPr>
        <w:t>Figure 4.1.2 Line Graph of Gold Price during 1985-2025</w:t>
      </w:r>
    </w:p>
    <w:bookmarkEnd w:id="7"/>
    <w:p w14:paraId="28ABDE5E" w14:textId="34FBA6B7" w:rsidR="008B31F5" w:rsidRDefault="008B31F5" w:rsidP="00D64C58">
      <w:pPr>
        <w:jc w:val="center"/>
        <w:rPr>
          <w:rFonts w:hint="eastAsia"/>
          <w:sz w:val="20"/>
          <w:szCs w:val="20"/>
        </w:rPr>
      </w:pPr>
      <w:r w:rsidRPr="008B31F5">
        <w:rPr>
          <w:noProof/>
          <w:sz w:val="20"/>
          <w:szCs w:val="20"/>
        </w:rPr>
        <w:drawing>
          <wp:inline distT="0" distB="0" distL="0" distR="0" wp14:anchorId="3537814A" wp14:editId="315FF6D0">
            <wp:extent cx="4182386" cy="1794105"/>
            <wp:effectExtent l="0" t="0" r="8890" b="0"/>
            <wp:docPr id="11889287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928756" name=""/>
                    <pic:cNvPicPr/>
                  </pic:nvPicPr>
                  <pic:blipFill>
                    <a:blip r:embed="rId18"/>
                    <a:stretch>
                      <a:fillRect/>
                    </a:stretch>
                  </pic:blipFill>
                  <pic:spPr>
                    <a:xfrm>
                      <a:off x="0" y="0"/>
                      <a:ext cx="4220126" cy="1810294"/>
                    </a:xfrm>
                    <a:prstGeom prst="rect">
                      <a:avLst/>
                    </a:prstGeom>
                  </pic:spPr>
                </pic:pic>
              </a:graphicData>
            </a:graphic>
          </wp:inline>
        </w:drawing>
      </w:r>
    </w:p>
    <w:p w14:paraId="7518DBE3" w14:textId="0ECE914E" w:rsidR="008B31F5" w:rsidRDefault="008B31F5" w:rsidP="008B31F5">
      <w:pPr>
        <w:jc w:val="center"/>
        <w:rPr>
          <w:rFonts w:hint="eastAsia"/>
          <w:sz w:val="20"/>
          <w:szCs w:val="20"/>
        </w:rPr>
      </w:pPr>
      <w:r>
        <w:rPr>
          <w:rFonts w:hint="eastAsia"/>
          <w:sz w:val="20"/>
          <w:szCs w:val="20"/>
        </w:rPr>
        <w:t>Figure 4.1.3 Line Graph of DXY during 1985-2025</w:t>
      </w:r>
    </w:p>
    <w:p w14:paraId="6DE516CE" w14:textId="77777777" w:rsidR="008B31F5" w:rsidRPr="008B31F5" w:rsidRDefault="008B31F5" w:rsidP="00A1705A">
      <w:pPr>
        <w:rPr>
          <w:rFonts w:hint="eastAsia"/>
          <w:sz w:val="20"/>
          <w:szCs w:val="20"/>
        </w:rPr>
      </w:pPr>
    </w:p>
    <w:p w14:paraId="6B50F3DF" w14:textId="31C7C10F" w:rsidR="009C2AC1" w:rsidRDefault="00772221" w:rsidP="00A1705A">
      <w:pPr>
        <w:rPr>
          <w:rFonts w:hint="eastAsia"/>
          <w:szCs w:val="22"/>
        </w:rPr>
      </w:pPr>
      <w:r>
        <w:rPr>
          <w:rFonts w:hint="eastAsia"/>
          <w:szCs w:val="22"/>
        </w:rPr>
        <w:t xml:space="preserve">The dataset consists of 10,339 daily observations </w:t>
      </w:r>
      <w:r w:rsidR="00E958E0">
        <w:rPr>
          <w:rFonts w:hint="eastAsia"/>
          <w:szCs w:val="22"/>
        </w:rPr>
        <w:t>for both gold price and DXY, aligning each gold price data to each DXY data at the same date.</w:t>
      </w:r>
    </w:p>
    <w:p w14:paraId="3AC5F041" w14:textId="2A039EE1" w:rsidR="00E958E0" w:rsidRDefault="00E958E0" w:rsidP="00A1705A">
      <w:pPr>
        <w:rPr>
          <w:rFonts w:hint="eastAsia"/>
          <w:szCs w:val="22"/>
        </w:rPr>
      </w:pPr>
      <w:r>
        <w:rPr>
          <w:rFonts w:hint="eastAsia"/>
          <w:szCs w:val="22"/>
        </w:rPr>
        <w:t xml:space="preserve">Gold price demonstrates great </w:t>
      </w:r>
      <w:r>
        <w:rPr>
          <w:szCs w:val="22"/>
        </w:rPr>
        <w:t>volatility</w:t>
      </w:r>
      <w:r>
        <w:rPr>
          <w:rFonts w:hint="eastAsia"/>
          <w:szCs w:val="22"/>
        </w:rPr>
        <w:t xml:space="preserve">, with a mean of 907.54 and a standard deviation of 685.13. Additionally, its mean and medium differ notably, suggesting that </w:t>
      </w:r>
      <w:r>
        <w:rPr>
          <w:rFonts w:hint="eastAsia"/>
          <w:szCs w:val="22"/>
        </w:rPr>
        <w:lastRenderedPageBreak/>
        <w:t>this is a positively skewed distribution,</w:t>
      </w:r>
      <w:r w:rsidR="008B31F5">
        <w:rPr>
          <w:rFonts w:hint="eastAsia"/>
          <w:szCs w:val="22"/>
        </w:rPr>
        <w:t xml:space="preserve"> agreeing with the overall </w:t>
      </w:r>
      <w:r w:rsidR="008B31F5" w:rsidRPr="008B31F5">
        <w:rPr>
          <w:szCs w:val="22"/>
        </w:rPr>
        <w:t>strong upward trend</w:t>
      </w:r>
      <w:r w:rsidR="008B31F5">
        <w:rPr>
          <w:rFonts w:hint="eastAsia"/>
          <w:szCs w:val="22"/>
        </w:rPr>
        <w:t>.</w:t>
      </w:r>
    </w:p>
    <w:p w14:paraId="6D89CC06" w14:textId="71C165E1" w:rsidR="008B31F5" w:rsidRPr="0067192E" w:rsidRDefault="0067192E" w:rsidP="00A1705A">
      <w:pPr>
        <w:rPr>
          <w:rFonts w:hint="eastAsia"/>
          <w:szCs w:val="22"/>
        </w:rPr>
      </w:pPr>
      <w:r>
        <w:rPr>
          <w:rFonts w:hint="eastAsia"/>
          <w:szCs w:val="22"/>
        </w:rPr>
        <w:t xml:space="preserve">By contrast, DXY index gives lower </w:t>
      </w:r>
      <w:r>
        <w:rPr>
          <w:szCs w:val="22"/>
        </w:rPr>
        <w:t>variability</w:t>
      </w:r>
      <w:r>
        <w:rPr>
          <w:rFonts w:hint="eastAsia"/>
          <w:szCs w:val="22"/>
        </w:rPr>
        <w:t xml:space="preserve">, </w:t>
      </w:r>
      <w:r w:rsidRPr="0067192E">
        <w:rPr>
          <w:szCs w:val="22"/>
        </w:rPr>
        <w:t>with a mean of 93.36 and a standard deviation of 10.43.</w:t>
      </w:r>
      <w:r>
        <w:rPr>
          <w:rFonts w:hint="eastAsia"/>
          <w:szCs w:val="22"/>
        </w:rPr>
        <w:t xml:space="preserve"> </w:t>
      </w:r>
      <w:r w:rsidR="00952C88">
        <w:rPr>
          <w:rFonts w:hint="eastAsia"/>
          <w:szCs w:val="22"/>
        </w:rPr>
        <w:t xml:space="preserve">Besides, the relatively lower interquartile range indicates relatively greater stability.  </w:t>
      </w:r>
    </w:p>
    <w:p w14:paraId="31A73B48" w14:textId="08BE4FF4" w:rsidR="009C2AC1" w:rsidRDefault="00DF20DE" w:rsidP="00A1705A">
      <w:pPr>
        <w:rPr>
          <w:rFonts w:hint="eastAsia"/>
          <w:szCs w:val="22"/>
        </w:rPr>
      </w:pPr>
      <w:r>
        <w:rPr>
          <w:rFonts w:hint="eastAsia"/>
          <w:szCs w:val="22"/>
        </w:rPr>
        <w:t xml:space="preserve">And the corresponding kurtosis replies to these properties, exhibited in Figure 4.1.4, that the kurtosis of 1.50 in </w:t>
      </w:r>
      <w:r w:rsidR="00EF5CD0">
        <w:rPr>
          <w:rFonts w:hint="eastAsia"/>
          <w:szCs w:val="22"/>
        </w:rPr>
        <w:t xml:space="preserve">the data of gold price reflects a </w:t>
      </w:r>
      <w:commentRangeStart w:id="8"/>
      <w:r w:rsidR="00EF5CD0">
        <w:rPr>
          <w:rFonts w:hint="eastAsia"/>
          <w:szCs w:val="22"/>
        </w:rPr>
        <w:t>fat-tailed distribution</w:t>
      </w:r>
      <w:commentRangeEnd w:id="8"/>
      <w:r w:rsidR="00F07D72">
        <w:rPr>
          <w:rStyle w:val="af7"/>
          <w:rFonts w:hint="eastAsia"/>
          <w:sz w:val="22"/>
          <w:szCs w:val="22"/>
        </w:rPr>
        <w:commentReference w:id="8"/>
      </w:r>
      <w:r w:rsidR="00EF5CD0">
        <w:rPr>
          <w:rFonts w:hint="eastAsia"/>
          <w:szCs w:val="22"/>
        </w:rPr>
        <w:t>, leading to the higher likelihood of extreme price movements while the kurtosis of 0.06 in the data of DXY reflects a distribution close to normal distribution, suggesting comparatively fewer extreme variations.</w:t>
      </w:r>
    </w:p>
    <w:p w14:paraId="69BB5621" w14:textId="2992199F" w:rsidR="009C2AC1" w:rsidRDefault="003831D2" w:rsidP="003831D2">
      <w:pPr>
        <w:jc w:val="center"/>
        <w:rPr>
          <w:rFonts w:hint="eastAsia"/>
          <w:szCs w:val="22"/>
        </w:rPr>
      </w:pPr>
      <w:r w:rsidRPr="003831D2">
        <w:rPr>
          <w:noProof/>
          <w:szCs w:val="22"/>
        </w:rPr>
        <w:drawing>
          <wp:inline distT="0" distB="0" distL="0" distR="0" wp14:anchorId="64EDA501" wp14:editId="67A786A5">
            <wp:extent cx="3920151" cy="507364"/>
            <wp:effectExtent l="0" t="0" r="4445" b="7620"/>
            <wp:docPr id="12995991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599161" name=""/>
                    <pic:cNvPicPr/>
                  </pic:nvPicPr>
                  <pic:blipFill>
                    <a:blip r:embed="rId19"/>
                    <a:stretch>
                      <a:fillRect/>
                    </a:stretch>
                  </pic:blipFill>
                  <pic:spPr>
                    <a:xfrm>
                      <a:off x="0" y="0"/>
                      <a:ext cx="3962592" cy="512857"/>
                    </a:xfrm>
                    <a:prstGeom prst="rect">
                      <a:avLst/>
                    </a:prstGeom>
                  </pic:spPr>
                </pic:pic>
              </a:graphicData>
            </a:graphic>
          </wp:inline>
        </w:drawing>
      </w:r>
    </w:p>
    <w:p w14:paraId="15A3EA4A" w14:textId="04C921D3" w:rsidR="009C2AC1" w:rsidRPr="003831D2" w:rsidRDefault="003831D2" w:rsidP="003831D2">
      <w:pPr>
        <w:jc w:val="center"/>
        <w:rPr>
          <w:rFonts w:hint="eastAsia"/>
          <w:sz w:val="20"/>
          <w:szCs w:val="20"/>
        </w:rPr>
      </w:pPr>
      <w:r w:rsidRPr="003831D2">
        <w:rPr>
          <w:rFonts w:hint="eastAsia"/>
          <w:sz w:val="20"/>
          <w:szCs w:val="20"/>
        </w:rPr>
        <w:t>Figure 4.1.4 Results showing the kurtosis of two datasets</w:t>
      </w:r>
    </w:p>
    <w:p w14:paraId="20818949" w14:textId="77777777" w:rsidR="004A7CFF" w:rsidRDefault="004A7CFF" w:rsidP="00A1705A">
      <w:pPr>
        <w:rPr>
          <w:rFonts w:hint="eastAsia"/>
          <w:szCs w:val="22"/>
        </w:rPr>
      </w:pPr>
    </w:p>
    <w:p w14:paraId="11EABA33" w14:textId="4D33416A" w:rsidR="009C2AC1" w:rsidRPr="004A7CFF" w:rsidRDefault="004A7CFF" w:rsidP="004A7CFF">
      <w:pPr>
        <w:pStyle w:val="a9"/>
        <w:numPr>
          <w:ilvl w:val="1"/>
          <w:numId w:val="1"/>
        </w:numPr>
        <w:rPr>
          <w:rFonts w:hint="eastAsia"/>
          <w:szCs w:val="22"/>
        </w:rPr>
      </w:pPr>
      <w:r w:rsidRPr="004A7CFF">
        <w:rPr>
          <w:szCs w:val="22"/>
        </w:rPr>
        <w:t>Augmented Dickey–Fuller (ADF) Test</w:t>
      </w:r>
    </w:p>
    <w:p w14:paraId="41D96CE4" w14:textId="75AD2B7D" w:rsidR="004A7CFF" w:rsidRDefault="00381281" w:rsidP="004A7CFF">
      <w:pPr>
        <w:rPr>
          <w:rFonts w:hint="eastAsia"/>
          <w:szCs w:val="22"/>
        </w:rPr>
      </w:pPr>
      <w:commentRangeStart w:id="9"/>
      <w:r w:rsidRPr="00381281">
        <w:rPr>
          <w:szCs w:val="22"/>
        </w:rPr>
        <w:t>The Augmented Dickey–Fuller (ADF) test is used to assess the presence of unit roots in both variables</w:t>
      </w:r>
      <w:r>
        <w:rPr>
          <w:rFonts w:hint="eastAsia"/>
          <w:szCs w:val="22"/>
        </w:rPr>
        <w:t xml:space="preserve"> and t</w:t>
      </w:r>
      <w:r w:rsidRPr="00381281">
        <w:rPr>
          <w:szCs w:val="22"/>
        </w:rPr>
        <w:t>he null hypothesis</w:t>
      </w:r>
      <w:r w:rsidR="00EF21FB">
        <w:rPr>
          <w:rFonts w:hint="eastAsia"/>
          <w:szCs w:val="22"/>
        </w:rPr>
        <w:t xml:space="preserve"> </w:t>
      </w:r>
      <w:r w:rsidR="008E5C25">
        <w:rPr>
          <w:rFonts w:hint="eastAsia"/>
          <w:szCs w:val="22"/>
        </w:rPr>
        <w:t xml:space="preserve">is that the series has a unit root. </w:t>
      </w:r>
      <w:commentRangeEnd w:id="9"/>
      <w:r w:rsidR="003736EA">
        <w:rPr>
          <w:rStyle w:val="af7"/>
          <w:rFonts w:hint="eastAsia"/>
          <w:sz w:val="22"/>
          <w:szCs w:val="22"/>
        </w:rPr>
        <w:commentReference w:id="9"/>
      </w:r>
    </w:p>
    <w:p w14:paraId="7934BCE9" w14:textId="3D45ABD8" w:rsidR="00381281" w:rsidRPr="00381281" w:rsidRDefault="00381281" w:rsidP="00381281">
      <w:pPr>
        <w:rPr>
          <w:rFonts w:hint="eastAsia"/>
          <w:szCs w:val="22"/>
        </w:rPr>
      </w:pPr>
      <w:r>
        <w:rPr>
          <w:rFonts w:hint="eastAsia"/>
          <w:szCs w:val="22"/>
        </w:rPr>
        <w:t xml:space="preserve">To ensure the robustness, 3 categories of tests are conducted: </w:t>
      </w:r>
      <w:r w:rsidR="00D8067B">
        <w:rPr>
          <w:rFonts w:hint="eastAsia"/>
          <w:szCs w:val="22"/>
        </w:rPr>
        <w:t xml:space="preserve">the test </w:t>
      </w:r>
      <w:r w:rsidRPr="00381281">
        <w:rPr>
          <w:szCs w:val="22"/>
        </w:rPr>
        <w:t>without constant (“n”)</w:t>
      </w:r>
      <w:r w:rsidR="00D8067B">
        <w:rPr>
          <w:rFonts w:hint="eastAsia"/>
          <w:szCs w:val="22"/>
        </w:rPr>
        <w:t xml:space="preserve">, </w:t>
      </w:r>
      <w:r w:rsidRPr="00381281">
        <w:rPr>
          <w:szCs w:val="22"/>
        </w:rPr>
        <w:t>with constant (“c”)</w:t>
      </w:r>
      <w:r w:rsidR="00D8067B">
        <w:rPr>
          <w:rFonts w:hint="eastAsia"/>
          <w:szCs w:val="22"/>
        </w:rPr>
        <w:t xml:space="preserve"> and </w:t>
      </w:r>
      <w:r w:rsidRPr="00381281">
        <w:rPr>
          <w:szCs w:val="22"/>
        </w:rPr>
        <w:t>with constant and linear trend (“ct”)</w:t>
      </w:r>
      <w:r w:rsidR="00D8067B">
        <w:rPr>
          <w:rFonts w:hint="eastAsia"/>
          <w:szCs w:val="22"/>
        </w:rPr>
        <w:t>.</w:t>
      </w:r>
    </w:p>
    <w:p w14:paraId="0D06C078" w14:textId="63DACB0D" w:rsidR="00381281" w:rsidRDefault="00D8067B" w:rsidP="004A7CFF">
      <w:pPr>
        <w:rPr>
          <w:rFonts w:hint="eastAsia"/>
          <w:szCs w:val="22"/>
        </w:rPr>
      </w:pPr>
      <w:r>
        <w:rPr>
          <w:rFonts w:hint="eastAsia"/>
          <w:szCs w:val="22"/>
        </w:rPr>
        <w:t>The results are displayed in Figure 4.2.1.</w:t>
      </w:r>
    </w:p>
    <w:p w14:paraId="4BD6BBA7" w14:textId="77777777" w:rsidR="0079429D" w:rsidRPr="004A7CFF" w:rsidRDefault="0079429D" w:rsidP="004A7CFF">
      <w:pPr>
        <w:rPr>
          <w:rFonts w:hint="eastAsia"/>
          <w:szCs w:val="22"/>
        </w:rPr>
      </w:pPr>
    </w:p>
    <w:p w14:paraId="1C609488" w14:textId="69BF0747" w:rsidR="009C2AC1" w:rsidRPr="004A7CFF" w:rsidRDefault="004A7CFF" w:rsidP="00D8067B">
      <w:pPr>
        <w:jc w:val="center"/>
        <w:rPr>
          <w:rFonts w:hint="eastAsia"/>
          <w:szCs w:val="22"/>
        </w:rPr>
      </w:pPr>
      <w:r w:rsidRPr="004A7CFF">
        <w:rPr>
          <w:noProof/>
          <w:szCs w:val="22"/>
        </w:rPr>
        <w:drawing>
          <wp:inline distT="0" distB="0" distL="0" distR="0" wp14:anchorId="60871BF6" wp14:editId="2163BF19">
            <wp:extent cx="3775295" cy="2153545"/>
            <wp:effectExtent l="0" t="0" r="0" b="0"/>
            <wp:docPr id="4592153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215350" name=""/>
                    <pic:cNvPicPr/>
                  </pic:nvPicPr>
                  <pic:blipFill>
                    <a:blip r:embed="rId20"/>
                    <a:stretch>
                      <a:fillRect/>
                    </a:stretch>
                  </pic:blipFill>
                  <pic:spPr>
                    <a:xfrm>
                      <a:off x="0" y="0"/>
                      <a:ext cx="3780678" cy="2156615"/>
                    </a:xfrm>
                    <a:prstGeom prst="rect">
                      <a:avLst/>
                    </a:prstGeom>
                  </pic:spPr>
                </pic:pic>
              </a:graphicData>
            </a:graphic>
          </wp:inline>
        </w:drawing>
      </w:r>
    </w:p>
    <w:p w14:paraId="6511706C" w14:textId="0F8A6E89" w:rsidR="009C2AC1" w:rsidRPr="00D8067B" w:rsidRDefault="00D8067B" w:rsidP="00D8067B">
      <w:pPr>
        <w:jc w:val="center"/>
        <w:rPr>
          <w:rFonts w:hint="eastAsia"/>
          <w:sz w:val="20"/>
          <w:szCs w:val="20"/>
        </w:rPr>
      </w:pPr>
      <w:r w:rsidRPr="00D8067B">
        <w:rPr>
          <w:rFonts w:hint="eastAsia"/>
          <w:sz w:val="20"/>
          <w:szCs w:val="20"/>
        </w:rPr>
        <w:t>Figure 4.2.1 Results of ADF tests</w:t>
      </w:r>
    </w:p>
    <w:p w14:paraId="3634C6C6" w14:textId="2079C6F4" w:rsidR="00B36B4D" w:rsidRDefault="00D8067B" w:rsidP="00A1705A">
      <w:pPr>
        <w:rPr>
          <w:rFonts w:hint="eastAsia"/>
          <w:szCs w:val="22"/>
        </w:rPr>
      </w:pPr>
      <w:r>
        <w:rPr>
          <w:rFonts w:hint="eastAsia"/>
          <w:szCs w:val="22"/>
        </w:rPr>
        <w:t>For gold price in levels</w:t>
      </w:r>
      <w:r w:rsidR="00734C7D">
        <w:rPr>
          <w:rFonts w:hint="eastAsia"/>
          <w:szCs w:val="22"/>
        </w:rPr>
        <w:t xml:space="preserve">, </w:t>
      </w:r>
      <w:r w:rsidR="00734C7D" w:rsidRPr="00734C7D">
        <w:rPr>
          <w:szCs w:val="22"/>
        </w:rPr>
        <w:t>the ADF statistics are insignificant across all specifications (p-</w:t>
      </w:r>
      <w:r w:rsidR="00734C7D" w:rsidRPr="00734C7D">
        <w:rPr>
          <w:szCs w:val="22"/>
        </w:rPr>
        <w:lastRenderedPageBreak/>
        <w:t>values = 1.000), indicating failure to reject the null hypothesis of a unit root. However, the first-differenced series strongly rejects the null hypothesis at the 1% level.</w:t>
      </w:r>
      <w:r w:rsidR="00EF21FB">
        <w:rPr>
          <w:rFonts w:hint="eastAsia"/>
          <w:szCs w:val="22"/>
        </w:rPr>
        <w:t xml:space="preserve"> </w:t>
      </w:r>
      <w:r w:rsidR="00EF21FB" w:rsidRPr="00EF21FB">
        <w:rPr>
          <w:szCs w:val="22"/>
        </w:rPr>
        <w:t>Therefore, gold prices are concluded to be integrated of order one,</w:t>
      </w:r>
      <w:r w:rsidR="000616C7">
        <w:rPr>
          <w:rFonts w:hint="eastAsia"/>
          <w:szCs w:val="22"/>
        </w:rPr>
        <w:t xml:space="preserve"> </w:t>
      </w:r>
      <w:r w:rsidR="00EF21FB" w:rsidRPr="00EF21FB">
        <w:rPr>
          <w:szCs w:val="22"/>
        </w:rPr>
        <w:t>I(1)</w:t>
      </w:r>
      <w:r w:rsidR="00EF21FB">
        <w:rPr>
          <w:rFonts w:hint="eastAsia"/>
          <w:szCs w:val="22"/>
        </w:rPr>
        <w:t>.</w:t>
      </w:r>
    </w:p>
    <w:p w14:paraId="06949231" w14:textId="06250452" w:rsidR="009C2AC1" w:rsidRDefault="00734C7D" w:rsidP="00A1705A">
      <w:pPr>
        <w:rPr>
          <w:rFonts w:hint="eastAsia"/>
          <w:szCs w:val="22"/>
        </w:rPr>
      </w:pPr>
      <w:r>
        <w:rPr>
          <w:rFonts w:hint="eastAsia"/>
          <w:szCs w:val="22"/>
        </w:rPr>
        <w:t xml:space="preserve">Focusing back to DXY, </w:t>
      </w:r>
      <w:r w:rsidR="00EF21FB">
        <w:rPr>
          <w:rFonts w:hint="eastAsia"/>
          <w:szCs w:val="22"/>
        </w:rPr>
        <w:t>the null hypothesis is rejected</w:t>
      </w:r>
      <w:r w:rsidR="009923F3">
        <w:rPr>
          <w:rFonts w:hint="eastAsia"/>
          <w:szCs w:val="22"/>
        </w:rPr>
        <w:t xml:space="preserve"> as the specification without the constant is not economically </w:t>
      </w:r>
      <w:r w:rsidR="009923F3">
        <w:rPr>
          <w:szCs w:val="22"/>
        </w:rPr>
        <w:t>meaningful</w:t>
      </w:r>
      <w:r w:rsidR="009923F3">
        <w:rPr>
          <w:rFonts w:hint="eastAsia"/>
          <w:szCs w:val="22"/>
        </w:rPr>
        <w:t>, so it is considered ineffective whereas the specifications with a constant (and linear trend) are rejected at 5% significance level.</w:t>
      </w:r>
      <w:r w:rsidR="008A5376">
        <w:rPr>
          <w:rFonts w:hint="eastAsia"/>
          <w:szCs w:val="22"/>
        </w:rPr>
        <w:t xml:space="preserve"> In other words, the level series is stationary </w:t>
      </w:r>
      <w:r w:rsidR="008A5376">
        <w:rPr>
          <w:szCs w:val="22"/>
        </w:rPr>
        <w:t>or</w:t>
      </w:r>
      <w:r w:rsidR="008A5376">
        <w:rPr>
          <w:rFonts w:hint="eastAsia"/>
          <w:szCs w:val="22"/>
        </w:rPr>
        <w:t xml:space="preserve"> weakly </w:t>
      </w:r>
      <w:r w:rsidR="00A67E93">
        <w:rPr>
          <w:szCs w:val="22"/>
        </w:rPr>
        <w:t>trend stationary</w:t>
      </w:r>
      <w:r w:rsidR="000616C7">
        <w:rPr>
          <w:rFonts w:hint="eastAsia"/>
          <w:szCs w:val="22"/>
        </w:rPr>
        <w:t xml:space="preserve"> so we consider it as I(0)</w:t>
      </w:r>
      <w:r w:rsidR="008A5376">
        <w:rPr>
          <w:rFonts w:hint="eastAsia"/>
          <w:szCs w:val="22"/>
        </w:rPr>
        <w:t>.</w:t>
      </w:r>
      <w:r w:rsidR="009923F3">
        <w:rPr>
          <w:rFonts w:hint="eastAsia"/>
          <w:szCs w:val="22"/>
        </w:rPr>
        <w:t xml:space="preserve"> An</w:t>
      </w:r>
      <w:r w:rsidR="008E5C25">
        <w:rPr>
          <w:rFonts w:hint="eastAsia"/>
          <w:szCs w:val="22"/>
        </w:rPr>
        <w:t>d</w:t>
      </w:r>
      <w:r w:rsidR="00DC3A8F">
        <w:rPr>
          <w:rFonts w:hint="eastAsia"/>
          <w:szCs w:val="22"/>
        </w:rPr>
        <w:t xml:space="preserve"> the first</w:t>
      </w:r>
      <w:r w:rsidR="008A5376">
        <w:rPr>
          <w:rFonts w:hint="eastAsia"/>
          <w:szCs w:val="22"/>
        </w:rPr>
        <w:t>-</w:t>
      </w:r>
      <w:r w:rsidR="00DC3A8F">
        <w:rPr>
          <w:rFonts w:hint="eastAsia"/>
          <w:szCs w:val="22"/>
        </w:rPr>
        <w:t>differenced</w:t>
      </w:r>
      <w:r w:rsidR="008E5C25">
        <w:rPr>
          <w:rFonts w:hint="eastAsia"/>
          <w:szCs w:val="22"/>
        </w:rPr>
        <w:t xml:space="preserve"> </w:t>
      </w:r>
      <w:r w:rsidR="008A5376">
        <w:rPr>
          <w:rFonts w:hint="eastAsia"/>
          <w:szCs w:val="22"/>
        </w:rPr>
        <w:t xml:space="preserve">series is stationary as </w:t>
      </w:r>
      <w:r w:rsidR="008A5376">
        <w:rPr>
          <w:szCs w:val="22"/>
        </w:rPr>
        <w:t>expected.</w:t>
      </w:r>
    </w:p>
    <w:p w14:paraId="06885A4E" w14:textId="04F26A74" w:rsidR="00B36B4D" w:rsidRPr="00B36B4D" w:rsidRDefault="00B36B4D" w:rsidP="00A1705A">
      <w:pPr>
        <w:rPr>
          <w:rFonts w:hint="eastAsia"/>
          <w:szCs w:val="22"/>
        </w:rPr>
      </w:pPr>
      <w:r>
        <w:rPr>
          <w:rFonts w:hint="eastAsia"/>
          <w:szCs w:val="22"/>
        </w:rPr>
        <w:t>The stationarities of these series are strongly aligned with the basic statistical properties in section 4.1.</w:t>
      </w:r>
    </w:p>
    <w:p w14:paraId="16744682" w14:textId="4924F865" w:rsidR="009C2AC1" w:rsidRDefault="00B36B4D" w:rsidP="00A1705A">
      <w:pPr>
        <w:rPr>
          <w:rFonts w:hint="eastAsia"/>
          <w:szCs w:val="22"/>
        </w:rPr>
      </w:pPr>
      <w:r w:rsidRPr="00B36B4D">
        <w:rPr>
          <w:szCs w:val="22"/>
        </w:rPr>
        <w:t>Rolling Pearson correlation is employed to ex</w:t>
      </w:r>
      <w:r>
        <w:rPr>
          <w:rFonts w:hint="eastAsia"/>
          <w:szCs w:val="22"/>
        </w:rPr>
        <w:t>plore</w:t>
      </w:r>
      <w:r w:rsidRPr="00B36B4D">
        <w:rPr>
          <w:szCs w:val="22"/>
        </w:rPr>
        <w:t xml:space="preserve"> the time-varying linear association between gold prices and DXY.</w:t>
      </w:r>
      <w:r>
        <w:rPr>
          <w:rFonts w:hint="eastAsia"/>
          <w:szCs w:val="22"/>
        </w:rPr>
        <w:t xml:space="preserve"> Meanwhile,</w:t>
      </w:r>
      <w:r w:rsidRPr="00B36B4D">
        <w:rPr>
          <w:szCs w:val="22"/>
        </w:rPr>
        <w:t xml:space="preserve"> the method does not require strict stationarity, results based on level data are interpreted with caution due to potential persistence in the gold price series.</w:t>
      </w:r>
    </w:p>
    <w:p w14:paraId="5D8A6ECD" w14:textId="6270AFE2" w:rsidR="00B36B4D" w:rsidRDefault="00B36B4D" w:rsidP="00A1705A">
      <w:pPr>
        <w:rPr>
          <w:rFonts w:hint="eastAsia"/>
          <w:szCs w:val="22"/>
        </w:rPr>
      </w:pPr>
      <w:r>
        <w:rPr>
          <w:rFonts w:hint="eastAsia"/>
          <w:szCs w:val="22"/>
        </w:rPr>
        <w:t>And VAR</w:t>
      </w:r>
      <w:r w:rsidR="009E6779">
        <w:rPr>
          <w:rFonts w:hint="eastAsia"/>
          <w:szCs w:val="22"/>
        </w:rPr>
        <w:t xml:space="preserve"> is chosen</w:t>
      </w:r>
      <w:r>
        <w:rPr>
          <w:rFonts w:hint="eastAsia"/>
          <w:szCs w:val="22"/>
        </w:rPr>
        <w:t xml:space="preserve"> instead of VECM as argued in section 3.</w:t>
      </w:r>
    </w:p>
    <w:p w14:paraId="6E5DC5CE" w14:textId="77777777" w:rsidR="009C2AC1" w:rsidRDefault="009C2AC1" w:rsidP="00A1705A">
      <w:pPr>
        <w:rPr>
          <w:rFonts w:hint="eastAsia"/>
          <w:szCs w:val="22"/>
        </w:rPr>
      </w:pPr>
    </w:p>
    <w:p w14:paraId="51F9C8BD" w14:textId="1F4C4050" w:rsidR="00B36B4D" w:rsidRPr="00D64C58" w:rsidRDefault="00B36B4D" w:rsidP="00D64C58">
      <w:pPr>
        <w:pStyle w:val="a9"/>
        <w:numPr>
          <w:ilvl w:val="1"/>
          <w:numId w:val="1"/>
        </w:numPr>
        <w:rPr>
          <w:rFonts w:hint="eastAsia"/>
          <w:szCs w:val="22"/>
        </w:rPr>
      </w:pPr>
      <w:r w:rsidRPr="00D64C58">
        <w:rPr>
          <w:rFonts w:hint="eastAsia"/>
          <w:szCs w:val="22"/>
        </w:rPr>
        <w:t>Rolling Pearson Correlation</w:t>
      </w:r>
    </w:p>
    <w:p w14:paraId="55C23413" w14:textId="6F7EA41C" w:rsidR="009C2AC1" w:rsidRDefault="000B4237" w:rsidP="00A1705A">
      <w:pPr>
        <w:rPr>
          <w:rFonts w:hint="eastAsia"/>
          <w:szCs w:val="22"/>
        </w:rPr>
      </w:pPr>
      <w:r>
        <w:rPr>
          <w:rFonts w:hint="eastAsia"/>
          <w:szCs w:val="22"/>
        </w:rPr>
        <w:t xml:space="preserve">The results generated by coding are displayed in </w:t>
      </w:r>
      <w:r w:rsidR="00D25962">
        <w:rPr>
          <w:rFonts w:hint="eastAsia"/>
          <w:szCs w:val="22"/>
        </w:rPr>
        <w:t>Figure 4.3.1.</w:t>
      </w:r>
    </w:p>
    <w:p w14:paraId="054ED494" w14:textId="77777777" w:rsidR="00B36B4D" w:rsidRDefault="00B36B4D" w:rsidP="00A1705A">
      <w:pPr>
        <w:rPr>
          <w:rFonts w:hint="eastAsia"/>
          <w:szCs w:val="22"/>
        </w:rPr>
      </w:pPr>
    </w:p>
    <w:p w14:paraId="2ECC7EF9" w14:textId="69F4B721" w:rsidR="00B36B4D" w:rsidRPr="009E52D4" w:rsidRDefault="0012188F" w:rsidP="00A1705A">
      <w:pPr>
        <w:rPr>
          <w:rFonts w:hint="eastAsia"/>
          <w:szCs w:val="22"/>
        </w:rPr>
      </w:pPr>
      <w:commentRangeStart w:id="10"/>
      <w:r>
        <w:rPr>
          <w:rFonts w:hint="eastAsia"/>
          <w:noProof/>
          <w:szCs w:val="22"/>
        </w:rPr>
        <w:lastRenderedPageBreak/>
        <w:drawing>
          <wp:inline distT="0" distB="0" distL="0" distR="0" wp14:anchorId="712B9CF3" wp14:editId="6C2264F2">
            <wp:extent cx="5263515" cy="8229600"/>
            <wp:effectExtent l="0" t="0" r="0" b="0"/>
            <wp:docPr id="941098453"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263515" cy="8229600"/>
                    </a:xfrm>
                    <a:prstGeom prst="rect">
                      <a:avLst/>
                    </a:prstGeom>
                    <a:noFill/>
                    <a:ln>
                      <a:noFill/>
                    </a:ln>
                  </pic:spPr>
                </pic:pic>
              </a:graphicData>
            </a:graphic>
          </wp:inline>
        </w:drawing>
      </w:r>
      <w:commentRangeEnd w:id="10"/>
      <w:r w:rsidR="00C826A8" w:rsidRPr="009E52D4">
        <w:rPr>
          <w:rStyle w:val="af7"/>
          <w:rFonts w:hint="eastAsia"/>
          <w:sz w:val="22"/>
          <w:szCs w:val="22"/>
        </w:rPr>
        <w:commentReference w:id="10"/>
      </w:r>
    </w:p>
    <w:p w14:paraId="235F9C1E" w14:textId="7156968E" w:rsidR="00B36B4D" w:rsidRPr="000B4237" w:rsidRDefault="000B4237" w:rsidP="000B4237">
      <w:pPr>
        <w:jc w:val="center"/>
        <w:rPr>
          <w:rFonts w:hint="eastAsia"/>
          <w:sz w:val="20"/>
          <w:szCs w:val="20"/>
        </w:rPr>
      </w:pPr>
      <w:r>
        <w:rPr>
          <w:rFonts w:hint="eastAsia"/>
          <w:sz w:val="20"/>
          <w:szCs w:val="20"/>
        </w:rPr>
        <w:t>Figure 4.3.1 Results of Rolling Pearson Correlation</w:t>
      </w:r>
    </w:p>
    <w:p w14:paraId="53E8574C" w14:textId="77777777" w:rsidR="006C4EF8" w:rsidRDefault="00D25962" w:rsidP="00A1705A">
      <w:pPr>
        <w:rPr>
          <w:rFonts w:hint="eastAsia"/>
          <w:szCs w:val="22"/>
        </w:rPr>
      </w:pPr>
      <w:r>
        <w:rPr>
          <w:rFonts w:hint="eastAsia"/>
          <w:szCs w:val="22"/>
        </w:rPr>
        <w:lastRenderedPageBreak/>
        <w:t xml:space="preserve">Looking at the mean values, they are all negative, verifying a relatively weak negative correlation between gold price and DXY index. </w:t>
      </w:r>
    </w:p>
    <w:p w14:paraId="6289D871" w14:textId="4B46AE5B" w:rsidR="006C4EF8" w:rsidRDefault="00D25962" w:rsidP="00A1705A">
      <w:pPr>
        <w:rPr>
          <w:rFonts w:hint="eastAsia"/>
          <w:szCs w:val="22"/>
        </w:rPr>
      </w:pPr>
      <w:r>
        <w:rPr>
          <w:rFonts w:hint="eastAsia"/>
          <w:szCs w:val="22"/>
        </w:rPr>
        <w:t xml:space="preserve">Then, focusing on the graphs, it is spotted that </w:t>
      </w:r>
      <w:r w:rsidR="004A1200">
        <w:rPr>
          <w:rFonts w:hint="eastAsia"/>
          <w:szCs w:val="22"/>
        </w:rPr>
        <w:t xml:space="preserve">in </w:t>
      </w:r>
      <w:r>
        <w:rPr>
          <w:rFonts w:hint="eastAsia"/>
          <w:szCs w:val="22"/>
        </w:rPr>
        <w:t>all the graphs</w:t>
      </w:r>
      <w:r w:rsidR="004A1200">
        <w:rPr>
          <w:rFonts w:hint="eastAsia"/>
          <w:szCs w:val="22"/>
        </w:rPr>
        <w:t xml:space="preserve"> of level data, their figures fluctuate very violently between </w:t>
      </w:r>
      <w:r w:rsidR="006C4EF8">
        <w:rPr>
          <w:rFonts w:hint="eastAsia"/>
          <w:szCs w:val="22"/>
        </w:rPr>
        <w:t xml:space="preserve">the </w:t>
      </w:r>
      <w:r w:rsidR="004A1200">
        <w:rPr>
          <w:rFonts w:hint="eastAsia"/>
          <w:szCs w:val="22"/>
        </w:rPr>
        <w:t xml:space="preserve">positive </w:t>
      </w:r>
      <w:r w:rsidR="006C4EF8">
        <w:rPr>
          <w:szCs w:val="22"/>
        </w:rPr>
        <w:t>part</w:t>
      </w:r>
      <w:r w:rsidR="004A1200">
        <w:rPr>
          <w:rFonts w:hint="eastAsia"/>
          <w:szCs w:val="22"/>
        </w:rPr>
        <w:t xml:space="preserve"> and </w:t>
      </w:r>
      <w:r w:rsidR="006C4EF8">
        <w:rPr>
          <w:rFonts w:hint="eastAsia"/>
          <w:szCs w:val="22"/>
        </w:rPr>
        <w:t xml:space="preserve">the </w:t>
      </w:r>
      <w:r w:rsidR="004A1200">
        <w:rPr>
          <w:rFonts w:hint="eastAsia"/>
          <w:szCs w:val="22"/>
        </w:rPr>
        <w:t>negative part, despite the phenomenon that</w:t>
      </w:r>
      <w:r w:rsidR="006C4EF8">
        <w:rPr>
          <w:rFonts w:hint="eastAsia"/>
          <w:szCs w:val="22"/>
        </w:rPr>
        <w:t xml:space="preserve"> in the same time span,</w:t>
      </w:r>
      <w:r w:rsidR="004A1200">
        <w:rPr>
          <w:rFonts w:hint="eastAsia"/>
          <w:szCs w:val="22"/>
        </w:rPr>
        <w:t xml:space="preserve"> as the length of the window shrinks, the figure alters more</w:t>
      </w:r>
      <w:r w:rsidR="006C4EF8">
        <w:rPr>
          <w:rFonts w:hint="eastAsia"/>
          <w:szCs w:val="22"/>
        </w:rPr>
        <w:t xml:space="preserve"> sharply. Moreover, </w:t>
      </w:r>
      <w:r w:rsidR="00694DA0">
        <w:rPr>
          <w:szCs w:val="22"/>
        </w:rPr>
        <w:t>these finding</w:t>
      </w:r>
      <w:r w:rsidR="00694DA0">
        <w:rPr>
          <w:rFonts w:hint="eastAsia"/>
          <w:szCs w:val="22"/>
        </w:rPr>
        <w:t>s</w:t>
      </w:r>
      <w:r w:rsidR="006C4EF8">
        <w:rPr>
          <w:rFonts w:hint="eastAsia"/>
          <w:szCs w:val="22"/>
        </w:rPr>
        <w:t xml:space="preserve"> </w:t>
      </w:r>
      <w:r w:rsidR="00694DA0">
        <w:rPr>
          <w:rFonts w:hint="eastAsia"/>
          <w:szCs w:val="22"/>
        </w:rPr>
        <w:t>epitomize</w:t>
      </w:r>
      <w:r w:rsidR="000616C7">
        <w:rPr>
          <w:rFonts w:hint="eastAsia"/>
          <w:szCs w:val="22"/>
        </w:rPr>
        <w:t xml:space="preserve"> the previous ADF test results </w:t>
      </w:r>
      <w:r w:rsidR="006C4EF8">
        <w:rPr>
          <w:rFonts w:hint="eastAsia"/>
          <w:szCs w:val="22"/>
        </w:rPr>
        <w:t>that the level data of gold price is non-stationary (integrated of order 1).</w:t>
      </w:r>
    </w:p>
    <w:p w14:paraId="56D6522C" w14:textId="2A40A0A5" w:rsidR="00772104" w:rsidRDefault="006C4EF8" w:rsidP="00A1705A">
      <w:pPr>
        <w:rPr>
          <w:rFonts w:hint="eastAsia"/>
          <w:szCs w:val="22"/>
        </w:rPr>
      </w:pPr>
      <w:r>
        <w:rPr>
          <w:rFonts w:hint="eastAsia"/>
          <w:szCs w:val="22"/>
        </w:rPr>
        <w:t>By contrast, for the fi</w:t>
      </w:r>
      <w:r w:rsidR="000616C7">
        <w:rPr>
          <w:rFonts w:hint="eastAsia"/>
          <w:szCs w:val="22"/>
        </w:rPr>
        <w:t xml:space="preserve">gure of </w:t>
      </w:r>
      <w:r w:rsidR="006F35C5">
        <w:rPr>
          <w:rFonts w:hint="eastAsia"/>
          <w:szCs w:val="22"/>
        </w:rPr>
        <w:t xml:space="preserve">data after taking </w:t>
      </w:r>
      <w:r w:rsidR="006F35C5">
        <w:rPr>
          <w:szCs w:val="22"/>
        </w:rPr>
        <w:t>logarithmic</w:t>
      </w:r>
      <w:r w:rsidR="006F35C5">
        <w:rPr>
          <w:rFonts w:hint="eastAsia"/>
          <w:szCs w:val="22"/>
        </w:rPr>
        <w:t xml:space="preserve"> return, the rolling Pearson correlation coefficient varies more smoothly. </w:t>
      </w:r>
      <w:r w:rsidR="006F35C5">
        <w:rPr>
          <w:szCs w:val="22"/>
        </w:rPr>
        <w:t>Analogously</w:t>
      </w:r>
      <w:r w:rsidR="006F35C5">
        <w:rPr>
          <w:rFonts w:hint="eastAsia"/>
          <w:szCs w:val="22"/>
        </w:rPr>
        <w:t xml:space="preserve">, if fixing the time span, when the window length increases, the variation is less significant, with positive values appearing less frequently. However, while fixing the window length, the coefficients show similar </w:t>
      </w:r>
      <w:r w:rsidR="00694DA0">
        <w:rPr>
          <w:szCs w:val="22"/>
        </w:rPr>
        <w:t>pattern</w:t>
      </w:r>
      <w:r w:rsidR="00694DA0">
        <w:rPr>
          <w:rFonts w:hint="eastAsia"/>
          <w:szCs w:val="22"/>
        </w:rPr>
        <w:t>s</w:t>
      </w:r>
      <w:r w:rsidR="006F35C5">
        <w:rPr>
          <w:rFonts w:hint="eastAsia"/>
          <w:szCs w:val="22"/>
        </w:rPr>
        <w:t xml:space="preserve"> of great soars and plummets across different time </w:t>
      </w:r>
      <w:r w:rsidR="00694DA0">
        <w:rPr>
          <w:szCs w:val="22"/>
        </w:rPr>
        <w:t>span</w:t>
      </w:r>
      <w:r w:rsidR="00694DA0">
        <w:rPr>
          <w:rFonts w:hint="eastAsia"/>
          <w:szCs w:val="22"/>
        </w:rPr>
        <w:t>s</w:t>
      </w:r>
      <w:r w:rsidR="006F35C5">
        <w:rPr>
          <w:rFonts w:hint="eastAsia"/>
          <w:szCs w:val="22"/>
        </w:rPr>
        <w:t xml:space="preserve"> in the level data, the figures for logarithmic return </w:t>
      </w:r>
      <w:r w:rsidR="00694DA0">
        <w:rPr>
          <w:szCs w:val="22"/>
        </w:rPr>
        <w:t>reflect</w:t>
      </w:r>
      <w:r w:rsidR="00694DA0">
        <w:rPr>
          <w:rFonts w:hint="eastAsia"/>
          <w:szCs w:val="22"/>
        </w:rPr>
        <w:t xml:space="preserve"> greater variation during 1985-2007, medium level of variation during 2008-2019 and steadier variation during 2020-2025, with positive values appearing in a descending frequency order. In other words, </w:t>
      </w:r>
      <w:r w:rsidR="00772104">
        <w:rPr>
          <w:rFonts w:hint="eastAsia"/>
          <w:szCs w:val="22"/>
        </w:rPr>
        <w:t xml:space="preserve">in terms of short-run </w:t>
      </w:r>
      <w:r w:rsidR="00F74A1E">
        <w:rPr>
          <w:szCs w:val="22"/>
        </w:rPr>
        <w:t>relationship</w:t>
      </w:r>
      <w:r w:rsidR="00F74A1E">
        <w:rPr>
          <w:rFonts w:hint="eastAsia"/>
          <w:szCs w:val="22"/>
        </w:rPr>
        <w:t>s</w:t>
      </w:r>
      <w:r w:rsidR="00772104">
        <w:rPr>
          <w:rFonts w:hint="eastAsia"/>
          <w:szCs w:val="22"/>
        </w:rPr>
        <w:t xml:space="preserve">, </w:t>
      </w:r>
      <w:r w:rsidR="00694DA0">
        <w:rPr>
          <w:rFonts w:hint="eastAsia"/>
          <w:szCs w:val="22"/>
        </w:rPr>
        <w:t xml:space="preserve">as the time </w:t>
      </w:r>
      <w:r w:rsidR="00772104">
        <w:rPr>
          <w:rFonts w:hint="eastAsia"/>
          <w:szCs w:val="22"/>
        </w:rPr>
        <w:t xml:space="preserve">length for </w:t>
      </w:r>
      <w:r w:rsidR="00694DA0">
        <w:rPr>
          <w:rFonts w:hint="eastAsia"/>
          <w:szCs w:val="22"/>
        </w:rPr>
        <w:t>observation</w:t>
      </w:r>
      <w:r w:rsidR="00772104">
        <w:rPr>
          <w:rFonts w:hint="eastAsia"/>
          <w:szCs w:val="22"/>
        </w:rPr>
        <w:t xml:space="preserve"> increases, the negative correlation between gold price and DXY becomes more stable and, as the time move forward, the negative correlation bond between them becomes tighter.</w:t>
      </w:r>
    </w:p>
    <w:p w14:paraId="18B45A0E" w14:textId="77777777" w:rsidR="00F74A1E" w:rsidRDefault="00F74A1E" w:rsidP="00A1705A">
      <w:pPr>
        <w:rPr>
          <w:rFonts w:hint="eastAsia"/>
          <w:szCs w:val="22"/>
        </w:rPr>
      </w:pPr>
    </w:p>
    <w:p w14:paraId="4B02D98C" w14:textId="4ECE6E6B" w:rsidR="00F74A1E" w:rsidRDefault="00F74A1E" w:rsidP="00A1705A">
      <w:pPr>
        <w:rPr>
          <w:rFonts w:hint="eastAsia"/>
          <w:szCs w:val="22"/>
        </w:rPr>
      </w:pPr>
      <w:r>
        <w:rPr>
          <w:rFonts w:hint="eastAsia"/>
          <w:szCs w:val="22"/>
        </w:rPr>
        <w:t xml:space="preserve">4.4 </w:t>
      </w:r>
      <w:bookmarkStart w:id="11" w:name="OLE_LINK12"/>
      <w:r w:rsidRPr="00D524ED">
        <w:rPr>
          <w:szCs w:val="22"/>
        </w:rPr>
        <w:t>Vector Autoregression</w:t>
      </w:r>
      <w:r>
        <w:rPr>
          <w:rFonts w:hint="eastAsia"/>
          <w:szCs w:val="22"/>
        </w:rPr>
        <w:t xml:space="preserve"> Model (VAR)</w:t>
      </w:r>
      <w:bookmarkEnd w:id="11"/>
    </w:p>
    <w:p w14:paraId="6555B888" w14:textId="3C8788BD" w:rsidR="001A595D" w:rsidRDefault="001A595D" w:rsidP="00A1705A">
      <w:pPr>
        <w:rPr>
          <w:rFonts w:hint="eastAsia"/>
          <w:szCs w:val="22"/>
        </w:rPr>
      </w:pPr>
      <w:r w:rsidRPr="001A595D">
        <w:rPr>
          <w:szCs w:val="22"/>
        </w:rPr>
        <w:t xml:space="preserve">To examine the dynamic interactions between gold returns and DXY returns, a VAR model is estimated using stationary return series. </w:t>
      </w:r>
      <w:commentRangeStart w:id="12"/>
      <w:r w:rsidRPr="001A595D">
        <w:rPr>
          <w:szCs w:val="22"/>
        </w:rPr>
        <w:t>The optimal lag length is selected based on the Akaike Information Criterion (AIC)</w:t>
      </w:r>
      <w:commentRangeEnd w:id="12"/>
      <w:r w:rsidR="00F658B3" w:rsidRPr="001A595D">
        <w:rPr>
          <w:rStyle w:val="af7"/>
          <w:sz w:val="22"/>
          <w:szCs w:val="22"/>
        </w:rPr>
        <w:commentReference w:id="12"/>
      </w:r>
      <w:r w:rsidRPr="001A595D">
        <w:rPr>
          <w:szCs w:val="22"/>
        </w:rPr>
        <w:t xml:space="preserve">, resulting in a lag order of </w:t>
      </w:r>
      <m:oMath>
        <m:r>
          <w:rPr>
            <w:rFonts w:ascii="Cambria Math" w:hAnsi="Cambria Math"/>
            <w:szCs w:val="22"/>
          </w:rPr>
          <m:t>p=[X]</m:t>
        </m:r>
      </m:oMath>
      <w:r w:rsidRPr="001A595D">
        <w:rPr>
          <w:szCs w:val="22"/>
        </w:rPr>
        <w:t>.</w:t>
      </w:r>
      <w:r>
        <w:rPr>
          <w:rFonts w:hint="eastAsia"/>
          <w:szCs w:val="22"/>
        </w:rPr>
        <w:t xml:space="preserve"> We apply the series of 1985-2007, 2008-2019, 2020-2025 and a newly added time range 1985-2025 as</w:t>
      </w:r>
      <w:r w:rsidR="00F210B1">
        <w:rPr>
          <w:rFonts w:hint="eastAsia"/>
          <w:szCs w:val="22"/>
        </w:rPr>
        <w:t xml:space="preserve"> the full sample overview</w:t>
      </w:r>
      <w:r>
        <w:rPr>
          <w:rFonts w:hint="eastAsia"/>
          <w:szCs w:val="22"/>
        </w:rPr>
        <w:t>.</w:t>
      </w:r>
      <w:r w:rsidR="00B940B5">
        <w:rPr>
          <w:rFonts w:hint="eastAsia"/>
          <w:szCs w:val="22"/>
        </w:rPr>
        <w:t xml:space="preserve"> Numerical results are shown in Figure 4.4.1</w:t>
      </w:r>
      <w:r w:rsidR="008B7F33">
        <w:rPr>
          <w:rFonts w:hint="eastAsia"/>
          <w:szCs w:val="22"/>
        </w:rPr>
        <w:t>.</w:t>
      </w:r>
    </w:p>
    <w:p w14:paraId="38B5CD01" w14:textId="77777777" w:rsidR="00762B76" w:rsidRDefault="00762B76" w:rsidP="00A1705A">
      <w:pPr>
        <w:rPr>
          <w:rFonts w:hint="eastAsia"/>
          <w:szCs w:val="22"/>
        </w:rPr>
      </w:pPr>
    </w:p>
    <w:p w14:paraId="0A73BE1E" w14:textId="77777777" w:rsidR="00B74E9B" w:rsidRDefault="00B74E9B" w:rsidP="00A1705A">
      <w:pPr>
        <w:rPr>
          <w:rFonts w:hint="eastAsia"/>
          <w:szCs w:val="22"/>
        </w:rPr>
      </w:pPr>
    </w:p>
    <w:p w14:paraId="568BCC5C" w14:textId="77777777" w:rsidR="00D64C58" w:rsidRDefault="00D64C58" w:rsidP="00A1705A">
      <w:pPr>
        <w:rPr>
          <w:rFonts w:hint="eastAsia"/>
          <w:szCs w:val="22"/>
        </w:rPr>
      </w:pPr>
    </w:p>
    <w:p w14:paraId="499F4D9C" w14:textId="77777777" w:rsidR="00D64C58" w:rsidRDefault="00D64C58" w:rsidP="00A1705A">
      <w:pPr>
        <w:rPr>
          <w:rFonts w:hint="eastAsia"/>
          <w:szCs w:val="22"/>
        </w:rPr>
      </w:pPr>
    </w:p>
    <w:p w14:paraId="348CFD5E" w14:textId="77777777" w:rsidR="00D64C58" w:rsidRDefault="00D64C58" w:rsidP="00A1705A">
      <w:pPr>
        <w:rPr>
          <w:rFonts w:hint="eastAsia"/>
          <w:szCs w:val="22"/>
        </w:rPr>
      </w:pPr>
    </w:p>
    <w:p w14:paraId="0D78D009" w14:textId="77777777" w:rsidR="00D64C58" w:rsidRDefault="00D64C58" w:rsidP="00A1705A">
      <w:pPr>
        <w:rPr>
          <w:rFonts w:hint="eastAsia"/>
          <w:szCs w:val="22"/>
        </w:rPr>
      </w:pPr>
    </w:p>
    <w:p w14:paraId="7E0933EE" w14:textId="77777777" w:rsidR="00D64C58" w:rsidRDefault="00D64C58" w:rsidP="00A1705A">
      <w:pPr>
        <w:rPr>
          <w:rFonts w:hint="eastAsia"/>
          <w:szCs w:val="22"/>
        </w:rPr>
      </w:pPr>
    </w:p>
    <w:p w14:paraId="0FE1862F" w14:textId="6ED1B492" w:rsidR="00762B76" w:rsidRDefault="00762B76" w:rsidP="00A1705A">
      <w:pPr>
        <w:rPr>
          <w:rFonts w:hint="eastAsia"/>
          <w:szCs w:val="22"/>
        </w:rPr>
      </w:pPr>
      <w:r>
        <w:rPr>
          <w:rFonts w:hint="eastAsia"/>
          <w:szCs w:val="22"/>
        </w:rPr>
        <w:lastRenderedPageBreak/>
        <w:t xml:space="preserve">4.4.1 </w:t>
      </w:r>
      <w:bookmarkStart w:id="13" w:name="OLE_LINK7"/>
      <w:commentRangeStart w:id="14"/>
      <w:r>
        <w:rPr>
          <w:rFonts w:hint="eastAsia"/>
          <w:szCs w:val="22"/>
        </w:rPr>
        <w:t>Granger Causality Test</w:t>
      </w:r>
      <w:bookmarkEnd w:id="13"/>
      <w:commentRangeEnd w:id="14"/>
      <w:r w:rsidR="003736EA">
        <w:rPr>
          <w:rStyle w:val="af7"/>
          <w:rFonts w:hint="eastAsia"/>
          <w:sz w:val="22"/>
          <w:szCs w:val="22"/>
        </w:rPr>
        <w:commentReference w:id="14"/>
      </w:r>
    </w:p>
    <w:p w14:paraId="5743E48A" w14:textId="3D5F5142" w:rsidR="00F74A1E" w:rsidRDefault="001A595D" w:rsidP="00B940B5">
      <w:pPr>
        <w:jc w:val="center"/>
        <w:rPr>
          <w:rFonts w:hint="eastAsia"/>
          <w:szCs w:val="22"/>
        </w:rPr>
      </w:pPr>
      <w:r>
        <w:rPr>
          <w:noProof/>
          <w:szCs w:val="22"/>
        </w:rPr>
        <w:drawing>
          <wp:inline distT="0" distB="0" distL="0" distR="0" wp14:anchorId="09C28ACF" wp14:editId="0C19C923">
            <wp:extent cx="4950764" cy="3564693"/>
            <wp:effectExtent l="0" t="0" r="2540" b="0"/>
            <wp:docPr id="1473263467"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973096" cy="3580773"/>
                    </a:xfrm>
                    <a:prstGeom prst="rect">
                      <a:avLst/>
                    </a:prstGeom>
                    <a:noFill/>
                    <a:ln>
                      <a:noFill/>
                    </a:ln>
                  </pic:spPr>
                </pic:pic>
              </a:graphicData>
            </a:graphic>
          </wp:inline>
        </w:drawing>
      </w:r>
    </w:p>
    <w:p w14:paraId="3156C242" w14:textId="0D0C6EFF" w:rsidR="00F74A1E" w:rsidRDefault="001A595D" w:rsidP="001A595D">
      <w:pPr>
        <w:jc w:val="center"/>
        <w:rPr>
          <w:rFonts w:hint="eastAsia"/>
          <w:sz w:val="20"/>
          <w:szCs w:val="20"/>
        </w:rPr>
      </w:pPr>
      <w:bookmarkStart w:id="15" w:name="OLE_LINK6"/>
      <w:r>
        <w:rPr>
          <w:rFonts w:hint="eastAsia"/>
          <w:sz w:val="20"/>
          <w:szCs w:val="20"/>
        </w:rPr>
        <w:t>Figure 4.4.1 Numerical Results for the</w:t>
      </w:r>
      <w:r w:rsidR="00762B76">
        <w:rPr>
          <w:rFonts w:hint="eastAsia"/>
          <w:sz w:val="20"/>
          <w:szCs w:val="20"/>
        </w:rPr>
        <w:t xml:space="preserve"> </w:t>
      </w:r>
      <w:r w:rsidR="00762B76">
        <w:rPr>
          <w:rFonts w:hint="eastAsia"/>
          <w:szCs w:val="22"/>
        </w:rPr>
        <w:t>Granger Causality Test</w:t>
      </w:r>
      <w:r>
        <w:rPr>
          <w:rFonts w:hint="eastAsia"/>
          <w:sz w:val="20"/>
          <w:szCs w:val="20"/>
        </w:rPr>
        <w:t>, 1985-2007 on the top left, 2008-2019 on the top right, 2020-2025 on the bottom left, 1985-2025 on the bottom right</w:t>
      </w:r>
    </w:p>
    <w:p w14:paraId="04A17975" w14:textId="62497929" w:rsidR="008B7F33" w:rsidRPr="008B7F33" w:rsidRDefault="004501F9" w:rsidP="008B7F33">
      <w:pPr>
        <w:rPr>
          <w:rFonts w:hint="eastAsia"/>
          <w:sz w:val="21"/>
          <w:szCs w:val="21"/>
        </w:rPr>
      </w:pPr>
      <w:r>
        <w:rPr>
          <w:rFonts w:hint="eastAsia"/>
          <w:sz w:val="21"/>
          <w:szCs w:val="21"/>
        </w:rPr>
        <w:t>Focusing on 1985-2007, applying 5% significance level</w:t>
      </w:r>
      <w:r w:rsidR="00B43B44">
        <w:rPr>
          <w:rFonts w:hint="eastAsia"/>
          <w:sz w:val="21"/>
          <w:szCs w:val="21"/>
        </w:rPr>
        <w:t xml:space="preserve"> (same for the following)</w:t>
      </w:r>
      <w:r>
        <w:rPr>
          <w:rFonts w:hint="eastAsia"/>
          <w:sz w:val="21"/>
          <w:szCs w:val="21"/>
        </w:rPr>
        <w:t xml:space="preserve">, it is found that the gold equation is </w:t>
      </w:r>
      <w:r w:rsidR="00B43B44">
        <w:rPr>
          <w:rFonts w:hint="eastAsia"/>
          <w:sz w:val="21"/>
          <w:szCs w:val="21"/>
        </w:rPr>
        <w:t xml:space="preserve">significant on the lag term for gold, indicating a short-term reversion of gold price. Conversely, all the </w:t>
      </w:r>
      <w:r w:rsidR="002A7239">
        <w:rPr>
          <w:rFonts w:hint="eastAsia"/>
          <w:sz w:val="21"/>
          <w:szCs w:val="21"/>
        </w:rPr>
        <w:t xml:space="preserve">lag </w:t>
      </w:r>
      <w:r w:rsidR="00B43B44">
        <w:rPr>
          <w:rFonts w:hint="eastAsia"/>
          <w:sz w:val="21"/>
          <w:szCs w:val="21"/>
        </w:rPr>
        <w:t xml:space="preserve">terms in the DXY equation are not significant. Combining the two equations, there is almost no predictive </w:t>
      </w:r>
      <w:r w:rsidR="00B43B44">
        <w:rPr>
          <w:sz w:val="21"/>
          <w:szCs w:val="21"/>
        </w:rPr>
        <w:t>spillover</w:t>
      </w:r>
      <w:r w:rsidR="00B43B44">
        <w:rPr>
          <w:rFonts w:hint="eastAsia"/>
          <w:sz w:val="21"/>
          <w:szCs w:val="21"/>
        </w:rPr>
        <w:t xml:space="preserve"> between the gold price </w:t>
      </w:r>
      <w:r w:rsidR="00F72465">
        <w:rPr>
          <w:rFonts w:hint="eastAsia"/>
          <w:sz w:val="21"/>
          <w:szCs w:val="21"/>
        </w:rPr>
        <w:t xml:space="preserve">returns </w:t>
      </w:r>
      <w:r w:rsidR="00B43B44">
        <w:rPr>
          <w:rFonts w:hint="eastAsia"/>
          <w:sz w:val="21"/>
          <w:szCs w:val="21"/>
        </w:rPr>
        <w:t>and DXY</w:t>
      </w:r>
      <w:r w:rsidR="00F72465">
        <w:rPr>
          <w:rFonts w:hint="eastAsia"/>
          <w:sz w:val="21"/>
          <w:szCs w:val="21"/>
        </w:rPr>
        <w:t xml:space="preserve"> returns</w:t>
      </w:r>
      <w:r w:rsidR="00B43B44">
        <w:rPr>
          <w:rFonts w:hint="eastAsia"/>
          <w:sz w:val="21"/>
          <w:szCs w:val="21"/>
        </w:rPr>
        <w:t>.</w:t>
      </w:r>
    </w:p>
    <w:p w14:paraId="20FBD1AA" w14:textId="22AABB7E" w:rsidR="008B7F33" w:rsidRDefault="00B43B44" w:rsidP="008B7F33">
      <w:pPr>
        <w:rPr>
          <w:rFonts w:hint="eastAsia"/>
          <w:sz w:val="21"/>
          <w:szCs w:val="21"/>
        </w:rPr>
      </w:pPr>
      <w:r>
        <w:rPr>
          <w:rFonts w:hint="eastAsia"/>
          <w:sz w:val="21"/>
          <w:szCs w:val="21"/>
        </w:rPr>
        <w:t>During the post-financial period 2008-20</w:t>
      </w:r>
      <w:r w:rsidR="00F72465">
        <w:rPr>
          <w:rFonts w:hint="eastAsia"/>
          <w:sz w:val="21"/>
          <w:szCs w:val="21"/>
        </w:rPr>
        <w:t>19</w:t>
      </w:r>
      <w:r>
        <w:rPr>
          <w:rFonts w:hint="eastAsia"/>
          <w:sz w:val="21"/>
          <w:szCs w:val="21"/>
        </w:rPr>
        <w:t xml:space="preserve">, </w:t>
      </w:r>
      <w:r w:rsidR="00F72465">
        <w:rPr>
          <w:rFonts w:hint="eastAsia"/>
          <w:sz w:val="21"/>
          <w:szCs w:val="21"/>
        </w:rPr>
        <w:t xml:space="preserve">it is observed that although the </w:t>
      </w:r>
      <w:r w:rsidR="003E3522">
        <w:rPr>
          <w:rFonts w:hint="eastAsia"/>
          <w:sz w:val="21"/>
          <w:szCs w:val="21"/>
        </w:rPr>
        <w:t xml:space="preserve">DXY </w:t>
      </w:r>
      <w:r w:rsidR="00F72465">
        <w:rPr>
          <w:rFonts w:hint="eastAsia"/>
          <w:sz w:val="21"/>
          <w:szCs w:val="21"/>
        </w:rPr>
        <w:t xml:space="preserve">returns do not Granger-cause the </w:t>
      </w:r>
      <w:r w:rsidR="003E3522">
        <w:rPr>
          <w:rFonts w:hint="eastAsia"/>
          <w:sz w:val="21"/>
          <w:szCs w:val="21"/>
        </w:rPr>
        <w:t>gold price</w:t>
      </w:r>
      <w:r w:rsidR="00F72465">
        <w:rPr>
          <w:rFonts w:hint="eastAsia"/>
          <w:sz w:val="21"/>
          <w:szCs w:val="21"/>
        </w:rPr>
        <w:t xml:space="preserve"> returns, the </w:t>
      </w:r>
      <w:r w:rsidR="003E3522">
        <w:rPr>
          <w:rFonts w:hint="eastAsia"/>
          <w:sz w:val="21"/>
          <w:szCs w:val="21"/>
        </w:rPr>
        <w:t>gold</w:t>
      </w:r>
      <w:r w:rsidR="00F72465">
        <w:rPr>
          <w:rFonts w:hint="eastAsia"/>
          <w:sz w:val="21"/>
          <w:szCs w:val="21"/>
        </w:rPr>
        <w:t xml:space="preserve"> returns do Granger-cause the </w:t>
      </w:r>
      <w:r w:rsidR="003E3522">
        <w:rPr>
          <w:rFonts w:hint="eastAsia"/>
          <w:sz w:val="21"/>
          <w:szCs w:val="21"/>
        </w:rPr>
        <w:t>DXY</w:t>
      </w:r>
      <w:r w:rsidR="00F72465">
        <w:rPr>
          <w:rFonts w:hint="eastAsia"/>
          <w:sz w:val="21"/>
          <w:szCs w:val="21"/>
        </w:rPr>
        <w:t xml:space="preserve"> price returns, manifesting the unidirectional and negative-correlation predictive spillover. </w:t>
      </w:r>
    </w:p>
    <w:p w14:paraId="366FF9D4" w14:textId="1008C8EF" w:rsidR="00F72465" w:rsidRPr="008B7F33" w:rsidRDefault="00F72465" w:rsidP="008B7F33">
      <w:pPr>
        <w:rPr>
          <w:rFonts w:hint="eastAsia"/>
          <w:sz w:val="21"/>
          <w:szCs w:val="21"/>
        </w:rPr>
      </w:pPr>
      <w:r>
        <w:rPr>
          <w:rFonts w:hint="eastAsia"/>
          <w:sz w:val="21"/>
          <w:szCs w:val="21"/>
        </w:rPr>
        <w:t>Likewise, in the post-COVID era 2020-2025, the causality results demonstrate the same</w:t>
      </w:r>
      <w:r w:rsidR="00676AE6">
        <w:rPr>
          <w:rFonts w:hint="eastAsia"/>
          <w:sz w:val="21"/>
          <w:szCs w:val="21"/>
        </w:rPr>
        <w:t xml:space="preserve"> but stronger</w:t>
      </w:r>
      <w:r>
        <w:rPr>
          <w:rFonts w:hint="eastAsia"/>
          <w:sz w:val="21"/>
          <w:szCs w:val="21"/>
        </w:rPr>
        <w:t xml:space="preserve"> negative signal</w:t>
      </w:r>
      <w:r w:rsidR="00676AE6">
        <w:rPr>
          <w:rFonts w:hint="eastAsia"/>
          <w:sz w:val="21"/>
          <w:szCs w:val="21"/>
        </w:rPr>
        <w:t xml:space="preserve"> of more negative coefficient</w:t>
      </w:r>
      <w:r>
        <w:rPr>
          <w:rFonts w:hint="eastAsia"/>
          <w:sz w:val="21"/>
          <w:szCs w:val="21"/>
        </w:rPr>
        <w:t xml:space="preserve"> from</w:t>
      </w:r>
      <w:r w:rsidR="003E3522">
        <w:rPr>
          <w:rFonts w:hint="eastAsia"/>
          <w:sz w:val="21"/>
          <w:szCs w:val="21"/>
        </w:rPr>
        <w:t xml:space="preserve"> gold price returns to </w:t>
      </w:r>
      <w:r>
        <w:rPr>
          <w:rFonts w:hint="eastAsia"/>
          <w:sz w:val="21"/>
          <w:szCs w:val="21"/>
        </w:rPr>
        <w:t xml:space="preserve">DXY returns </w:t>
      </w:r>
      <w:r w:rsidR="00676AE6">
        <w:rPr>
          <w:rFonts w:hint="eastAsia"/>
          <w:sz w:val="21"/>
          <w:szCs w:val="21"/>
        </w:rPr>
        <w:t>with all other insignificant signals presented as noises</w:t>
      </w:r>
      <w:r w:rsidR="003E3522">
        <w:rPr>
          <w:rFonts w:hint="eastAsia"/>
          <w:sz w:val="21"/>
          <w:szCs w:val="21"/>
        </w:rPr>
        <w:t>: The reliability using the gold price returns to predict DXY returns is strengthened.</w:t>
      </w:r>
    </w:p>
    <w:p w14:paraId="604596B4" w14:textId="7D8FDA47" w:rsidR="00B4502D" w:rsidRDefault="003E3522" w:rsidP="008B7F33">
      <w:pPr>
        <w:rPr>
          <w:rFonts w:hint="eastAsia"/>
          <w:sz w:val="21"/>
          <w:szCs w:val="21"/>
        </w:rPr>
      </w:pPr>
      <w:r>
        <w:rPr>
          <w:rFonts w:hint="eastAsia"/>
          <w:sz w:val="21"/>
          <w:szCs w:val="21"/>
        </w:rPr>
        <w:t>From an overall perspective,</w:t>
      </w:r>
      <w:r w:rsidR="00B4502D">
        <w:rPr>
          <w:rFonts w:hint="eastAsia"/>
          <w:sz w:val="21"/>
          <w:szCs w:val="21"/>
        </w:rPr>
        <w:t xml:space="preserve"> throughout 1985-2025,</w:t>
      </w:r>
      <w:r>
        <w:rPr>
          <w:rFonts w:hint="eastAsia"/>
          <w:sz w:val="21"/>
          <w:szCs w:val="21"/>
        </w:rPr>
        <w:t xml:space="preserve"> all the </w:t>
      </w:r>
      <w:r w:rsidR="00762B76">
        <w:rPr>
          <w:rFonts w:hint="eastAsia"/>
          <w:sz w:val="21"/>
          <w:szCs w:val="21"/>
        </w:rPr>
        <w:t>lag terms are not significant in the gold equation and the DXY equation, suggesting that</w:t>
      </w:r>
      <w:r w:rsidR="002A7239">
        <w:rPr>
          <w:rFonts w:hint="eastAsia"/>
          <w:sz w:val="21"/>
          <w:szCs w:val="21"/>
        </w:rPr>
        <w:t xml:space="preserve"> the long-term</w:t>
      </w:r>
      <w:r w:rsidR="00762B76">
        <w:rPr>
          <w:rFonts w:hint="eastAsia"/>
          <w:sz w:val="21"/>
          <w:szCs w:val="21"/>
        </w:rPr>
        <w:t xml:space="preserve"> </w:t>
      </w:r>
      <w:r w:rsidR="00762B76" w:rsidRPr="00762B76">
        <w:rPr>
          <w:sz w:val="21"/>
          <w:szCs w:val="21"/>
        </w:rPr>
        <w:t xml:space="preserve">predictive relationship between gold and DXY is </w:t>
      </w:r>
      <w:r w:rsidR="00762B76">
        <w:rPr>
          <w:rFonts w:hint="eastAsia"/>
          <w:sz w:val="21"/>
          <w:szCs w:val="21"/>
        </w:rPr>
        <w:t>weak.</w:t>
      </w:r>
    </w:p>
    <w:p w14:paraId="17257D2E" w14:textId="3AD93D61" w:rsidR="00762B76" w:rsidRDefault="00005A98" w:rsidP="008B7F33">
      <w:pPr>
        <w:rPr>
          <w:rFonts w:hint="eastAsia"/>
          <w:sz w:val="21"/>
          <w:szCs w:val="21"/>
        </w:rPr>
      </w:pPr>
      <w:r>
        <w:rPr>
          <w:rFonts w:hint="eastAsia"/>
          <w:sz w:val="21"/>
          <w:szCs w:val="21"/>
        </w:rPr>
        <w:t xml:space="preserve">Moreover, </w:t>
      </w:r>
      <w:r w:rsidR="00B4502D">
        <w:rPr>
          <w:rFonts w:hint="eastAsia"/>
          <w:sz w:val="21"/>
          <w:szCs w:val="21"/>
        </w:rPr>
        <w:t xml:space="preserve">the correlation coefficient in residuals becomes more negative from -0.297 to -0.445, </w:t>
      </w:r>
      <w:r>
        <w:rPr>
          <w:rFonts w:hint="eastAsia"/>
          <w:sz w:val="21"/>
          <w:szCs w:val="21"/>
        </w:rPr>
        <w:t>indicating that the bond between gold price and DXY had been tightened.</w:t>
      </w:r>
    </w:p>
    <w:p w14:paraId="078F9DDE" w14:textId="470EDBB1" w:rsidR="00762B76" w:rsidRDefault="00762B76" w:rsidP="008B7F33">
      <w:pPr>
        <w:rPr>
          <w:rFonts w:hint="eastAsia"/>
          <w:sz w:val="21"/>
          <w:szCs w:val="21"/>
        </w:rPr>
      </w:pPr>
      <w:r>
        <w:rPr>
          <w:rFonts w:hint="eastAsia"/>
          <w:sz w:val="21"/>
          <w:szCs w:val="21"/>
        </w:rPr>
        <w:lastRenderedPageBreak/>
        <w:t>4.4.2</w:t>
      </w:r>
      <w:commentRangeStart w:id="16"/>
      <w:r>
        <w:rPr>
          <w:rFonts w:hint="eastAsia"/>
          <w:sz w:val="21"/>
          <w:szCs w:val="21"/>
        </w:rPr>
        <w:t xml:space="preserve"> </w:t>
      </w:r>
      <w:r w:rsidRPr="00762B76">
        <w:rPr>
          <w:sz w:val="21"/>
          <w:szCs w:val="21"/>
        </w:rPr>
        <w:t xml:space="preserve">Impulse Response </w:t>
      </w:r>
      <w:r>
        <w:rPr>
          <w:rFonts w:hint="eastAsia"/>
          <w:sz w:val="21"/>
          <w:szCs w:val="21"/>
        </w:rPr>
        <w:t>Function (IRF)</w:t>
      </w:r>
      <w:commentRangeEnd w:id="16"/>
      <w:r w:rsidR="003736EA">
        <w:rPr>
          <w:rStyle w:val="af7"/>
          <w:rFonts w:hint="eastAsia"/>
        </w:rPr>
        <w:commentReference w:id="16"/>
      </w:r>
      <w:r>
        <w:rPr>
          <w:rFonts w:hint="eastAsia"/>
          <w:sz w:val="21"/>
          <w:szCs w:val="21"/>
        </w:rPr>
        <w:t xml:space="preserve"> </w:t>
      </w:r>
      <w:r w:rsidRPr="00762B76">
        <w:rPr>
          <w:sz w:val="21"/>
          <w:szCs w:val="21"/>
        </w:rPr>
        <w:t>Analysis</w:t>
      </w:r>
    </w:p>
    <w:p w14:paraId="56CFEF1F" w14:textId="5C370942" w:rsidR="008B7F33" w:rsidRPr="00B34C16" w:rsidRDefault="00424844" w:rsidP="008B7F33">
      <w:pPr>
        <w:rPr>
          <w:rFonts w:hint="eastAsia"/>
          <w:sz w:val="21"/>
          <w:szCs w:val="21"/>
        </w:rPr>
      </w:pPr>
      <w:r>
        <w:rPr>
          <w:rFonts w:hint="eastAsia"/>
          <w:sz w:val="21"/>
          <w:szCs w:val="21"/>
        </w:rPr>
        <w:t>T</w:t>
      </w:r>
      <w:r w:rsidR="00B34C16">
        <w:rPr>
          <w:rFonts w:hint="eastAsia"/>
          <w:sz w:val="21"/>
          <w:szCs w:val="21"/>
        </w:rPr>
        <w:t>o further dig into the dynamic connection between the two targeted variables, orthogonalized Impulse Response Functions (IRFs) are computed using Cholesky decomposition, displayed in Figure 4.4.2.</w:t>
      </w:r>
    </w:p>
    <w:bookmarkEnd w:id="15"/>
    <w:p w14:paraId="58BB96C8" w14:textId="077B8AE2" w:rsidR="00F74A1E" w:rsidRDefault="00B940B5" w:rsidP="00B940B5">
      <w:pPr>
        <w:jc w:val="center"/>
        <w:rPr>
          <w:rFonts w:hint="eastAsia"/>
          <w:szCs w:val="22"/>
        </w:rPr>
      </w:pPr>
      <w:commentRangeStart w:id="17"/>
      <w:r>
        <w:rPr>
          <w:noProof/>
          <w:szCs w:val="22"/>
        </w:rPr>
        <w:drawing>
          <wp:inline distT="0" distB="0" distL="0" distR="0" wp14:anchorId="4DDE34DB" wp14:editId="29B41584">
            <wp:extent cx="4324667" cy="4191754"/>
            <wp:effectExtent l="0" t="0" r="0" b="0"/>
            <wp:docPr id="1435617877"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349157" cy="4215491"/>
                    </a:xfrm>
                    <a:prstGeom prst="rect">
                      <a:avLst/>
                    </a:prstGeom>
                    <a:noFill/>
                    <a:ln>
                      <a:noFill/>
                    </a:ln>
                  </pic:spPr>
                </pic:pic>
              </a:graphicData>
            </a:graphic>
          </wp:inline>
        </w:drawing>
      </w:r>
      <w:commentRangeEnd w:id="17"/>
      <w:r w:rsidR="00C826A8">
        <w:rPr>
          <w:rStyle w:val="af7"/>
          <w:rFonts w:hint="eastAsia"/>
          <w:sz w:val="22"/>
          <w:szCs w:val="22"/>
        </w:rPr>
        <w:commentReference w:id="17"/>
      </w:r>
    </w:p>
    <w:p w14:paraId="33D2B063" w14:textId="2CCF59C8" w:rsidR="00B940B5" w:rsidRPr="001A595D" w:rsidRDefault="00B940B5" w:rsidP="00B940B5">
      <w:pPr>
        <w:jc w:val="center"/>
        <w:rPr>
          <w:rFonts w:hint="eastAsia"/>
          <w:sz w:val="20"/>
          <w:szCs w:val="20"/>
        </w:rPr>
      </w:pPr>
      <w:r>
        <w:rPr>
          <w:rFonts w:hint="eastAsia"/>
          <w:sz w:val="20"/>
          <w:szCs w:val="20"/>
        </w:rPr>
        <w:t>Figure 4.4.2 Graphic Results for the IRFs for VAR model, 1985-2007 on the top left, 2008-2019 on the top right, 2020-2025 on the bottom left, 1985-2025 on the bottom right</w:t>
      </w:r>
    </w:p>
    <w:p w14:paraId="2B4FF714" w14:textId="699EDFA3" w:rsidR="00B34C16" w:rsidRDefault="00B34C16" w:rsidP="00B34C16">
      <w:pPr>
        <w:rPr>
          <w:rFonts w:hint="eastAsia"/>
          <w:sz w:val="21"/>
          <w:szCs w:val="21"/>
        </w:rPr>
      </w:pPr>
      <w:commentRangeStart w:id="18"/>
      <w:r>
        <w:rPr>
          <w:rFonts w:hint="eastAsia"/>
          <w:sz w:val="21"/>
          <w:szCs w:val="21"/>
        </w:rPr>
        <w:t>Across all the subsample</w:t>
      </w:r>
      <w:r w:rsidR="00F210B1">
        <w:rPr>
          <w:rFonts w:hint="eastAsia"/>
          <w:sz w:val="21"/>
          <w:szCs w:val="21"/>
        </w:rPr>
        <w:t>s and the full sample</w:t>
      </w:r>
      <w:r w:rsidR="0019170C">
        <w:rPr>
          <w:rFonts w:hint="eastAsia"/>
          <w:sz w:val="21"/>
          <w:szCs w:val="21"/>
        </w:rPr>
        <w:t xml:space="preserve"> and with a 95% confidence interval</w:t>
      </w:r>
      <w:r w:rsidR="005E4BB9">
        <w:rPr>
          <w:rFonts w:hint="eastAsia"/>
          <w:sz w:val="21"/>
          <w:szCs w:val="21"/>
        </w:rPr>
        <w:t xml:space="preserve"> (dashed lines)</w:t>
      </w:r>
      <w:r w:rsidR="0019170C">
        <w:rPr>
          <w:rFonts w:hint="eastAsia"/>
          <w:sz w:val="21"/>
          <w:szCs w:val="21"/>
        </w:rPr>
        <w:t xml:space="preserve">, </w:t>
      </w:r>
      <w:r w:rsidR="002A7239">
        <w:rPr>
          <w:rFonts w:hint="eastAsia"/>
          <w:sz w:val="21"/>
          <w:szCs w:val="21"/>
        </w:rPr>
        <w:t>impacts on DXY generate an insignificant response in gold price, but the magnitude of the responses are small and dissipate within roughly 1-2 trading days. Similarly, t</w:t>
      </w:r>
      <w:r w:rsidR="002A7239" w:rsidRPr="002A7239">
        <w:rPr>
          <w:sz w:val="21"/>
          <w:szCs w:val="21"/>
        </w:rPr>
        <w:t>he response of DXY to gold shocks is economically small and statistically insignificant across subsamples, suggesting limited reverse spillover effects.</w:t>
      </w:r>
      <w:r w:rsidR="002A7239">
        <w:rPr>
          <w:rFonts w:hint="eastAsia"/>
          <w:sz w:val="21"/>
          <w:szCs w:val="21"/>
        </w:rPr>
        <w:t xml:space="preserve"> </w:t>
      </w:r>
      <w:commentRangeEnd w:id="18"/>
      <w:r w:rsidR="00882D1D">
        <w:rPr>
          <w:rStyle w:val="af7"/>
          <w:rFonts w:hint="eastAsia"/>
        </w:rPr>
        <w:commentReference w:id="18"/>
      </w:r>
    </w:p>
    <w:p w14:paraId="2B81DCFC" w14:textId="77777777" w:rsidR="00B940B5" w:rsidRDefault="00B940B5" w:rsidP="00A1705A">
      <w:pPr>
        <w:rPr>
          <w:rFonts w:hint="eastAsia"/>
          <w:sz w:val="21"/>
          <w:szCs w:val="21"/>
        </w:rPr>
      </w:pPr>
    </w:p>
    <w:p w14:paraId="7010BF23" w14:textId="325AD538" w:rsidR="00D6079A" w:rsidRPr="00D64C58" w:rsidRDefault="00A6610E" w:rsidP="00D64C58">
      <w:pPr>
        <w:pStyle w:val="a9"/>
        <w:numPr>
          <w:ilvl w:val="0"/>
          <w:numId w:val="1"/>
        </w:numPr>
        <w:rPr>
          <w:rFonts w:hint="eastAsia"/>
          <w:szCs w:val="22"/>
        </w:rPr>
      </w:pPr>
      <w:r w:rsidRPr="00D64C58">
        <w:rPr>
          <w:rFonts w:hint="eastAsia"/>
          <w:szCs w:val="22"/>
        </w:rPr>
        <w:t xml:space="preserve">Qualitative </w:t>
      </w:r>
      <w:r w:rsidR="005F17D7" w:rsidRPr="00D64C58">
        <w:rPr>
          <w:rFonts w:hint="eastAsia"/>
          <w:szCs w:val="22"/>
        </w:rPr>
        <w:t>Discussion</w:t>
      </w:r>
    </w:p>
    <w:p w14:paraId="018981FC" w14:textId="6832F528" w:rsidR="00D6079A" w:rsidRPr="00E1655C" w:rsidRDefault="00462F64" w:rsidP="00A1705A">
      <w:pPr>
        <w:rPr>
          <w:rFonts w:hint="eastAsia"/>
          <w:szCs w:val="22"/>
        </w:rPr>
      </w:pPr>
      <w:r>
        <w:rPr>
          <w:rFonts w:hint="eastAsia"/>
          <w:szCs w:val="22"/>
        </w:rPr>
        <w:t xml:space="preserve">In </w:t>
      </w:r>
      <w:r w:rsidR="00E1655C">
        <w:rPr>
          <w:szCs w:val="22"/>
        </w:rPr>
        <w:t>empirical</w:t>
      </w:r>
      <w:r>
        <w:rPr>
          <w:rFonts w:hint="eastAsia"/>
          <w:szCs w:val="22"/>
        </w:rPr>
        <w:t xml:space="preserve"> </w:t>
      </w:r>
      <w:r>
        <w:rPr>
          <w:szCs w:val="22"/>
        </w:rPr>
        <w:t>analysis</w:t>
      </w:r>
      <w:r>
        <w:rPr>
          <w:rFonts w:hint="eastAsia"/>
          <w:szCs w:val="22"/>
        </w:rPr>
        <w:t xml:space="preserve">, it has been demonstrated that there is a generally negative relationship </w:t>
      </w:r>
      <w:r>
        <w:rPr>
          <w:szCs w:val="22"/>
        </w:rPr>
        <w:t>between</w:t>
      </w:r>
      <w:r>
        <w:rPr>
          <w:rFonts w:hint="eastAsia"/>
          <w:szCs w:val="22"/>
        </w:rPr>
        <w:t xml:space="preserve"> the gold price and the DXY index</w:t>
      </w:r>
      <w:r w:rsidR="00E1655C">
        <w:rPr>
          <w:rFonts w:hint="eastAsia"/>
          <w:szCs w:val="22"/>
        </w:rPr>
        <w:t xml:space="preserve">, in both rolling Pearson </w:t>
      </w:r>
      <w:r w:rsidR="00E1655C">
        <w:rPr>
          <w:szCs w:val="22"/>
        </w:rPr>
        <w:t>correlat</w:t>
      </w:r>
      <w:r w:rsidR="00E1655C">
        <w:rPr>
          <w:rFonts w:hint="eastAsia"/>
          <w:szCs w:val="22"/>
        </w:rPr>
        <w:t xml:space="preserve">ion model and </w:t>
      </w:r>
      <w:r w:rsidR="009E6779" w:rsidRPr="009E6779">
        <w:rPr>
          <w:szCs w:val="22"/>
        </w:rPr>
        <w:t>Vector autoregression</w:t>
      </w:r>
      <w:r w:rsidR="009E6779">
        <w:rPr>
          <w:rFonts w:hint="eastAsia"/>
          <w:szCs w:val="22"/>
        </w:rPr>
        <w:t xml:space="preserve"> (</w:t>
      </w:r>
      <w:r w:rsidR="00E1655C">
        <w:rPr>
          <w:rFonts w:hint="eastAsia"/>
          <w:szCs w:val="22"/>
        </w:rPr>
        <w:t>VAR</w:t>
      </w:r>
      <w:r w:rsidR="009E6779">
        <w:rPr>
          <w:rFonts w:hint="eastAsia"/>
          <w:szCs w:val="22"/>
        </w:rPr>
        <w:t>)</w:t>
      </w:r>
      <w:r w:rsidR="00E1655C">
        <w:rPr>
          <w:rFonts w:hint="eastAsia"/>
          <w:szCs w:val="22"/>
        </w:rPr>
        <w:t xml:space="preserve"> model, so that gold can be a hedge </w:t>
      </w:r>
      <w:r w:rsidR="00E1655C">
        <w:rPr>
          <w:rFonts w:hint="eastAsia"/>
          <w:szCs w:val="22"/>
        </w:rPr>
        <w:lastRenderedPageBreak/>
        <w:t>against the dollar in most of the periods, agreeing with</w:t>
      </w:r>
      <w:r w:rsidR="008720D6">
        <w:rPr>
          <w:rFonts w:hint="eastAsia"/>
          <w:szCs w:val="22"/>
        </w:rPr>
        <w:t xml:space="preserve"> prior</w:t>
      </w:r>
      <w:r w:rsidR="00E1655C">
        <w:rPr>
          <w:rFonts w:hint="eastAsia"/>
          <w:szCs w:val="22"/>
        </w:rPr>
        <w:t xml:space="preserve"> findings </w:t>
      </w:r>
      <w:r w:rsidR="008720D6">
        <w:rPr>
          <w:rFonts w:hint="eastAsia"/>
          <w:szCs w:val="22"/>
        </w:rPr>
        <w:t xml:space="preserve">from </w:t>
      </w:r>
      <w:r w:rsidR="00B371FC" w:rsidRPr="00B371FC">
        <w:rPr>
          <w:szCs w:val="22"/>
        </w:rPr>
        <w:t>Capie, Mills and Wood</w:t>
      </w:r>
      <w:r w:rsidR="008720D6">
        <w:rPr>
          <w:rFonts w:hint="eastAsia"/>
          <w:szCs w:val="22"/>
        </w:rPr>
        <w:t xml:space="preserve"> </w:t>
      </w:r>
      <w:r w:rsidR="00E1655C">
        <w:rPr>
          <w:rFonts w:hint="eastAsia"/>
          <w:szCs w:val="22"/>
        </w:rPr>
        <w:t xml:space="preserve">[12]. </w:t>
      </w:r>
    </w:p>
    <w:p w14:paraId="70B66D91" w14:textId="6EB99298" w:rsidR="00D6079A" w:rsidRDefault="00B35AD6" w:rsidP="00A1705A">
      <w:pPr>
        <w:rPr>
          <w:rFonts w:hint="eastAsia"/>
          <w:szCs w:val="22"/>
        </w:rPr>
      </w:pPr>
      <w:r>
        <w:rPr>
          <w:rFonts w:hint="eastAsia"/>
          <w:szCs w:val="22"/>
        </w:rPr>
        <w:t>However, th</w:t>
      </w:r>
      <w:r w:rsidR="00E47341">
        <w:rPr>
          <w:rFonts w:hint="eastAsia"/>
          <w:szCs w:val="22"/>
        </w:rPr>
        <w:t xml:space="preserve">e nature of this relationship is not </w:t>
      </w:r>
      <w:r w:rsidR="001A0B88">
        <w:rPr>
          <w:szCs w:val="22"/>
        </w:rPr>
        <w:t>long</w:t>
      </w:r>
      <w:r w:rsidR="00E47341">
        <w:rPr>
          <w:rFonts w:hint="eastAsia"/>
          <w:szCs w:val="22"/>
        </w:rPr>
        <w:t xml:space="preserve">-term </w:t>
      </w:r>
      <w:r w:rsidR="001A0B88">
        <w:rPr>
          <w:rFonts w:hint="eastAsia"/>
          <w:szCs w:val="22"/>
        </w:rPr>
        <w:t xml:space="preserve">but </w:t>
      </w:r>
      <w:r w:rsidR="001A0B88">
        <w:rPr>
          <w:szCs w:val="22"/>
        </w:rPr>
        <w:t>short</w:t>
      </w:r>
      <w:r w:rsidR="001A0B88">
        <w:rPr>
          <w:rFonts w:hint="eastAsia"/>
          <w:szCs w:val="22"/>
        </w:rPr>
        <w:t>-term transmission. From VAR model in first-differenced time series</w:t>
      </w:r>
      <w:r w:rsidR="002B3A8F" w:rsidRPr="002B3A8F">
        <w:rPr>
          <w:rFonts w:hint="eastAsia"/>
          <w:sz w:val="21"/>
          <w:szCs w:val="21"/>
        </w:rPr>
        <w:t xml:space="preserve"> </w:t>
      </w:r>
      <w:r w:rsidR="002B3A8F">
        <w:rPr>
          <w:rFonts w:hint="eastAsia"/>
          <w:sz w:val="21"/>
          <w:szCs w:val="21"/>
        </w:rPr>
        <w:t>and orthogonalized Impulse Response Function (IRF)</w:t>
      </w:r>
      <w:r w:rsidR="001A0B88">
        <w:rPr>
          <w:rFonts w:hint="eastAsia"/>
          <w:szCs w:val="22"/>
        </w:rPr>
        <w:t xml:space="preserve">, it is observed that the short-term spillovers between gold returns and DXY returns are generally insignificant and dissipate rapidly, generally in 1-2 trading days. </w:t>
      </w:r>
      <w:r w:rsidR="002B3A8F">
        <w:rPr>
          <w:rFonts w:hint="eastAsia"/>
          <w:sz w:val="21"/>
          <w:szCs w:val="21"/>
        </w:rPr>
        <w:t>For the</w:t>
      </w:r>
      <w:r w:rsidR="001A0B88">
        <w:rPr>
          <w:rFonts w:hint="eastAsia"/>
          <w:sz w:val="21"/>
          <w:szCs w:val="21"/>
        </w:rPr>
        <w:t xml:space="preserve"> </w:t>
      </w:r>
      <w:r w:rsidR="001A0B88">
        <w:rPr>
          <w:rFonts w:hint="eastAsia"/>
          <w:szCs w:val="22"/>
        </w:rPr>
        <w:t xml:space="preserve">full sample (1985-2025), it is </w:t>
      </w:r>
      <w:r w:rsidR="001A0B88">
        <w:rPr>
          <w:szCs w:val="22"/>
        </w:rPr>
        <w:t>shown</w:t>
      </w:r>
      <w:r w:rsidR="001A0B88">
        <w:rPr>
          <w:rFonts w:hint="eastAsia"/>
          <w:szCs w:val="22"/>
        </w:rPr>
        <w:t xml:space="preserve"> </w:t>
      </w:r>
      <w:r w:rsidR="001A0B88">
        <w:rPr>
          <w:szCs w:val="22"/>
        </w:rPr>
        <w:t>that</w:t>
      </w:r>
      <w:r w:rsidR="001A0B88">
        <w:rPr>
          <w:rFonts w:hint="eastAsia"/>
          <w:szCs w:val="22"/>
        </w:rPr>
        <w:t xml:space="preserve"> </w:t>
      </w:r>
      <w:r w:rsidR="00F210B1" w:rsidRPr="00F210B1">
        <w:rPr>
          <w:szCs w:val="22"/>
        </w:rPr>
        <w:t>shocks to either variable do not lead to statistically significant responses in the other beyond the very short horizon, with confidence intervals that consistently include zero throughout the forecast window</w:t>
      </w:r>
      <w:r w:rsidR="00F210B1">
        <w:rPr>
          <w:rFonts w:hint="eastAsia"/>
          <w:szCs w:val="22"/>
        </w:rPr>
        <w:t xml:space="preserve">. Therefore, </w:t>
      </w:r>
      <w:r w:rsidR="00F210B1">
        <w:rPr>
          <w:rFonts w:hint="eastAsia"/>
          <w:sz w:val="21"/>
          <w:szCs w:val="21"/>
        </w:rPr>
        <w:t xml:space="preserve">due to the weak predictive relationship in the long run and quick absorptions of shocks by markets, </w:t>
      </w:r>
      <w:r w:rsidR="00F210B1" w:rsidRPr="00762B76">
        <w:rPr>
          <w:sz w:val="21"/>
          <w:szCs w:val="21"/>
        </w:rPr>
        <w:t xml:space="preserve">the interaction between gold </w:t>
      </w:r>
      <w:r w:rsidR="00F210B1">
        <w:rPr>
          <w:rFonts w:hint="eastAsia"/>
          <w:sz w:val="21"/>
          <w:szCs w:val="21"/>
        </w:rPr>
        <w:t xml:space="preserve">returns </w:t>
      </w:r>
      <w:r w:rsidR="00F210B1" w:rsidRPr="00762B76">
        <w:rPr>
          <w:sz w:val="21"/>
          <w:szCs w:val="21"/>
        </w:rPr>
        <w:t>and DXY</w:t>
      </w:r>
      <w:r w:rsidR="00F210B1">
        <w:rPr>
          <w:rFonts w:hint="eastAsia"/>
          <w:sz w:val="21"/>
          <w:szCs w:val="21"/>
        </w:rPr>
        <w:t xml:space="preserve"> returns</w:t>
      </w:r>
      <w:r w:rsidR="00F210B1" w:rsidRPr="00762B76">
        <w:rPr>
          <w:sz w:val="21"/>
          <w:szCs w:val="21"/>
        </w:rPr>
        <w:t xml:space="preserve"> is characterized by time-varying short-run dynamic</w:t>
      </w:r>
      <w:r w:rsidR="00F210B1">
        <w:rPr>
          <w:rFonts w:hint="eastAsia"/>
          <w:sz w:val="21"/>
          <w:szCs w:val="21"/>
        </w:rPr>
        <w:t xml:space="preserve"> linkage</w:t>
      </w:r>
      <w:r w:rsidR="00F210B1" w:rsidRPr="00762B76">
        <w:rPr>
          <w:sz w:val="21"/>
          <w:szCs w:val="21"/>
        </w:rPr>
        <w:t xml:space="preserve"> rather than stable long-run </w:t>
      </w:r>
      <w:r w:rsidR="00F210B1">
        <w:rPr>
          <w:rFonts w:hint="eastAsia"/>
          <w:sz w:val="21"/>
          <w:szCs w:val="21"/>
        </w:rPr>
        <w:t>balanced</w:t>
      </w:r>
      <w:r w:rsidR="00F210B1" w:rsidRPr="00762B76">
        <w:rPr>
          <w:sz w:val="21"/>
          <w:szCs w:val="21"/>
        </w:rPr>
        <w:t xml:space="preserve"> mechanisms</w:t>
      </w:r>
      <w:r w:rsidR="008720D6">
        <w:rPr>
          <w:rFonts w:hint="eastAsia"/>
          <w:sz w:val="21"/>
          <w:szCs w:val="21"/>
        </w:rPr>
        <w:t xml:space="preserve">, supported by the recent study by </w:t>
      </w:r>
      <w:r w:rsidR="008720D6" w:rsidRPr="008720D6">
        <w:rPr>
          <w:szCs w:val="22"/>
        </w:rPr>
        <w:t>Azimli</w:t>
      </w:r>
      <w:r w:rsidR="008720D6">
        <w:rPr>
          <w:rFonts w:hint="eastAsia"/>
          <w:szCs w:val="22"/>
        </w:rPr>
        <w:t xml:space="preserve"> [13].</w:t>
      </w:r>
      <w:r w:rsidR="00A11A90">
        <w:rPr>
          <w:rFonts w:hint="eastAsia"/>
          <w:szCs w:val="22"/>
        </w:rPr>
        <w:t xml:space="preserve"> A subtle reason is that f</w:t>
      </w:r>
      <w:r w:rsidR="00A11A90" w:rsidRPr="00A11A90">
        <w:rPr>
          <w:szCs w:val="22"/>
        </w:rPr>
        <w:t xml:space="preserve">inancial markets </w:t>
      </w:r>
      <w:r w:rsidR="00141C8A" w:rsidRPr="00141C8A">
        <w:rPr>
          <w:szCs w:val="22"/>
        </w:rPr>
        <w:t xml:space="preserve">fully incorporate past price information </w:t>
      </w:r>
      <w:r w:rsidR="00141C8A">
        <w:rPr>
          <w:rFonts w:hint="eastAsia"/>
          <w:szCs w:val="22"/>
        </w:rPr>
        <w:t xml:space="preserve">and </w:t>
      </w:r>
      <w:r w:rsidR="00A11A90" w:rsidRPr="00A11A90">
        <w:rPr>
          <w:szCs w:val="22"/>
        </w:rPr>
        <w:t xml:space="preserve">adjust quickly to new information, </w:t>
      </w:r>
      <w:r w:rsidR="00141C8A">
        <w:rPr>
          <w:rFonts w:hint="eastAsia"/>
          <w:szCs w:val="22"/>
        </w:rPr>
        <w:t xml:space="preserve">with </w:t>
      </w:r>
      <w:r w:rsidR="00A11A90" w:rsidRPr="00A11A90">
        <w:rPr>
          <w:szCs w:val="22"/>
        </w:rPr>
        <w:t>high-frequency returns often exhibit</w:t>
      </w:r>
      <w:r w:rsidR="00141C8A">
        <w:rPr>
          <w:rFonts w:hint="eastAsia"/>
          <w:szCs w:val="22"/>
        </w:rPr>
        <w:t>ing</w:t>
      </w:r>
      <w:r w:rsidR="00A11A90" w:rsidRPr="00A11A90">
        <w:rPr>
          <w:szCs w:val="22"/>
        </w:rPr>
        <w:t xml:space="preserve"> minimal persistence</w:t>
      </w:r>
      <w:r w:rsidR="00141C8A">
        <w:rPr>
          <w:rFonts w:hint="eastAsia"/>
          <w:szCs w:val="22"/>
        </w:rPr>
        <w:t xml:space="preserve">, aligning with the </w:t>
      </w:r>
      <w:r w:rsidR="00141C8A" w:rsidRPr="00141C8A">
        <w:rPr>
          <w:szCs w:val="22"/>
        </w:rPr>
        <w:t>weak-form Efficient Market Hypothesis</w:t>
      </w:r>
      <w:r w:rsidR="00A11A90">
        <w:rPr>
          <w:rFonts w:hint="eastAsia"/>
          <w:szCs w:val="22"/>
        </w:rPr>
        <w:t>.</w:t>
      </w:r>
    </w:p>
    <w:p w14:paraId="410079AC" w14:textId="2A6E92B6" w:rsidR="008720D6" w:rsidRDefault="008720D6" w:rsidP="00A1705A">
      <w:pPr>
        <w:rPr>
          <w:rFonts w:hint="eastAsia"/>
          <w:szCs w:val="22"/>
        </w:rPr>
      </w:pPr>
      <w:r>
        <w:rPr>
          <w:rFonts w:hint="eastAsia"/>
          <w:szCs w:val="22"/>
        </w:rPr>
        <w:t xml:space="preserve">Moreover, </w:t>
      </w:r>
      <w:r w:rsidR="00141C8A">
        <w:rPr>
          <w:rFonts w:hint="eastAsia"/>
          <w:szCs w:val="22"/>
        </w:rPr>
        <w:t xml:space="preserve">the absence of full-sample dynamic effects may reflect a structural change in financial system and there </w:t>
      </w:r>
      <w:r w:rsidR="00C6284D">
        <w:rPr>
          <w:szCs w:val="22"/>
        </w:rPr>
        <w:t>is</w:t>
      </w:r>
      <w:r w:rsidR="00141C8A">
        <w:rPr>
          <w:rFonts w:hint="eastAsia"/>
          <w:szCs w:val="22"/>
        </w:rPr>
        <w:t xml:space="preserve"> more </w:t>
      </w:r>
      <w:r w:rsidR="00B371FC">
        <w:rPr>
          <w:szCs w:val="22"/>
        </w:rPr>
        <w:t>evidence</w:t>
      </w:r>
      <w:r w:rsidR="00141C8A">
        <w:rPr>
          <w:rFonts w:hint="eastAsia"/>
          <w:szCs w:val="22"/>
        </w:rPr>
        <w:t xml:space="preserve">: </w:t>
      </w:r>
      <w:r w:rsidR="00A11A90" w:rsidRPr="00A11A90">
        <w:rPr>
          <w:rFonts w:hint="eastAsia"/>
          <w:szCs w:val="22"/>
        </w:rPr>
        <w:t>from Rolling Pearson correlation</w:t>
      </w:r>
      <w:r w:rsidR="00A11A90">
        <w:rPr>
          <w:rFonts w:hint="eastAsia"/>
          <w:szCs w:val="22"/>
        </w:rPr>
        <w:t xml:space="preserve">, </w:t>
      </w:r>
      <w:r>
        <w:rPr>
          <w:rFonts w:hint="eastAsia"/>
          <w:szCs w:val="22"/>
        </w:rPr>
        <w:t>the correlation between gold price returns and DXY returns is gradually fastened</w:t>
      </w:r>
      <w:r w:rsidR="00A11A90">
        <w:rPr>
          <w:rFonts w:hint="eastAsia"/>
          <w:szCs w:val="22"/>
        </w:rPr>
        <w:t xml:space="preserve"> </w:t>
      </w:r>
      <w:r>
        <w:rPr>
          <w:rFonts w:hint="eastAsia"/>
          <w:szCs w:val="22"/>
        </w:rPr>
        <w:t xml:space="preserve">model whereas the </w:t>
      </w:r>
      <w:r w:rsidR="00A11A90">
        <w:rPr>
          <w:rFonts w:hint="eastAsia"/>
          <w:szCs w:val="22"/>
        </w:rPr>
        <w:t xml:space="preserve">VAR model shows </w:t>
      </w:r>
      <w:r w:rsidR="00141C8A">
        <w:rPr>
          <w:szCs w:val="22"/>
        </w:rPr>
        <w:t>a</w:t>
      </w:r>
      <w:r w:rsidR="00A11A90">
        <w:rPr>
          <w:rFonts w:hint="eastAsia"/>
          <w:szCs w:val="22"/>
        </w:rPr>
        <w:t xml:space="preserve"> more powerful and significant unidirectional transmission from gold returns to DXY returns</w:t>
      </w:r>
      <w:r w:rsidR="00FC05F7">
        <w:rPr>
          <w:rFonts w:hint="eastAsia"/>
          <w:szCs w:val="22"/>
        </w:rPr>
        <w:t xml:space="preserve">. This continues the pattern found in early 2010s by Joy [14]. An explanation is that during the turmoil periods (2008 financial crisis and 2020 COVID-19 pandemic), the relationship between gold and U.S. dollar intensifies as investors tend to </w:t>
      </w:r>
      <w:r w:rsidR="002E030D">
        <w:rPr>
          <w:rFonts w:hint="eastAsia"/>
          <w:szCs w:val="22"/>
        </w:rPr>
        <w:t xml:space="preserve">be risk-loathing and use gold to hedge their </w:t>
      </w:r>
      <w:r w:rsidR="002E030D">
        <w:rPr>
          <w:szCs w:val="22"/>
        </w:rPr>
        <w:t>portfolios</w:t>
      </w:r>
      <w:r w:rsidR="002E030D">
        <w:rPr>
          <w:rFonts w:hint="eastAsia"/>
          <w:szCs w:val="22"/>
        </w:rPr>
        <w:t xml:space="preserve">, which is aligned </w:t>
      </w:r>
      <w:r w:rsidR="00A6610E">
        <w:rPr>
          <w:szCs w:val="22"/>
        </w:rPr>
        <w:t>with</w:t>
      </w:r>
      <w:r w:rsidR="00A6610E">
        <w:rPr>
          <w:rFonts w:hint="eastAsia"/>
          <w:szCs w:val="22"/>
        </w:rPr>
        <w:t xml:space="preserve"> </w:t>
      </w:r>
      <w:r w:rsidR="002E030D">
        <w:rPr>
          <w:rFonts w:hint="eastAsia"/>
          <w:szCs w:val="22"/>
        </w:rPr>
        <w:t xml:space="preserve">the paper by </w:t>
      </w:r>
      <w:r w:rsidR="002E030D" w:rsidRPr="002E030D">
        <w:rPr>
          <w:szCs w:val="22"/>
        </w:rPr>
        <w:t>Baur and Lucey</w:t>
      </w:r>
      <w:r w:rsidR="002E030D">
        <w:rPr>
          <w:rFonts w:hint="eastAsia"/>
          <w:szCs w:val="22"/>
        </w:rPr>
        <w:t xml:space="preserve"> [15]. Also, the economic downturn caused by </w:t>
      </w:r>
      <w:r w:rsidR="002E030D">
        <w:rPr>
          <w:szCs w:val="22"/>
        </w:rPr>
        <w:t>decreasing rate</w:t>
      </w:r>
      <w:r w:rsidR="002E030D">
        <w:rPr>
          <w:rFonts w:hint="eastAsia"/>
          <w:szCs w:val="22"/>
        </w:rPr>
        <w:t xml:space="preserve"> of </w:t>
      </w:r>
      <w:r w:rsidR="007329FF">
        <w:rPr>
          <w:szCs w:val="22"/>
        </w:rPr>
        <w:t>economi</w:t>
      </w:r>
      <w:r w:rsidR="007329FF">
        <w:rPr>
          <w:rFonts w:hint="eastAsia"/>
          <w:szCs w:val="22"/>
        </w:rPr>
        <w:t>c</w:t>
      </w:r>
      <w:r w:rsidR="002E030D">
        <w:rPr>
          <w:rFonts w:hint="eastAsia"/>
          <w:szCs w:val="22"/>
        </w:rPr>
        <w:t xml:space="preserve"> expansion that occurs in recent years also undermines investors</w:t>
      </w:r>
      <w:r w:rsidR="002E030D">
        <w:rPr>
          <w:szCs w:val="22"/>
        </w:rPr>
        <w:t>’</w:t>
      </w:r>
      <w:r w:rsidR="002E030D">
        <w:rPr>
          <w:rFonts w:hint="eastAsia"/>
          <w:szCs w:val="22"/>
        </w:rPr>
        <w:t xml:space="preserve"> </w:t>
      </w:r>
      <w:r w:rsidR="002E030D">
        <w:rPr>
          <w:szCs w:val="22"/>
        </w:rPr>
        <w:t>confidence</w:t>
      </w:r>
      <w:r w:rsidR="002E030D">
        <w:rPr>
          <w:rFonts w:hint="eastAsia"/>
          <w:szCs w:val="22"/>
        </w:rPr>
        <w:t>, so they are prone to steer clear of potential risk, leading to more use of gold as an asset for hedging.</w:t>
      </w:r>
      <w:r w:rsidR="002D7203">
        <w:rPr>
          <w:rFonts w:hint="eastAsia"/>
          <w:szCs w:val="22"/>
        </w:rPr>
        <w:t xml:space="preserve"> In addition, the negative correlation becomes more apparent when observing in a </w:t>
      </w:r>
      <w:r w:rsidR="00632BFD">
        <w:rPr>
          <w:szCs w:val="22"/>
        </w:rPr>
        <w:t>long-time</w:t>
      </w:r>
      <w:r w:rsidR="002D7203">
        <w:rPr>
          <w:rFonts w:hint="eastAsia"/>
          <w:szCs w:val="22"/>
        </w:rPr>
        <w:t xml:space="preserve"> span,</w:t>
      </w:r>
      <w:r w:rsidR="00632BFD">
        <w:rPr>
          <w:rFonts w:hint="eastAsia"/>
          <w:szCs w:val="22"/>
        </w:rPr>
        <w:t xml:space="preserve"> which can be explained by the reason that the monetary policies and real interest rate dynamics dominate the short-term market noise.</w:t>
      </w:r>
    </w:p>
    <w:p w14:paraId="1D79A473" w14:textId="77777777" w:rsidR="00D6079A" w:rsidRDefault="00D6079A" w:rsidP="00A1705A">
      <w:pPr>
        <w:rPr>
          <w:rFonts w:hint="eastAsia"/>
          <w:szCs w:val="22"/>
        </w:rPr>
      </w:pPr>
    </w:p>
    <w:p w14:paraId="2A359D9C" w14:textId="4979532C" w:rsidR="007329FF" w:rsidRDefault="007329FF" w:rsidP="007329FF">
      <w:pPr>
        <w:pStyle w:val="a9"/>
        <w:numPr>
          <w:ilvl w:val="0"/>
          <w:numId w:val="1"/>
        </w:numPr>
        <w:rPr>
          <w:rFonts w:hint="eastAsia"/>
          <w:szCs w:val="22"/>
        </w:rPr>
      </w:pPr>
      <w:r>
        <w:rPr>
          <w:rFonts w:hint="eastAsia"/>
          <w:szCs w:val="22"/>
        </w:rPr>
        <w:t>Conclusion</w:t>
      </w:r>
    </w:p>
    <w:p w14:paraId="30811D4C" w14:textId="6663DB96" w:rsidR="00F63865" w:rsidRPr="00A6610E" w:rsidRDefault="00A6610E" w:rsidP="007329FF">
      <w:pPr>
        <w:rPr>
          <w:rFonts w:hint="eastAsia"/>
          <w:szCs w:val="22"/>
        </w:rPr>
      </w:pPr>
      <w:r>
        <w:rPr>
          <w:rFonts w:hint="eastAsia"/>
          <w:szCs w:val="22"/>
        </w:rPr>
        <w:t>In summary, this report mainly investigates the relationship between gold price and DXY index by quantitative and qualitative analysis</w:t>
      </w:r>
      <w:r w:rsidR="00BB72C8">
        <w:rPr>
          <w:rFonts w:hint="eastAsia"/>
          <w:szCs w:val="22"/>
        </w:rPr>
        <w:t xml:space="preserve"> on the </w:t>
      </w:r>
      <w:r w:rsidR="002B3A8F">
        <w:rPr>
          <w:rFonts w:hint="eastAsia"/>
          <w:szCs w:val="22"/>
        </w:rPr>
        <w:t xml:space="preserve">daily trading </w:t>
      </w:r>
      <w:r w:rsidR="00BB72C8">
        <w:rPr>
          <w:rFonts w:hint="eastAsia"/>
          <w:szCs w:val="22"/>
        </w:rPr>
        <w:t>data from 1985 to 2025</w:t>
      </w:r>
      <w:r>
        <w:rPr>
          <w:rFonts w:hint="eastAsia"/>
          <w:szCs w:val="22"/>
        </w:rPr>
        <w:t>. From rolling correlation methods</w:t>
      </w:r>
      <w:r w:rsidR="00632BFD">
        <w:rPr>
          <w:rFonts w:hint="eastAsia"/>
          <w:szCs w:val="22"/>
        </w:rPr>
        <w:t xml:space="preserve"> and</w:t>
      </w:r>
      <w:r w:rsidR="00D64C58">
        <w:rPr>
          <w:rFonts w:hint="eastAsia"/>
          <w:szCs w:val="22"/>
        </w:rPr>
        <w:t xml:space="preserve"> the </w:t>
      </w:r>
      <w:r w:rsidR="00D64C58" w:rsidRPr="00D524ED">
        <w:rPr>
          <w:szCs w:val="22"/>
        </w:rPr>
        <w:t>Vector Autoregression</w:t>
      </w:r>
      <w:r w:rsidR="00D64C58">
        <w:rPr>
          <w:rFonts w:hint="eastAsia"/>
          <w:szCs w:val="22"/>
        </w:rPr>
        <w:t xml:space="preserve"> Model (VAR), </w:t>
      </w:r>
      <w:r w:rsidR="00D64C58">
        <w:rPr>
          <w:rFonts w:hint="eastAsia"/>
          <w:szCs w:val="22"/>
        </w:rPr>
        <w:lastRenderedPageBreak/>
        <w:t>their results give a persistent but time-varying negative association between the two given assets altogether, with a rising negative bonding in the episodes of growing macroeconomic uncertainty</w:t>
      </w:r>
      <w:r w:rsidR="00BB72C8">
        <w:rPr>
          <w:rFonts w:hint="eastAsia"/>
          <w:szCs w:val="22"/>
        </w:rPr>
        <w:t xml:space="preserve">, which witnesses the </w:t>
      </w:r>
      <w:r w:rsidR="00BB72C8">
        <w:rPr>
          <w:szCs w:val="22"/>
        </w:rPr>
        <w:t>change</w:t>
      </w:r>
      <w:r w:rsidR="00BB72C8">
        <w:rPr>
          <w:rFonts w:hint="eastAsia"/>
          <w:szCs w:val="22"/>
        </w:rPr>
        <w:t xml:space="preserve"> in financial</w:t>
      </w:r>
      <w:r w:rsidR="00C6284D">
        <w:rPr>
          <w:rFonts w:hint="eastAsia"/>
          <w:szCs w:val="22"/>
        </w:rPr>
        <w:t xml:space="preserve"> structure</w:t>
      </w:r>
      <w:r w:rsidR="00D64C58">
        <w:rPr>
          <w:rFonts w:hint="eastAsia"/>
          <w:szCs w:val="22"/>
        </w:rPr>
        <w:t>. Separately, the former model</w:t>
      </w:r>
      <w:r w:rsidR="00BB72C8">
        <w:rPr>
          <w:rFonts w:hint="eastAsia"/>
          <w:szCs w:val="22"/>
        </w:rPr>
        <w:t xml:space="preserve"> </w:t>
      </w:r>
      <w:r w:rsidR="002B3A8F">
        <w:rPr>
          <w:szCs w:val="22"/>
        </w:rPr>
        <w:t>shows</w:t>
      </w:r>
      <w:r w:rsidR="00BB72C8">
        <w:rPr>
          <w:rFonts w:hint="eastAsia"/>
          <w:szCs w:val="22"/>
        </w:rPr>
        <w:t xml:space="preserve"> that the time-length increase will give a more stable negative correlation between gold returns and DXY returns, while the later model with </w:t>
      </w:r>
      <w:r w:rsidR="00BB72C8">
        <w:rPr>
          <w:rFonts w:hint="eastAsia"/>
          <w:sz w:val="21"/>
          <w:szCs w:val="21"/>
        </w:rPr>
        <w:t xml:space="preserve">orthogonalized Impulse Response Function (IRF) </w:t>
      </w:r>
      <w:r w:rsidR="00BB72C8">
        <w:rPr>
          <w:rFonts w:hint="eastAsia"/>
          <w:szCs w:val="22"/>
        </w:rPr>
        <w:t xml:space="preserve">manifests that the dynamic spillover </w:t>
      </w:r>
      <w:r w:rsidR="002B3A8F">
        <w:rPr>
          <w:rFonts w:hint="eastAsia"/>
          <w:szCs w:val="22"/>
        </w:rPr>
        <w:t xml:space="preserve">from gold price to DXY </w:t>
      </w:r>
      <w:r w:rsidR="00BB72C8">
        <w:rPr>
          <w:rFonts w:hint="eastAsia"/>
          <w:szCs w:val="22"/>
        </w:rPr>
        <w:t>tends to be short-lived</w:t>
      </w:r>
      <w:r w:rsidR="002B3A8F">
        <w:rPr>
          <w:rFonts w:hint="eastAsia"/>
          <w:szCs w:val="22"/>
        </w:rPr>
        <w:t xml:space="preserve">, with responses dissipating within one to two trading days, </w:t>
      </w:r>
      <w:r w:rsidR="00BB72C8">
        <w:rPr>
          <w:rFonts w:hint="eastAsia"/>
          <w:szCs w:val="22"/>
        </w:rPr>
        <w:t xml:space="preserve">and </w:t>
      </w:r>
      <w:r w:rsidR="002B3A8F">
        <w:rPr>
          <w:rFonts w:hint="eastAsia"/>
          <w:szCs w:val="22"/>
        </w:rPr>
        <w:t xml:space="preserve">it is </w:t>
      </w:r>
      <w:r w:rsidR="00BB72C8">
        <w:rPr>
          <w:rFonts w:hint="eastAsia"/>
          <w:szCs w:val="22"/>
        </w:rPr>
        <w:t>statistically insignificant</w:t>
      </w:r>
      <w:r w:rsidR="002B3A8F">
        <w:rPr>
          <w:rFonts w:hint="eastAsia"/>
          <w:szCs w:val="22"/>
        </w:rPr>
        <w:t xml:space="preserve"> in full sample so the negative relation between these two asset is better depicted by </w:t>
      </w:r>
      <w:r w:rsidR="002B3A8F" w:rsidRPr="002B3A8F">
        <w:rPr>
          <w:szCs w:val="22"/>
        </w:rPr>
        <w:t>contemporaneous adjustment and regime-dependent behavior than by stable long-run transmission mechanisms</w:t>
      </w:r>
      <w:r w:rsidR="002B3A8F">
        <w:rPr>
          <w:rFonts w:hint="eastAsia"/>
          <w:szCs w:val="22"/>
        </w:rPr>
        <w:t>.</w:t>
      </w:r>
    </w:p>
    <w:p w14:paraId="541306D6" w14:textId="77777777" w:rsidR="007329FF" w:rsidRDefault="007329FF" w:rsidP="007329FF">
      <w:pPr>
        <w:rPr>
          <w:rFonts w:hint="eastAsia"/>
          <w:szCs w:val="22"/>
        </w:rPr>
      </w:pPr>
    </w:p>
    <w:p w14:paraId="24493DE9" w14:textId="23EACD6E" w:rsidR="009C2AC1" w:rsidRDefault="009C2AC1" w:rsidP="00A1705A">
      <w:pPr>
        <w:rPr>
          <w:rFonts w:hint="eastAsia"/>
          <w:szCs w:val="22"/>
        </w:rPr>
      </w:pPr>
      <w:r>
        <w:rPr>
          <w:rFonts w:hint="eastAsia"/>
          <w:szCs w:val="22"/>
        </w:rPr>
        <w:t>7. References</w:t>
      </w:r>
    </w:p>
    <w:p w14:paraId="4B8D8987" w14:textId="75EB1E73" w:rsidR="009C2AC1" w:rsidRDefault="009C2AC1" w:rsidP="00A1705A">
      <w:pPr>
        <w:rPr>
          <w:rFonts w:hint="eastAsia"/>
          <w:szCs w:val="22"/>
        </w:rPr>
      </w:pPr>
      <w:r>
        <w:rPr>
          <w:rFonts w:hint="eastAsia"/>
          <w:szCs w:val="22"/>
        </w:rPr>
        <w:t xml:space="preserve">[1] </w:t>
      </w:r>
      <w:r w:rsidRPr="009C2AC1">
        <w:rPr>
          <w:rFonts w:hint="eastAsia"/>
          <w:szCs w:val="22"/>
        </w:rPr>
        <w:t xml:space="preserve">BBC News. </w:t>
      </w:r>
      <w:r w:rsidRPr="009C2AC1">
        <w:rPr>
          <w:szCs w:val="22"/>
        </w:rPr>
        <w:t>Gold surges past $4,000 an ounce as uncertainty fuels rally</w:t>
      </w:r>
      <w:r>
        <w:rPr>
          <w:rFonts w:hint="eastAsia"/>
          <w:szCs w:val="22"/>
        </w:rPr>
        <w:t xml:space="preserve"> </w:t>
      </w:r>
      <w:r w:rsidRPr="009C2AC1">
        <w:rPr>
          <w:rFonts w:hint="eastAsia"/>
          <w:szCs w:val="22"/>
        </w:rPr>
        <w:t>[EB/OL].</w:t>
      </w:r>
      <w:r>
        <w:rPr>
          <w:rFonts w:hint="eastAsia"/>
          <w:szCs w:val="22"/>
        </w:rPr>
        <w:t xml:space="preserve"> </w:t>
      </w:r>
      <w:r w:rsidRPr="009C2AC1">
        <w:rPr>
          <w:rFonts w:hint="eastAsia"/>
          <w:szCs w:val="22"/>
        </w:rPr>
        <w:t xml:space="preserve">https://www.bbc.co.uk/news/articles/c8ex3wgjlexo, </w:t>
      </w:r>
      <w:r>
        <w:rPr>
          <w:rFonts w:hint="eastAsia"/>
          <w:szCs w:val="22"/>
        </w:rPr>
        <w:t>2025-10-16</w:t>
      </w:r>
      <w:r w:rsidRPr="009C2AC1">
        <w:rPr>
          <w:rFonts w:hint="eastAsia"/>
          <w:szCs w:val="22"/>
        </w:rPr>
        <w:t>.</w:t>
      </w:r>
    </w:p>
    <w:p w14:paraId="7AB119F8" w14:textId="10366871" w:rsidR="009C2AC1" w:rsidRDefault="009C2AC1" w:rsidP="00A1705A">
      <w:pPr>
        <w:rPr>
          <w:rFonts w:hint="eastAsia"/>
          <w:szCs w:val="22"/>
        </w:rPr>
      </w:pPr>
      <w:r>
        <w:rPr>
          <w:rFonts w:hint="eastAsia"/>
          <w:szCs w:val="22"/>
        </w:rPr>
        <w:t>[2]</w:t>
      </w:r>
      <w:r w:rsidR="009234CF">
        <w:rPr>
          <w:rFonts w:hint="eastAsia"/>
          <w:szCs w:val="22"/>
        </w:rPr>
        <w:t xml:space="preserve"> </w:t>
      </w:r>
      <w:r w:rsidR="00512D20" w:rsidRPr="00512D20">
        <w:rPr>
          <w:rFonts w:hint="eastAsia"/>
          <w:szCs w:val="22"/>
        </w:rPr>
        <w:t>Zhan,</w:t>
      </w:r>
      <w:r w:rsidR="00512D20">
        <w:rPr>
          <w:rFonts w:hint="eastAsia"/>
          <w:szCs w:val="22"/>
        </w:rPr>
        <w:t xml:space="preserve"> </w:t>
      </w:r>
      <w:r w:rsidR="00512D20" w:rsidRPr="00512D20">
        <w:rPr>
          <w:rFonts w:hint="eastAsia"/>
          <w:szCs w:val="22"/>
        </w:rPr>
        <w:t>Y. (2024). Research on the Correlation between the Movement of the Dollar and the Price of Gold. Theoretical and Natural Science,</w:t>
      </w:r>
      <w:r w:rsidR="00E9581C">
        <w:rPr>
          <w:rFonts w:hint="eastAsia"/>
          <w:szCs w:val="22"/>
        </w:rPr>
        <w:t xml:space="preserve"> </w:t>
      </w:r>
      <w:r w:rsidR="00512D20" w:rsidRPr="00512D20">
        <w:rPr>
          <w:rFonts w:hint="eastAsia"/>
          <w:szCs w:val="22"/>
        </w:rPr>
        <w:t>41,</w:t>
      </w:r>
      <w:r w:rsidR="00E9581C">
        <w:rPr>
          <w:rFonts w:hint="eastAsia"/>
          <w:szCs w:val="22"/>
        </w:rPr>
        <w:t xml:space="preserve"> </w:t>
      </w:r>
      <w:r w:rsidR="00512D20" w:rsidRPr="00512D20">
        <w:rPr>
          <w:rFonts w:hint="eastAsia"/>
          <w:szCs w:val="22"/>
        </w:rPr>
        <w:t>126-131.</w:t>
      </w:r>
      <w:r w:rsidR="0067696D">
        <w:rPr>
          <w:rFonts w:hint="eastAsia"/>
          <w:szCs w:val="22"/>
        </w:rPr>
        <w:t xml:space="preserve"> </w:t>
      </w:r>
      <w:hyperlink r:id="rId24" w:history="1">
        <w:r w:rsidR="0067696D" w:rsidRPr="0067696D">
          <w:rPr>
            <w:rStyle w:val="ae"/>
            <w:szCs w:val="22"/>
          </w:rPr>
          <w:t>https://doi.org/10.54254/2753-8818/41/2024CH0167</w:t>
        </w:r>
      </w:hyperlink>
    </w:p>
    <w:p w14:paraId="7865205C" w14:textId="6E77285B" w:rsidR="00E7542D" w:rsidRDefault="00E7542D" w:rsidP="00A1705A">
      <w:pPr>
        <w:rPr>
          <w:rFonts w:hint="eastAsia"/>
          <w:szCs w:val="22"/>
        </w:rPr>
      </w:pPr>
      <w:r>
        <w:rPr>
          <w:rFonts w:hint="eastAsia"/>
          <w:szCs w:val="22"/>
        </w:rPr>
        <w:t xml:space="preserve">[3] </w:t>
      </w:r>
      <w:r w:rsidRPr="00512D20">
        <w:rPr>
          <w:szCs w:val="22"/>
        </w:rPr>
        <w:t>Lin, F. L., Chen, Y. F.</w:t>
      </w:r>
      <w:r>
        <w:rPr>
          <w:rFonts w:hint="eastAsia"/>
          <w:szCs w:val="22"/>
        </w:rPr>
        <w:t xml:space="preserve"> and </w:t>
      </w:r>
      <w:r w:rsidRPr="00512D20">
        <w:rPr>
          <w:szCs w:val="22"/>
        </w:rPr>
        <w:t>Yang, S. Y. (2016). Does the value of US dollar matter with the price of oil and gold? A dynamic analysis from time–frequency space. </w:t>
      </w:r>
      <w:r w:rsidRPr="00512D20">
        <w:rPr>
          <w:i/>
          <w:iCs/>
          <w:szCs w:val="22"/>
        </w:rPr>
        <w:t>International Review of Economics &amp; Finance</w:t>
      </w:r>
      <w:r w:rsidRPr="00512D20">
        <w:rPr>
          <w:szCs w:val="22"/>
        </w:rPr>
        <w:t>, </w:t>
      </w:r>
      <w:r w:rsidRPr="00512D20">
        <w:rPr>
          <w:i/>
          <w:iCs/>
          <w:szCs w:val="22"/>
        </w:rPr>
        <w:t>43</w:t>
      </w:r>
      <w:r w:rsidRPr="00512D20">
        <w:rPr>
          <w:szCs w:val="22"/>
        </w:rPr>
        <w:t>, 59-71.</w:t>
      </w:r>
      <w:r>
        <w:rPr>
          <w:rFonts w:hint="eastAsia"/>
          <w:szCs w:val="22"/>
        </w:rPr>
        <w:t xml:space="preserve"> </w:t>
      </w:r>
      <w:hyperlink r:id="rId25" w:tgtFrame="_blank" w:tooltip="Persistent link using digital object identifier" w:history="1">
        <w:r w:rsidRPr="0067696D">
          <w:rPr>
            <w:rStyle w:val="ae"/>
            <w:szCs w:val="22"/>
          </w:rPr>
          <w:t>https://doi.org/10.1016/j.iref.2015.10.031</w:t>
        </w:r>
      </w:hyperlink>
    </w:p>
    <w:p w14:paraId="448D2132" w14:textId="03B541E7" w:rsidR="00867000" w:rsidRDefault="00867000" w:rsidP="00A1705A">
      <w:pPr>
        <w:rPr>
          <w:rFonts w:hint="eastAsia"/>
          <w:szCs w:val="22"/>
        </w:rPr>
      </w:pPr>
      <w:r>
        <w:rPr>
          <w:rFonts w:hint="eastAsia"/>
          <w:szCs w:val="22"/>
        </w:rPr>
        <w:t>[</w:t>
      </w:r>
      <w:r w:rsidR="00E7542D">
        <w:rPr>
          <w:rFonts w:hint="eastAsia"/>
          <w:szCs w:val="22"/>
        </w:rPr>
        <w:t>4</w:t>
      </w:r>
      <w:r>
        <w:rPr>
          <w:rFonts w:hint="eastAsia"/>
          <w:szCs w:val="22"/>
        </w:rPr>
        <w:t xml:space="preserve">] </w:t>
      </w:r>
      <w:r w:rsidR="00340890" w:rsidRPr="00340890">
        <w:rPr>
          <w:szCs w:val="22"/>
        </w:rPr>
        <w:t>Mo, B., Nie, H.</w:t>
      </w:r>
      <w:r w:rsidR="00E9581C">
        <w:rPr>
          <w:rFonts w:hint="eastAsia"/>
          <w:szCs w:val="22"/>
        </w:rPr>
        <w:t xml:space="preserve"> and </w:t>
      </w:r>
      <w:r w:rsidR="00340890" w:rsidRPr="00340890">
        <w:rPr>
          <w:szCs w:val="22"/>
        </w:rPr>
        <w:t xml:space="preserve">Jiang, Y. (2018). </w:t>
      </w:r>
      <w:bookmarkStart w:id="19" w:name="OLE_LINK11"/>
      <w:r w:rsidR="00340890" w:rsidRPr="00340890">
        <w:rPr>
          <w:szCs w:val="22"/>
        </w:rPr>
        <w:t>Dynamic linkages among the gold market</w:t>
      </w:r>
      <w:bookmarkEnd w:id="19"/>
      <w:r w:rsidR="00340890" w:rsidRPr="00340890">
        <w:rPr>
          <w:szCs w:val="22"/>
        </w:rPr>
        <w:t>, US dollar and crude oil market. </w:t>
      </w:r>
      <w:r w:rsidR="00340890" w:rsidRPr="00340890">
        <w:rPr>
          <w:i/>
          <w:iCs/>
          <w:szCs w:val="22"/>
        </w:rPr>
        <w:t>Physica A: Statistical Mechanics and its Applications</w:t>
      </w:r>
      <w:r w:rsidR="00340890" w:rsidRPr="00340890">
        <w:rPr>
          <w:szCs w:val="22"/>
        </w:rPr>
        <w:t>, </w:t>
      </w:r>
      <w:r w:rsidR="00340890" w:rsidRPr="00340890">
        <w:rPr>
          <w:i/>
          <w:iCs/>
          <w:szCs w:val="22"/>
        </w:rPr>
        <w:t>491</w:t>
      </w:r>
      <w:r w:rsidR="00340890" w:rsidRPr="00340890">
        <w:rPr>
          <w:szCs w:val="22"/>
        </w:rPr>
        <w:t>, 984-994.</w:t>
      </w:r>
      <w:r w:rsidR="0067696D">
        <w:rPr>
          <w:rFonts w:hint="eastAsia"/>
          <w:szCs w:val="22"/>
        </w:rPr>
        <w:t xml:space="preserve"> </w:t>
      </w:r>
      <w:hyperlink r:id="rId26" w:tgtFrame="_blank" w:tooltip="Persistent link using digital object identifier" w:history="1">
        <w:r w:rsidR="0067696D" w:rsidRPr="0067696D">
          <w:rPr>
            <w:rStyle w:val="ae"/>
            <w:szCs w:val="22"/>
          </w:rPr>
          <w:t>https://doi.org/10.1016/j.physa.2017.09.091</w:t>
        </w:r>
      </w:hyperlink>
    </w:p>
    <w:p w14:paraId="4F8AFBD5" w14:textId="38F03DC3" w:rsidR="00F345EB" w:rsidRPr="00E7542D" w:rsidRDefault="000D47D7" w:rsidP="00A1705A">
      <w:pPr>
        <w:rPr>
          <w:rFonts w:hint="eastAsia"/>
          <w:szCs w:val="22"/>
        </w:rPr>
      </w:pPr>
      <w:r>
        <w:rPr>
          <w:rFonts w:hint="eastAsia"/>
          <w:szCs w:val="22"/>
        </w:rPr>
        <w:t>[</w:t>
      </w:r>
      <w:r w:rsidR="00E7542D">
        <w:rPr>
          <w:rFonts w:hint="eastAsia"/>
          <w:szCs w:val="22"/>
        </w:rPr>
        <w:t>5</w:t>
      </w:r>
      <w:r>
        <w:rPr>
          <w:rFonts w:hint="eastAsia"/>
          <w:szCs w:val="22"/>
        </w:rPr>
        <w:t xml:space="preserve">] </w:t>
      </w:r>
      <w:r w:rsidR="00512D20" w:rsidRPr="00512D20">
        <w:rPr>
          <w:szCs w:val="22"/>
        </w:rPr>
        <w:t>He, Q., Guo, Y.</w:t>
      </w:r>
      <w:r w:rsidR="00E9581C">
        <w:rPr>
          <w:rFonts w:hint="eastAsia"/>
          <w:szCs w:val="22"/>
        </w:rPr>
        <w:t xml:space="preserve"> and</w:t>
      </w:r>
      <w:r w:rsidR="00512D20" w:rsidRPr="00512D20">
        <w:rPr>
          <w:szCs w:val="22"/>
        </w:rPr>
        <w:t xml:space="preserve"> Yu, J. (2020). Nonlinear dynamics of gold and the dollar. </w:t>
      </w:r>
      <w:r w:rsidR="00512D20" w:rsidRPr="00512D20">
        <w:rPr>
          <w:i/>
          <w:iCs/>
          <w:szCs w:val="22"/>
        </w:rPr>
        <w:t>The North American Journal of Economics and Finance</w:t>
      </w:r>
      <w:r w:rsidR="00512D20" w:rsidRPr="00512D20">
        <w:rPr>
          <w:szCs w:val="22"/>
        </w:rPr>
        <w:t>, </w:t>
      </w:r>
      <w:r w:rsidR="00512D20" w:rsidRPr="00512D20">
        <w:rPr>
          <w:i/>
          <w:iCs/>
          <w:szCs w:val="22"/>
        </w:rPr>
        <w:t>52</w:t>
      </w:r>
      <w:r w:rsidR="00512D20" w:rsidRPr="00512D20">
        <w:rPr>
          <w:szCs w:val="22"/>
        </w:rPr>
        <w:t>, 101160.</w:t>
      </w:r>
      <w:r w:rsidR="0067696D">
        <w:rPr>
          <w:rFonts w:hint="eastAsia"/>
          <w:szCs w:val="22"/>
        </w:rPr>
        <w:t xml:space="preserve"> </w:t>
      </w:r>
      <w:hyperlink r:id="rId27" w:tgtFrame="_blank" w:tooltip="Persistent link using digital object identifier" w:history="1">
        <w:r w:rsidR="0067696D" w:rsidRPr="0067696D">
          <w:rPr>
            <w:rStyle w:val="ae"/>
            <w:szCs w:val="22"/>
          </w:rPr>
          <w:t>https://doi.org/10.1016/j.najef.2020.101160</w:t>
        </w:r>
      </w:hyperlink>
    </w:p>
    <w:p w14:paraId="1DF6B6D5" w14:textId="4D59CD28" w:rsidR="00DA0943" w:rsidRDefault="00DA0943" w:rsidP="00A1705A">
      <w:pPr>
        <w:rPr>
          <w:rFonts w:hint="eastAsia"/>
          <w:szCs w:val="22"/>
        </w:rPr>
      </w:pPr>
      <w:r>
        <w:rPr>
          <w:rFonts w:hint="eastAsia"/>
          <w:szCs w:val="22"/>
        </w:rPr>
        <w:t>[</w:t>
      </w:r>
      <w:r w:rsidR="00E7542D">
        <w:rPr>
          <w:rFonts w:hint="eastAsia"/>
          <w:szCs w:val="22"/>
        </w:rPr>
        <w:t>6</w:t>
      </w:r>
      <w:r>
        <w:rPr>
          <w:rFonts w:hint="eastAsia"/>
          <w:szCs w:val="22"/>
        </w:rPr>
        <w:t xml:space="preserve">] </w:t>
      </w:r>
      <w:r w:rsidR="00340890" w:rsidRPr="00340890">
        <w:rPr>
          <w:szCs w:val="22"/>
        </w:rPr>
        <w:t>Lamoureux, C. G.</w:t>
      </w:r>
      <w:r w:rsidR="00E9581C">
        <w:rPr>
          <w:rFonts w:hint="eastAsia"/>
          <w:szCs w:val="22"/>
        </w:rPr>
        <w:t xml:space="preserve"> and</w:t>
      </w:r>
      <w:r w:rsidR="00340890" w:rsidRPr="00340890">
        <w:rPr>
          <w:szCs w:val="22"/>
        </w:rPr>
        <w:t xml:space="preserve"> Lastrapes, W. D. (1990). </w:t>
      </w:r>
      <w:bookmarkStart w:id="20" w:name="OLE_LINK10"/>
      <w:r w:rsidR="00340890" w:rsidRPr="00340890">
        <w:rPr>
          <w:szCs w:val="22"/>
        </w:rPr>
        <w:t>Persistence in variance, structural change, and the GARCH model.</w:t>
      </w:r>
      <w:bookmarkEnd w:id="20"/>
      <w:r w:rsidR="00340890" w:rsidRPr="00340890">
        <w:rPr>
          <w:szCs w:val="22"/>
        </w:rPr>
        <w:t> </w:t>
      </w:r>
      <w:r w:rsidR="00340890" w:rsidRPr="00340890">
        <w:rPr>
          <w:i/>
          <w:iCs/>
          <w:szCs w:val="22"/>
        </w:rPr>
        <w:t>Journal of Business &amp; Economic Statistics</w:t>
      </w:r>
      <w:r w:rsidR="00340890" w:rsidRPr="00340890">
        <w:rPr>
          <w:szCs w:val="22"/>
        </w:rPr>
        <w:t>, </w:t>
      </w:r>
      <w:r w:rsidR="00340890" w:rsidRPr="00E9581C">
        <w:rPr>
          <w:szCs w:val="22"/>
        </w:rPr>
        <w:t>8</w:t>
      </w:r>
      <w:r w:rsidR="00340890" w:rsidRPr="00340890">
        <w:rPr>
          <w:szCs w:val="22"/>
        </w:rPr>
        <w:t>(2), 225-234.</w:t>
      </w:r>
      <w:r w:rsidR="0067696D">
        <w:rPr>
          <w:rFonts w:hint="eastAsia"/>
          <w:szCs w:val="22"/>
        </w:rPr>
        <w:t xml:space="preserve"> </w:t>
      </w:r>
      <w:r w:rsidR="0067696D" w:rsidRPr="0067696D">
        <w:rPr>
          <w:szCs w:val="22"/>
        </w:rPr>
        <w:t>https://doi.org/10.1080/07350015.1990.10509794</w:t>
      </w:r>
    </w:p>
    <w:p w14:paraId="03031BE1" w14:textId="0897351D" w:rsidR="009C400E" w:rsidRDefault="009C400E" w:rsidP="00A1705A">
      <w:pPr>
        <w:rPr>
          <w:rFonts w:hint="eastAsia"/>
          <w:szCs w:val="22"/>
        </w:rPr>
      </w:pPr>
      <w:r>
        <w:rPr>
          <w:rFonts w:hint="eastAsia"/>
          <w:szCs w:val="22"/>
        </w:rPr>
        <w:t>[</w:t>
      </w:r>
      <w:r w:rsidR="000D47D7">
        <w:rPr>
          <w:rFonts w:hint="eastAsia"/>
          <w:szCs w:val="22"/>
        </w:rPr>
        <w:t>7</w:t>
      </w:r>
      <w:r>
        <w:rPr>
          <w:rFonts w:hint="eastAsia"/>
          <w:szCs w:val="22"/>
        </w:rPr>
        <w:t xml:space="preserve">] </w:t>
      </w:r>
      <w:bookmarkStart w:id="21" w:name="OLE_LINK1"/>
      <w:r w:rsidR="009A308A" w:rsidRPr="009A308A">
        <w:rPr>
          <w:szCs w:val="22"/>
        </w:rPr>
        <w:t>Khalife</w:t>
      </w:r>
      <w:r w:rsidR="009A308A">
        <w:rPr>
          <w:rFonts w:hint="eastAsia"/>
          <w:szCs w:val="22"/>
        </w:rPr>
        <w:t>,</w:t>
      </w:r>
      <w:bookmarkEnd w:id="21"/>
      <w:r w:rsidR="009A308A" w:rsidRPr="009A308A">
        <w:rPr>
          <w:szCs w:val="22"/>
        </w:rPr>
        <w:t xml:space="preserve"> D</w:t>
      </w:r>
      <w:r w:rsidR="009A308A">
        <w:rPr>
          <w:rFonts w:hint="eastAsia"/>
          <w:szCs w:val="22"/>
        </w:rPr>
        <w:t xml:space="preserve">., </w:t>
      </w:r>
      <w:r w:rsidR="009A308A" w:rsidRPr="009A308A">
        <w:rPr>
          <w:szCs w:val="22"/>
        </w:rPr>
        <w:t>Elia</w:t>
      </w:r>
      <w:r w:rsidR="009A308A">
        <w:rPr>
          <w:rFonts w:hint="eastAsia"/>
          <w:szCs w:val="22"/>
        </w:rPr>
        <w:t>,</w:t>
      </w:r>
      <w:r w:rsidR="009A308A" w:rsidRPr="009A308A">
        <w:rPr>
          <w:szCs w:val="22"/>
        </w:rPr>
        <w:t xml:space="preserve"> R</w:t>
      </w:r>
      <w:r w:rsidR="009A308A">
        <w:rPr>
          <w:rFonts w:hint="eastAsia"/>
          <w:szCs w:val="22"/>
        </w:rPr>
        <w:t xml:space="preserve">., </w:t>
      </w:r>
      <w:r w:rsidR="009A308A" w:rsidRPr="009A308A">
        <w:rPr>
          <w:szCs w:val="22"/>
        </w:rPr>
        <w:t>El Chaarani</w:t>
      </w:r>
      <w:r w:rsidR="009A308A">
        <w:rPr>
          <w:rFonts w:hint="eastAsia"/>
          <w:szCs w:val="22"/>
        </w:rPr>
        <w:t>,</w:t>
      </w:r>
      <w:r w:rsidR="009A308A" w:rsidRPr="009A308A">
        <w:rPr>
          <w:szCs w:val="22"/>
        </w:rPr>
        <w:t xml:space="preserve"> H</w:t>
      </w:r>
      <w:r w:rsidR="009A308A">
        <w:rPr>
          <w:rFonts w:hint="eastAsia"/>
          <w:szCs w:val="22"/>
        </w:rPr>
        <w:t>.</w:t>
      </w:r>
      <w:r w:rsidR="00E9581C">
        <w:rPr>
          <w:rFonts w:hint="eastAsia"/>
          <w:szCs w:val="22"/>
        </w:rPr>
        <w:t xml:space="preserve"> and</w:t>
      </w:r>
      <w:r w:rsidR="009A308A">
        <w:rPr>
          <w:rFonts w:hint="eastAsia"/>
          <w:szCs w:val="22"/>
        </w:rPr>
        <w:t xml:space="preserve"> </w:t>
      </w:r>
      <w:r w:rsidR="009A308A" w:rsidRPr="009A308A">
        <w:rPr>
          <w:szCs w:val="22"/>
        </w:rPr>
        <w:t>Bou Nader, E.</w:t>
      </w:r>
      <w:r w:rsidR="009A308A">
        <w:rPr>
          <w:rFonts w:hint="eastAsia"/>
          <w:szCs w:val="22"/>
        </w:rPr>
        <w:t xml:space="preserve"> (2022). </w:t>
      </w:r>
      <w:r w:rsidR="009A308A" w:rsidRPr="009A308A">
        <w:rPr>
          <w:szCs w:val="22"/>
        </w:rPr>
        <w:t>I</w:t>
      </w:r>
      <w:bookmarkStart w:id="22" w:name="OLE_LINK9"/>
      <w:r w:rsidR="009A308A" w:rsidRPr="009A308A">
        <w:rPr>
          <w:szCs w:val="22"/>
        </w:rPr>
        <w:t>ntermarket Analysis: Oil, Gold, US Dollar and Stock Market Intermarket Analysis: Oil, Gold, US Dollar and Stock Market</w:t>
      </w:r>
      <w:bookmarkEnd w:id="22"/>
      <w:r w:rsidR="009A308A">
        <w:rPr>
          <w:rFonts w:hint="eastAsia"/>
          <w:szCs w:val="22"/>
        </w:rPr>
        <w:t xml:space="preserve">. </w:t>
      </w:r>
      <w:r w:rsidR="009A308A" w:rsidRPr="009A308A">
        <w:rPr>
          <w:szCs w:val="22"/>
        </w:rPr>
        <w:t>The </w:t>
      </w:r>
      <w:r w:rsidR="009A308A" w:rsidRPr="009A308A">
        <w:rPr>
          <w:i/>
          <w:iCs/>
          <w:szCs w:val="22"/>
        </w:rPr>
        <w:t>Arab Economic and Business Journal</w:t>
      </w:r>
      <w:r w:rsidR="009A308A" w:rsidRPr="009A308A">
        <w:rPr>
          <w:szCs w:val="22"/>
        </w:rPr>
        <w:t> (AEBJ) (ISSN 2214-4625),</w:t>
      </w:r>
      <w:r w:rsidR="009A308A">
        <w:rPr>
          <w:rFonts w:hint="eastAsia"/>
          <w:szCs w:val="22"/>
        </w:rPr>
        <w:t xml:space="preserve"> Vol. 14 (2022), Iss. 2</w:t>
      </w:r>
      <w:r w:rsidR="003F3690">
        <w:rPr>
          <w:rFonts w:hint="eastAsia"/>
          <w:szCs w:val="22"/>
        </w:rPr>
        <w:t xml:space="preserve">, </w:t>
      </w:r>
      <w:r w:rsidR="006C0DD8">
        <w:rPr>
          <w:rFonts w:hint="eastAsia"/>
          <w:szCs w:val="22"/>
        </w:rPr>
        <w:t>Article 7</w:t>
      </w:r>
      <w:r w:rsidR="003F3690">
        <w:rPr>
          <w:rFonts w:hint="eastAsia"/>
          <w:szCs w:val="22"/>
        </w:rPr>
        <w:t>.</w:t>
      </w:r>
      <w:r w:rsidR="0067696D">
        <w:rPr>
          <w:rFonts w:hint="eastAsia"/>
          <w:szCs w:val="22"/>
        </w:rPr>
        <w:t xml:space="preserve"> </w:t>
      </w:r>
      <w:hyperlink r:id="rId28" w:history="1">
        <w:r w:rsidR="0067696D" w:rsidRPr="00AB2076">
          <w:rPr>
            <w:rStyle w:val="ae"/>
            <w:szCs w:val="22"/>
          </w:rPr>
          <w:t>https://doi.org/10.38039/2214-4625.1021</w:t>
        </w:r>
      </w:hyperlink>
    </w:p>
    <w:p w14:paraId="6F718B01" w14:textId="0AC25CB4" w:rsidR="00B96ADD" w:rsidRDefault="00B96ADD" w:rsidP="00A1705A">
      <w:pPr>
        <w:rPr>
          <w:rFonts w:hint="eastAsia"/>
          <w:szCs w:val="22"/>
        </w:rPr>
      </w:pPr>
      <w:r>
        <w:rPr>
          <w:rFonts w:hint="eastAsia"/>
          <w:szCs w:val="22"/>
        </w:rPr>
        <w:t xml:space="preserve">[8] </w:t>
      </w:r>
      <w:r w:rsidR="003A447B" w:rsidRPr="003A447B">
        <w:rPr>
          <w:szCs w:val="22"/>
        </w:rPr>
        <w:t xml:space="preserve">Centre for Financial and Management Studies, SOAS, University of London. (2023). </w:t>
      </w:r>
      <w:r w:rsidR="003A447B" w:rsidRPr="003A447B">
        <w:rPr>
          <w:i/>
          <w:iCs/>
          <w:szCs w:val="22"/>
        </w:rPr>
        <w:lastRenderedPageBreak/>
        <w:t>Unit 1: Statistical properties of financial returns</w:t>
      </w:r>
      <w:r w:rsidR="003A447B" w:rsidRPr="003A447B">
        <w:rPr>
          <w:szCs w:val="22"/>
        </w:rPr>
        <w:t xml:space="preserve"> (Course material). SOAS, University of London. </w:t>
      </w:r>
      <w:hyperlink r:id="rId29" w:tgtFrame="_new" w:history="1">
        <w:r w:rsidR="003A447B" w:rsidRPr="003A447B">
          <w:rPr>
            <w:rStyle w:val="ae"/>
            <w:szCs w:val="22"/>
          </w:rPr>
          <w:t>https://www.soas.ac.uk/sites/default/files/2023-02/M459_unit-01_sample.pdf</w:t>
        </w:r>
      </w:hyperlink>
    </w:p>
    <w:p w14:paraId="4610EAAC" w14:textId="553C2565" w:rsidR="00F22D24" w:rsidRDefault="00F22D24" w:rsidP="00F22D24">
      <w:pPr>
        <w:rPr>
          <w:rFonts w:hint="eastAsia"/>
          <w:szCs w:val="22"/>
        </w:rPr>
      </w:pPr>
      <w:r>
        <w:rPr>
          <w:rFonts w:hint="eastAsia"/>
          <w:szCs w:val="22"/>
        </w:rPr>
        <w:t>[</w:t>
      </w:r>
      <w:r w:rsidR="003A447B">
        <w:rPr>
          <w:rFonts w:hint="eastAsia"/>
          <w:szCs w:val="22"/>
        </w:rPr>
        <w:t>9</w:t>
      </w:r>
      <w:r>
        <w:rPr>
          <w:rFonts w:hint="eastAsia"/>
          <w:szCs w:val="22"/>
        </w:rPr>
        <w:t xml:space="preserve">] Yang, Y. (2025). The Impact of Interconnectedness Variation of Global Stock Markets for Geopolitical Conflicts. </w:t>
      </w:r>
      <w:r w:rsidRPr="004B76F7">
        <w:rPr>
          <w:szCs w:val="22"/>
        </w:rPr>
        <w:t>Chaoyang University of Technology.</w:t>
      </w:r>
      <w:r w:rsidR="00C00286">
        <w:rPr>
          <w:rFonts w:hint="eastAsia"/>
          <w:szCs w:val="22"/>
        </w:rPr>
        <w:t xml:space="preserve"> </w:t>
      </w:r>
      <w:r w:rsidRPr="004B76F7">
        <w:rPr>
          <w:rFonts w:hint="eastAsia"/>
          <w:szCs w:val="22"/>
        </w:rPr>
        <w:t>https://ir.lib.cyut.edu.tw/bitstream/310901800/45062/1/113CYUT0304011-002.pdf</w:t>
      </w:r>
    </w:p>
    <w:p w14:paraId="6A57C008" w14:textId="554464F4" w:rsidR="00F22D24" w:rsidRDefault="00D701AE" w:rsidP="00D701AE">
      <w:pPr>
        <w:rPr>
          <w:rFonts w:hint="eastAsia"/>
          <w:szCs w:val="22"/>
        </w:rPr>
      </w:pPr>
      <w:r>
        <w:rPr>
          <w:rFonts w:hint="eastAsia"/>
          <w:szCs w:val="22"/>
        </w:rPr>
        <w:t xml:space="preserve">[10] </w:t>
      </w:r>
      <w:r w:rsidRPr="00D701AE">
        <w:rPr>
          <w:rFonts w:hint="eastAsia"/>
          <w:szCs w:val="22"/>
        </w:rPr>
        <w:t>P.C.B.</w:t>
      </w:r>
      <w:r>
        <w:rPr>
          <w:rFonts w:hint="eastAsia"/>
          <w:szCs w:val="22"/>
        </w:rPr>
        <w:t>,</w:t>
      </w:r>
      <w:r w:rsidRPr="00D701AE">
        <w:rPr>
          <w:rFonts w:hint="eastAsia"/>
          <w:szCs w:val="22"/>
        </w:rPr>
        <w:t xml:space="preserve"> Phillips</w:t>
      </w:r>
      <w:r>
        <w:rPr>
          <w:rFonts w:hint="eastAsia"/>
          <w:szCs w:val="22"/>
        </w:rPr>
        <w:t xml:space="preserve">. (1986). </w:t>
      </w:r>
      <w:r w:rsidRPr="00D701AE">
        <w:rPr>
          <w:rFonts w:hint="eastAsia"/>
          <w:szCs w:val="22"/>
        </w:rPr>
        <w:t>Understanding spurious regressions in econometrics,</w:t>
      </w:r>
      <w:r>
        <w:rPr>
          <w:rFonts w:hint="eastAsia"/>
          <w:szCs w:val="22"/>
        </w:rPr>
        <w:t xml:space="preserve"> </w:t>
      </w:r>
      <w:r w:rsidRPr="00D701AE">
        <w:rPr>
          <w:rFonts w:hint="eastAsia"/>
          <w:szCs w:val="22"/>
        </w:rPr>
        <w:t>Journal of Econometrics,</w:t>
      </w:r>
      <w:r>
        <w:rPr>
          <w:rFonts w:hint="eastAsia"/>
          <w:szCs w:val="22"/>
        </w:rPr>
        <w:t xml:space="preserve"> </w:t>
      </w:r>
      <w:r w:rsidRPr="00D701AE">
        <w:rPr>
          <w:rFonts w:hint="eastAsia"/>
          <w:szCs w:val="22"/>
        </w:rPr>
        <w:t>Volume 33, Issue 3,</w:t>
      </w:r>
      <w:r>
        <w:rPr>
          <w:rFonts w:hint="eastAsia"/>
          <w:szCs w:val="22"/>
        </w:rPr>
        <w:t xml:space="preserve"> </w:t>
      </w:r>
      <w:r w:rsidRPr="00D701AE">
        <w:rPr>
          <w:rFonts w:hint="eastAsia"/>
          <w:szCs w:val="22"/>
        </w:rPr>
        <w:t>ISSN 0304-4076,</w:t>
      </w:r>
      <w:r w:rsidR="00ED4C20">
        <w:rPr>
          <w:rFonts w:hint="eastAsia"/>
          <w:szCs w:val="22"/>
        </w:rPr>
        <w:t xml:space="preserve"> </w:t>
      </w:r>
      <w:r w:rsidR="00ED4C20" w:rsidRPr="00D701AE">
        <w:rPr>
          <w:rFonts w:hint="eastAsia"/>
          <w:szCs w:val="22"/>
        </w:rPr>
        <w:t>311-340</w:t>
      </w:r>
      <w:r w:rsidR="00ED4C20">
        <w:rPr>
          <w:rFonts w:hint="eastAsia"/>
          <w:szCs w:val="22"/>
        </w:rPr>
        <w:t>.</w:t>
      </w:r>
      <w:r w:rsidR="009E6779">
        <w:rPr>
          <w:rFonts w:hint="eastAsia"/>
          <w:szCs w:val="22"/>
        </w:rPr>
        <w:t xml:space="preserve"> </w:t>
      </w:r>
      <w:hyperlink r:id="rId30" w:history="1">
        <w:r w:rsidR="009E6779" w:rsidRPr="003A16EE">
          <w:rPr>
            <w:rStyle w:val="ae"/>
            <w:rFonts w:hint="eastAsia"/>
            <w:szCs w:val="22"/>
          </w:rPr>
          <w:t>https://doi.org/10.1016/0304-4076(86)90001-1</w:t>
        </w:r>
      </w:hyperlink>
    </w:p>
    <w:p w14:paraId="7B77F321" w14:textId="752D307C" w:rsidR="00E463E0" w:rsidRDefault="00E463E0" w:rsidP="00D701AE">
      <w:pPr>
        <w:rPr>
          <w:rFonts w:hint="eastAsia"/>
          <w:szCs w:val="22"/>
        </w:rPr>
      </w:pPr>
      <w:r>
        <w:rPr>
          <w:rFonts w:hint="eastAsia"/>
          <w:szCs w:val="22"/>
        </w:rPr>
        <w:t>[11]</w:t>
      </w:r>
      <w:r w:rsidRPr="00E463E0">
        <w:rPr>
          <w:rFonts w:ascii="Arial" w:hAnsi="Arial" w:cs="Arial"/>
          <w:color w:val="222222"/>
          <w:sz w:val="20"/>
          <w:szCs w:val="20"/>
          <w:shd w:val="clear" w:color="auto" w:fill="FFFFFF"/>
        </w:rPr>
        <w:t xml:space="preserve"> </w:t>
      </w:r>
      <w:r w:rsidRPr="00E463E0">
        <w:rPr>
          <w:szCs w:val="22"/>
        </w:rPr>
        <w:t>Miyazaki, T., &amp; Hamori, S. (2014). Cointegration with regime shift between gold and financial variables. </w:t>
      </w:r>
      <w:r w:rsidRPr="00E463E0">
        <w:rPr>
          <w:i/>
          <w:iCs/>
          <w:szCs w:val="22"/>
        </w:rPr>
        <w:t>International Journal of Financial Research</w:t>
      </w:r>
      <w:r w:rsidRPr="00E463E0">
        <w:rPr>
          <w:szCs w:val="22"/>
        </w:rPr>
        <w:t>, </w:t>
      </w:r>
      <w:r w:rsidRPr="00E463E0">
        <w:rPr>
          <w:i/>
          <w:iCs/>
          <w:szCs w:val="22"/>
        </w:rPr>
        <w:t>5</w:t>
      </w:r>
      <w:r w:rsidRPr="00E463E0">
        <w:rPr>
          <w:szCs w:val="22"/>
        </w:rPr>
        <w:t>(4), 90-97.</w:t>
      </w:r>
      <w:r w:rsidR="009E6779">
        <w:rPr>
          <w:rFonts w:hint="eastAsia"/>
          <w:szCs w:val="22"/>
        </w:rPr>
        <w:t xml:space="preserve"> </w:t>
      </w:r>
      <w:hyperlink r:id="rId31" w:history="1">
        <w:r w:rsidR="009E6779" w:rsidRPr="003A16EE">
          <w:rPr>
            <w:rStyle w:val="ae"/>
            <w:rFonts w:hint="eastAsia"/>
            <w:szCs w:val="22"/>
          </w:rPr>
          <w:t>https://doi.org/</w:t>
        </w:r>
        <w:r w:rsidR="009E6779" w:rsidRPr="003A16EE">
          <w:rPr>
            <w:rStyle w:val="ae"/>
            <w:szCs w:val="22"/>
          </w:rPr>
          <w:t>10.5430/ijfr.v5n4p90</w:t>
        </w:r>
      </w:hyperlink>
    </w:p>
    <w:p w14:paraId="22160110" w14:textId="4038E925" w:rsidR="009E6779" w:rsidRDefault="00E1655C" w:rsidP="00D701AE">
      <w:pPr>
        <w:rPr>
          <w:rFonts w:hint="eastAsia"/>
          <w:szCs w:val="22"/>
        </w:rPr>
      </w:pPr>
      <w:r>
        <w:rPr>
          <w:rFonts w:hint="eastAsia"/>
          <w:szCs w:val="22"/>
        </w:rPr>
        <w:t>[12]</w:t>
      </w:r>
      <w:r w:rsidR="00B371FC">
        <w:rPr>
          <w:rFonts w:hint="eastAsia"/>
          <w:szCs w:val="22"/>
        </w:rPr>
        <w:t xml:space="preserve"> </w:t>
      </w:r>
      <w:r w:rsidR="00B371FC" w:rsidRPr="00B371FC">
        <w:rPr>
          <w:szCs w:val="22"/>
        </w:rPr>
        <w:t>Capie, F., Mills, T. C., &amp; Wood, G. (2004). </w:t>
      </w:r>
      <w:r w:rsidR="00B371FC" w:rsidRPr="00B371FC">
        <w:rPr>
          <w:i/>
          <w:iCs/>
          <w:szCs w:val="22"/>
        </w:rPr>
        <w:t>Gold as a Hedge against the US Dollar</w:t>
      </w:r>
      <w:r w:rsidR="00B371FC" w:rsidRPr="00B371FC">
        <w:rPr>
          <w:szCs w:val="22"/>
        </w:rPr>
        <w:t>. World Gold Council.</w:t>
      </w:r>
    </w:p>
    <w:p w14:paraId="1231A32A" w14:textId="60F9AAB8" w:rsidR="008720D6" w:rsidRDefault="008720D6" w:rsidP="00D701AE">
      <w:pPr>
        <w:rPr>
          <w:rFonts w:hint="eastAsia"/>
          <w:szCs w:val="22"/>
        </w:rPr>
      </w:pPr>
      <w:r>
        <w:rPr>
          <w:rFonts w:hint="eastAsia"/>
          <w:szCs w:val="22"/>
        </w:rPr>
        <w:t xml:space="preserve">[13] </w:t>
      </w:r>
      <w:bookmarkStart w:id="23" w:name="OLE_LINK8"/>
      <w:r w:rsidRPr="008720D6">
        <w:rPr>
          <w:szCs w:val="22"/>
        </w:rPr>
        <w:t>Azimli</w:t>
      </w:r>
      <w:bookmarkEnd w:id="23"/>
      <w:r w:rsidRPr="008720D6">
        <w:rPr>
          <w:szCs w:val="22"/>
        </w:rPr>
        <w:t>, A. (2024). Is gold a safe haven for the US dollar during extreme conditions?. </w:t>
      </w:r>
      <w:r w:rsidRPr="008720D6">
        <w:rPr>
          <w:i/>
          <w:iCs/>
          <w:szCs w:val="22"/>
        </w:rPr>
        <w:t>International Economics</w:t>
      </w:r>
      <w:r w:rsidRPr="008720D6">
        <w:rPr>
          <w:szCs w:val="22"/>
        </w:rPr>
        <w:t>, </w:t>
      </w:r>
      <w:r w:rsidRPr="008720D6">
        <w:rPr>
          <w:i/>
          <w:iCs/>
          <w:szCs w:val="22"/>
        </w:rPr>
        <w:t>177</w:t>
      </w:r>
      <w:r w:rsidRPr="008720D6">
        <w:rPr>
          <w:szCs w:val="22"/>
        </w:rPr>
        <w:t>, 100478.</w:t>
      </w:r>
      <w:r>
        <w:rPr>
          <w:rFonts w:hint="eastAsia"/>
          <w:szCs w:val="22"/>
        </w:rPr>
        <w:t xml:space="preserve"> </w:t>
      </w:r>
      <w:hyperlink r:id="rId32" w:tgtFrame="_blank" w:tooltip="Persistent link using digital object identifier" w:history="1">
        <w:r w:rsidRPr="008720D6">
          <w:rPr>
            <w:rStyle w:val="ae"/>
            <w:szCs w:val="22"/>
          </w:rPr>
          <w:t>https://doi.org/10.1016/j.inteco.2024.100478</w:t>
        </w:r>
      </w:hyperlink>
    </w:p>
    <w:p w14:paraId="049D3DF5" w14:textId="77777777" w:rsidR="00B371FC" w:rsidRDefault="00B371FC" w:rsidP="00B371FC">
      <w:pPr>
        <w:rPr>
          <w:rFonts w:hint="eastAsia"/>
          <w:szCs w:val="22"/>
        </w:rPr>
      </w:pPr>
      <w:r>
        <w:rPr>
          <w:rFonts w:hint="eastAsia"/>
          <w:szCs w:val="22"/>
        </w:rPr>
        <w:t xml:space="preserve">[14] </w:t>
      </w:r>
      <w:r w:rsidRPr="009E6779">
        <w:rPr>
          <w:szCs w:val="22"/>
        </w:rPr>
        <w:t>Joy, M. (2011). Gold and the US dollar: Hedge or haven?. </w:t>
      </w:r>
      <w:r w:rsidRPr="009E6779">
        <w:rPr>
          <w:i/>
          <w:iCs/>
          <w:szCs w:val="22"/>
        </w:rPr>
        <w:t>Finance Research Letters</w:t>
      </w:r>
      <w:r w:rsidRPr="009E6779">
        <w:rPr>
          <w:szCs w:val="22"/>
        </w:rPr>
        <w:t>, </w:t>
      </w:r>
      <w:r w:rsidRPr="009E6779">
        <w:rPr>
          <w:i/>
          <w:iCs/>
          <w:szCs w:val="22"/>
        </w:rPr>
        <w:t>8</w:t>
      </w:r>
      <w:r w:rsidRPr="009E6779">
        <w:rPr>
          <w:szCs w:val="22"/>
        </w:rPr>
        <w:t>(3), 120-131.</w:t>
      </w:r>
      <w:r>
        <w:rPr>
          <w:rFonts w:hint="eastAsia"/>
          <w:szCs w:val="22"/>
        </w:rPr>
        <w:t xml:space="preserve"> </w:t>
      </w:r>
      <w:hyperlink r:id="rId33" w:history="1">
        <w:r w:rsidRPr="003A16EE">
          <w:rPr>
            <w:rStyle w:val="ae"/>
            <w:szCs w:val="22"/>
          </w:rPr>
          <w:t>https://doi.org/10.1016/j.frl.2011.01.001</w:t>
        </w:r>
      </w:hyperlink>
    </w:p>
    <w:p w14:paraId="3DEFDA2C" w14:textId="516A67E5" w:rsidR="002E030D" w:rsidRPr="002E030D" w:rsidRDefault="002E030D" w:rsidP="002E030D">
      <w:pPr>
        <w:rPr>
          <w:rFonts w:hint="eastAsia"/>
          <w:szCs w:val="22"/>
        </w:rPr>
      </w:pPr>
      <w:r>
        <w:rPr>
          <w:rFonts w:hint="eastAsia"/>
          <w:szCs w:val="22"/>
        </w:rPr>
        <w:t xml:space="preserve">[15] </w:t>
      </w:r>
      <w:r w:rsidRPr="002E030D">
        <w:rPr>
          <w:szCs w:val="22"/>
        </w:rPr>
        <w:t>Baur, D. G., &amp; Lucey, B. M. (2010). Is gold a hedge or a safe haven? An analysis of stocks, bonds and gold. </w:t>
      </w:r>
      <w:r w:rsidRPr="002E030D">
        <w:rPr>
          <w:i/>
          <w:iCs/>
          <w:szCs w:val="22"/>
        </w:rPr>
        <w:t>Financial review</w:t>
      </w:r>
      <w:r w:rsidRPr="002E030D">
        <w:rPr>
          <w:szCs w:val="22"/>
        </w:rPr>
        <w:t>, </w:t>
      </w:r>
      <w:r w:rsidRPr="002E030D">
        <w:rPr>
          <w:i/>
          <w:iCs/>
          <w:szCs w:val="22"/>
        </w:rPr>
        <w:t>45</w:t>
      </w:r>
      <w:r w:rsidRPr="002E030D">
        <w:rPr>
          <w:szCs w:val="22"/>
        </w:rPr>
        <w:t>(2), 217-229.</w:t>
      </w:r>
      <w:r>
        <w:rPr>
          <w:rFonts w:hint="eastAsia"/>
          <w:szCs w:val="22"/>
        </w:rPr>
        <w:t xml:space="preserve"> </w:t>
      </w:r>
      <w:hyperlink r:id="rId34" w:history="1">
        <w:r w:rsidRPr="002E030D">
          <w:rPr>
            <w:rStyle w:val="ae"/>
            <w:szCs w:val="22"/>
          </w:rPr>
          <w:t>https://doi.org/10.1111/j.1540-6288.2010.00244.x</w:t>
        </w:r>
      </w:hyperlink>
    </w:p>
    <w:p w14:paraId="72E2C48D" w14:textId="3591A65F" w:rsidR="00B371FC" w:rsidRPr="00B371FC" w:rsidRDefault="00B371FC" w:rsidP="00D701AE">
      <w:pPr>
        <w:rPr>
          <w:rFonts w:hint="eastAsia"/>
          <w:szCs w:val="22"/>
        </w:rPr>
      </w:pPr>
    </w:p>
    <w:sectPr w:rsidR="00B371FC" w:rsidRPr="00B371FC">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子睿 黄" w:date="2026-03-15T20:54:00Z" w:initials="子黄">
    <w:p w14:paraId="56D2D3F0" w14:textId="77777777" w:rsidR="00882D1D" w:rsidRDefault="00882D1D" w:rsidP="00882D1D">
      <w:pPr>
        <w:pStyle w:val="af8"/>
      </w:pPr>
      <w:r>
        <w:rPr>
          <w:rStyle w:val="af7"/>
          <w:rFonts w:hint="eastAsia"/>
        </w:rPr>
        <w:annotationRef/>
      </w:r>
      <w:r>
        <w:rPr>
          <w:rFonts w:hint="eastAsia"/>
        </w:rPr>
        <w:t>Level data means the original price or index against time span. For differenced data, financial time series are often analysed in return form (first differences or log returns), as returns are usually stationary and more suitable for time-series modeling. i.e. the natural logarithm of the data of nth day minus the natural logarithm of (n-1)th day.</w:t>
      </w:r>
    </w:p>
  </w:comment>
  <w:comment w:id="2" w:author="子睿 黄" w:date="2026-03-15T20:34:00Z" w:initials="子黄">
    <w:p w14:paraId="10580E55" w14:textId="77777777" w:rsidR="003736EA" w:rsidRDefault="003736EA" w:rsidP="003736EA">
      <w:pPr>
        <w:pStyle w:val="af8"/>
      </w:pPr>
      <w:r>
        <w:rPr>
          <w:rStyle w:val="af7"/>
          <w:rFonts w:hint="eastAsia"/>
        </w:rPr>
        <w:annotationRef/>
      </w:r>
      <w:r>
        <w:rPr>
          <w:rFonts w:hint="eastAsia"/>
        </w:rPr>
        <w:t xml:space="preserve">Rolling correlation is used to examine how the relationship between gold prices and the U.S. dollar changes over time. Unlike a single correlation coefficient, this method captures time-varying dependence. </w:t>
      </w:r>
    </w:p>
  </w:comment>
  <w:comment w:id="5" w:author="子睿 黄" w:date="2026-03-15T20:35:00Z" w:initials="子黄">
    <w:p w14:paraId="541E4073" w14:textId="77777777" w:rsidR="003736EA" w:rsidRDefault="003736EA" w:rsidP="003736EA">
      <w:pPr>
        <w:pStyle w:val="af8"/>
      </w:pPr>
      <w:r>
        <w:rPr>
          <w:rStyle w:val="af7"/>
          <w:rFonts w:hint="eastAsia"/>
        </w:rPr>
        <w:annotationRef/>
      </w:r>
      <w:r>
        <w:rPr>
          <w:rFonts w:hint="eastAsia"/>
        </w:rPr>
        <w:t xml:space="preserve">The VAR model is used to analyse dynamic interactions between multiple time series. Each variable is modeled as a function of its own past values and the past values of other variables. </w:t>
      </w:r>
    </w:p>
  </w:comment>
  <w:comment w:id="6" w:author="子睿 黄" w:date="2026-03-15T20:19:00Z" w:initials="子黄">
    <w:p w14:paraId="7C145873" w14:textId="77777777" w:rsidR="00F07D72" w:rsidRDefault="00F07D72" w:rsidP="00F07D72">
      <w:pPr>
        <w:pStyle w:val="af8"/>
      </w:pPr>
      <w:r>
        <w:rPr>
          <w:rStyle w:val="af7"/>
          <w:rFonts w:hint="eastAsia"/>
        </w:rPr>
        <w:annotationRef/>
      </w:r>
      <w:r>
        <w:rPr>
          <w:rFonts w:hint="eastAsia"/>
        </w:rPr>
        <w:t xml:space="preserve">The choice of parameters explanation: the time required to change market conditions is around 30 to 120 days, including the market expectation and so on. </w:t>
      </w:r>
    </w:p>
  </w:comment>
  <w:comment w:id="8" w:author="子睿 黄" w:date="2026-03-15T20:21:00Z" w:initials="子黄">
    <w:p w14:paraId="6D176351" w14:textId="77777777" w:rsidR="00F07D72" w:rsidRDefault="00F07D72" w:rsidP="00F07D72">
      <w:pPr>
        <w:pStyle w:val="af8"/>
      </w:pPr>
      <w:r>
        <w:rPr>
          <w:rStyle w:val="af7"/>
          <w:rFonts w:hint="eastAsia"/>
        </w:rPr>
        <w:annotationRef/>
      </w:r>
      <w:r>
        <w:rPr>
          <w:rFonts w:hint="eastAsia"/>
        </w:rPr>
        <w:t>That means more extreme values would appear, and kurtosis is used to measure how often the extreme values would appear. Higher kurtosis means more extreme values.</w:t>
      </w:r>
    </w:p>
  </w:comment>
  <w:comment w:id="9" w:author="子睿 黄" w:date="2026-03-15T20:33:00Z" w:initials="子黄">
    <w:p w14:paraId="62E8344A" w14:textId="77777777" w:rsidR="003736EA" w:rsidRDefault="003736EA" w:rsidP="003736EA">
      <w:pPr>
        <w:pStyle w:val="af8"/>
      </w:pPr>
      <w:r>
        <w:rPr>
          <w:rStyle w:val="af7"/>
          <w:rFonts w:hint="eastAsia"/>
        </w:rPr>
        <w:annotationRef/>
      </w:r>
      <w:r>
        <w:rPr>
          <w:rFonts w:hint="eastAsia"/>
        </w:rPr>
        <w:t xml:space="preserve">The Augmented Dickey-Fuller (ADF) test is used to determine whether a time series is stationary. This step is necessary because many econometric models require stationary data to avoid spurious regression. </w:t>
      </w:r>
    </w:p>
  </w:comment>
  <w:comment w:id="10" w:author="子睿 黄" w:date="2026-03-15T20:44:00Z" w:initials="子黄">
    <w:p w14:paraId="20F5BEAC" w14:textId="77777777" w:rsidR="00C826A8" w:rsidRDefault="00C826A8" w:rsidP="00C826A8">
      <w:pPr>
        <w:pStyle w:val="af8"/>
      </w:pPr>
      <w:r>
        <w:rPr>
          <w:rStyle w:val="af7"/>
          <w:rFonts w:hint="eastAsia"/>
        </w:rPr>
        <w:annotationRef/>
      </w:r>
      <w:r>
        <w:rPr>
          <w:rFonts w:hint="eastAsia"/>
        </w:rPr>
        <w:t>The red solid lines represent the zero level.</w:t>
      </w:r>
    </w:p>
  </w:comment>
  <w:comment w:id="12" w:author="子睿 黄" w:date="2026-03-15T21:04:00Z" w:initials="子黄">
    <w:p w14:paraId="24852541" w14:textId="77777777" w:rsidR="00F658B3" w:rsidRDefault="00F658B3" w:rsidP="00F658B3">
      <w:pPr>
        <w:pStyle w:val="af8"/>
      </w:pPr>
      <w:r>
        <w:rPr>
          <w:rStyle w:val="af7"/>
          <w:rFonts w:hint="eastAsia"/>
        </w:rPr>
        <w:annotationRef/>
      </w:r>
      <w:r>
        <w:rPr>
          <w:rFonts w:hint="eastAsia"/>
        </w:rPr>
        <w:t xml:space="preserve">Lag length m means for t th day, the equations for the model contain the data for t-1, t-2, … , t-m th day, analogous to recursive formulae. The lag order of the VAR model is selected using information criteria (such as AIC or BIC), which balance model fit and complexity. The lag with the lowest criterion value is chosen. </w:t>
      </w:r>
    </w:p>
  </w:comment>
  <w:comment w:id="14" w:author="子睿 黄" w:date="2026-03-15T20:36:00Z" w:initials="子黄">
    <w:p w14:paraId="4953F4E7" w14:textId="77777777" w:rsidR="003736EA" w:rsidRDefault="003736EA" w:rsidP="003736EA">
      <w:pPr>
        <w:pStyle w:val="af8"/>
      </w:pPr>
      <w:r>
        <w:rPr>
          <w:rStyle w:val="af7"/>
          <w:rFonts w:hint="eastAsia"/>
        </w:rPr>
        <w:annotationRef/>
      </w:r>
      <w:r>
        <w:rPr>
          <w:rFonts w:hint="eastAsia"/>
        </w:rPr>
        <w:t xml:space="preserve">The Granger causality test examines whether past values of one variable help predict another variable. </w:t>
      </w:r>
    </w:p>
  </w:comment>
  <w:comment w:id="16" w:author="子睿 黄" w:date="2026-03-15T20:36:00Z" w:initials="子黄">
    <w:p w14:paraId="64033B5F" w14:textId="77777777" w:rsidR="003736EA" w:rsidRDefault="003736EA" w:rsidP="003736EA">
      <w:pPr>
        <w:pStyle w:val="af8"/>
      </w:pPr>
      <w:r>
        <w:rPr>
          <w:rStyle w:val="af7"/>
          <w:rFonts w:hint="eastAsia"/>
        </w:rPr>
        <w:annotationRef/>
      </w:r>
      <w:r>
        <w:rPr>
          <w:rFonts w:hint="eastAsia"/>
        </w:rPr>
        <w:t xml:space="preserve">Impulse response functions show how one variable reacts over time to a shock in another variable. </w:t>
      </w:r>
    </w:p>
  </w:comment>
  <w:comment w:id="17" w:author="子睿 黄" w:date="2026-03-15T20:44:00Z" w:initials="子黄">
    <w:p w14:paraId="32A6DC2B" w14:textId="77777777" w:rsidR="00C826A8" w:rsidRDefault="00C826A8" w:rsidP="00C826A8">
      <w:pPr>
        <w:pStyle w:val="af8"/>
      </w:pPr>
      <w:r>
        <w:rPr>
          <w:rStyle w:val="af7"/>
          <w:rFonts w:hint="eastAsia"/>
        </w:rPr>
        <w:annotationRef/>
      </w:r>
      <w:r>
        <w:rPr>
          <w:rFonts w:hint="eastAsia"/>
        </w:rPr>
        <w:t xml:space="preserve">The solid line represents the estimated impulse response, while the dashed lines denote the 95% confidence intervals. Responses are considered statistically significant when the confidence bands do not cross zero. </w:t>
      </w:r>
    </w:p>
  </w:comment>
  <w:comment w:id="18" w:author="子睿 黄" w:date="2026-03-15T20:52:00Z" w:initials="子黄">
    <w:p w14:paraId="7B353A2F" w14:textId="77777777" w:rsidR="00882D1D" w:rsidRDefault="00882D1D" w:rsidP="00882D1D">
      <w:pPr>
        <w:pStyle w:val="af8"/>
      </w:pPr>
      <w:r>
        <w:rPr>
          <w:rStyle w:val="af7"/>
          <w:rFonts w:hint="eastAsia"/>
        </w:rPr>
        <w:annotationRef/>
      </w:r>
      <w:r>
        <w:rPr>
          <w:rFonts w:hint="eastAsia"/>
        </w:rPr>
        <w:t>Note that for economic identification priority, we consider DXY as an macroeconomically exogenous variable and gold price as an asset reflecting prices. So we prioritize DXY shock making the gold price respond.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6D2D3F0" w15:done="0"/>
  <w15:commentEx w15:paraId="10580E55" w15:done="0"/>
  <w15:commentEx w15:paraId="541E4073" w15:done="0"/>
  <w15:commentEx w15:paraId="7C145873" w15:done="0"/>
  <w15:commentEx w15:paraId="6D176351" w15:done="0"/>
  <w15:commentEx w15:paraId="62E8344A" w15:done="0"/>
  <w15:commentEx w15:paraId="20F5BEAC" w15:done="0"/>
  <w15:commentEx w15:paraId="24852541" w15:done="0"/>
  <w15:commentEx w15:paraId="4953F4E7" w15:done="0"/>
  <w15:commentEx w15:paraId="64033B5F" w15:done="0"/>
  <w15:commentEx w15:paraId="32A6DC2B" w15:done="0"/>
  <w15:commentEx w15:paraId="7B353A2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3A07A53" w16cex:dateUtc="2026-03-15T20:54:00Z"/>
  <w16cex:commentExtensible w16cex:durableId="7B05ED94" w16cex:dateUtc="2026-03-15T20:34:00Z"/>
  <w16cex:commentExtensible w16cex:durableId="4E0D59C0" w16cex:dateUtc="2026-03-15T20:35:00Z"/>
  <w16cex:commentExtensible w16cex:durableId="531308E5" w16cex:dateUtc="2026-03-15T20:19:00Z"/>
  <w16cex:commentExtensible w16cex:durableId="31838437" w16cex:dateUtc="2026-03-15T20:21:00Z"/>
  <w16cex:commentExtensible w16cex:durableId="34D3DF1B" w16cex:dateUtc="2026-03-15T20:33:00Z"/>
  <w16cex:commentExtensible w16cex:durableId="591A8076" w16cex:dateUtc="2026-03-15T20:44:00Z"/>
  <w16cex:commentExtensible w16cex:durableId="39AD9496" w16cex:dateUtc="2026-03-15T21:04:00Z"/>
  <w16cex:commentExtensible w16cex:durableId="259087FD" w16cex:dateUtc="2026-03-15T20:36:00Z"/>
  <w16cex:commentExtensible w16cex:durableId="2A95CCEF" w16cex:dateUtc="2026-03-15T20:36:00Z"/>
  <w16cex:commentExtensible w16cex:durableId="4C8DAC2A" w16cex:dateUtc="2026-03-15T20:44:00Z"/>
  <w16cex:commentExtensible w16cex:durableId="5E8C9111" w16cex:dateUtc="2026-03-15T20: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6D2D3F0" w16cid:durableId="43A07A53"/>
  <w16cid:commentId w16cid:paraId="10580E55" w16cid:durableId="7B05ED94"/>
  <w16cid:commentId w16cid:paraId="541E4073" w16cid:durableId="4E0D59C0"/>
  <w16cid:commentId w16cid:paraId="7C145873" w16cid:durableId="531308E5"/>
  <w16cid:commentId w16cid:paraId="6D176351" w16cid:durableId="31838437"/>
  <w16cid:commentId w16cid:paraId="62E8344A" w16cid:durableId="34D3DF1B"/>
  <w16cid:commentId w16cid:paraId="20F5BEAC" w16cid:durableId="591A8076"/>
  <w16cid:commentId w16cid:paraId="24852541" w16cid:durableId="39AD9496"/>
  <w16cid:commentId w16cid:paraId="4953F4E7" w16cid:durableId="259087FD"/>
  <w16cid:commentId w16cid:paraId="64033B5F" w16cid:durableId="2A95CCEF"/>
  <w16cid:commentId w16cid:paraId="32A6DC2B" w16cid:durableId="4C8DAC2A"/>
  <w16cid:commentId w16cid:paraId="7B353A2F" w16cid:durableId="5E8C911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5FDF4A" w14:textId="77777777" w:rsidR="00A37921" w:rsidRDefault="00A37921" w:rsidP="00B848DA">
      <w:pPr>
        <w:spacing w:after="0" w:line="240" w:lineRule="auto"/>
        <w:rPr>
          <w:rFonts w:hint="eastAsia"/>
        </w:rPr>
      </w:pPr>
      <w:r>
        <w:separator/>
      </w:r>
    </w:p>
  </w:endnote>
  <w:endnote w:type="continuationSeparator" w:id="0">
    <w:p w14:paraId="5704739E" w14:textId="77777777" w:rsidR="00A37921" w:rsidRDefault="00A37921" w:rsidP="00B848DA">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0FAAD8" w14:textId="77777777" w:rsidR="00A37921" w:rsidRDefault="00A37921" w:rsidP="00B848DA">
      <w:pPr>
        <w:spacing w:after="0" w:line="240" w:lineRule="auto"/>
        <w:rPr>
          <w:rFonts w:hint="eastAsia"/>
        </w:rPr>
      </w:pPr>
      <w:r>
        <w:separator/>
      </w:r>
    </w:p>
  </w:footnote>
  <w:footnote w:type="continuationSeparator" w:id="0">
    <w:p w14:paraId="3FDDA0C4" w14:textId="77777777" w:rsidR="00A37921" w:rsidRDefault="00A37921" w:rsidP="00B848DA">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AA0B2D"/>
    <w:multiLevelType w:val="multilevel"/>
    <w:tmpl w:val="803CFD0A"/>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num w:numId="1" w16cid:durableId="174510083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子睿 黄">
    <w15:presenceInfo w15:providerId="Windows Live" w15:userId="881f77874fa9d42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2374"/>
    <w:rsid w:val="00005A98"/>
    <w:rsid w:val="00006E08"/>
    <w:rsid w:val="00017233"/>
    <w:rsid w:val="00044C13"/>
    <w:rsid w:val="000616C7"/>
    <w:rsid w:val="00061E99"/>
    <w:rsid w:val="00065FFE"/>
    <w:rsid w:val="000852BA"/>
    <w:rsid w:val="00095ED7"/>
    <w:rsid w:val="000B4237"/>
    <w:rsid w:val="000D3BF7"/>
    <w:rsid w:val="000D47D7"/>
    <w:rsid w:val="000F48D1"/>
    <w:rsid w:val="0012188F"/>
    <w:rsid w:val="00130B45"/>
    <w:rsid w:val="00141C8A"/>
    <w:rsid w:val="001567F5"/>
    <w:rsid w:val="00162374"/>
    <w:rsid w:val="0016581C"/>
    <w:rsid w:val="00190D5D"/>
    <w:rsid w:val="0019170C"/>
    <w:rsid w:val="001A0B88"/>
    <w:rsid w:val="001A595D"/>
    <w:rsid w:val="001B62A3"/>
    <w:rsid w:val="00216516"/>
    <w:rsid w:val="002172C2"/>
    <w:rsid w:val="00245A74"/>
    <w:rsid w:val="002A7239"/>
    <w:rsid w:val="002B1841"/>
    <w:rsid w:val="002B3A8F"/>
    <w:rsid w:val="002D7203"/>
    <w:rsid w:val="002D786E"/>
    <w:rsid w:val="002E030D"/>
    <w:rsid w:val="003031F2"/>
    <w:rsid w:val="00307E54"/>
    <w:rsid w:val="003154BD"/>
    <w:rsid w:val="003354B8"/>
    <w:rsid w:val="00340890"/>
    <w:rsid w:val="00351E52"/>
    <w:rsid w:val="00362A24"/>
    <w:rsid w:val="003736EA"/>
    <w:rsid w:val="00381281"/>
    <w:rsid w:val="003831D2"/>
    <w:rsid w:val="00391C61"/>
    <w:rsid w:val="00393181"/>
    <w:rsid w:val="003A447B"/>
    <w:rsid w:val="003C3E62"/>
    <w:rsid w:val="003D389B"/>
    <w:rsid w:val="003E1446"/>
    <w:rsid w:val="003E3522"/>
    <w:rsid w:val="003F2342"/>
    <w:rsid w:val="003F3690"/>
    <w:rsid w:val="003F7DCF"/>
    <w:rsid w:val="00424844"/>
    <w:rsid w:val="00437D8B"/>
    <w:rsid w:val="004501F9"/>
    <w:rsid w:val="0046087D"/>
    <w:rsid w:val="00462F64"/>
    <w:rsid w:val="00485545"/>
    <w:rsid w:val="004A1200"/>
    <w:rsid w:val="004A7CFF"/>
    <w:rsid w:val="004B76F7"/>
    <w:rsid w:val="004C20BE"/>
    <w:rsid w:val="004F5938"/>
    <w:rsid w:val="005030BA"/>
    <w:rsid w:val="00512D20"/>
    <w:rsid w:val="00536440"/>
    <w:rsid w:val="005450F2"/>
    <w:rsid w:val="00553567"/>
    <w:rsid w:val="005609F8"/>
    <w:rsid w:val="00560AE6"/>
    <w:rsid w:val="005C3FDA"/>
    <w:rsid w:val="005D3A71"/>
    <w:rsid w:val="005D57B9"/>
    <w:rsid w:val="005E4BB9"/>
    <w:rsid w:val="005F17D7"/>
    <w:rsid w:val="005F2C5D"/>
    <w:rsid w:val="005F5FD3"/>
    <w:rsid w:val="00605CFC"/>
    <w:rsid w:val="00632BFD"/>
    <w:rsid w:val="00647F2F"/>
    <w:rsid w:val="0067192E"/>
    <w:rsid w:val="0067696D"/>
    <w:rsid w:val="00676AE6"/>
    <w:rsid w:val="00682DC7"/>
    <w:rsid w:val="00694DA0"/>
    <w:rsid w:val="00696ADD"/>
    <w:rsid w:val="006B269D"/>
    <w:rsid w:val="006C0DD8"/>
    <w:rsid w:val="006C4EF8"/>
    <w:rsid w:val="006F35C5"/>
    <w:rsid w:val="00703463"/>
    <w:rsid w:val="007329FF"/>
    <w:rsid w:val="00734C7D"/>
    <w:rsid w:val="00743F42"/>
    <w:rsid w:val="00752359"/>
    <w:rsid w:val="00762B76"/>
    <w:rsid w:val="00763047"/>
    <w:rsid w:val="007647A7"/>
    <w:rsid w:val="00772104"/>
    <w:rsid w:val="00772221"/>
    <w:rsid w:val="00780F57"/>
    <w:rsid w:val="00782380"/>
    <w:rsid w:val="0079429D"/>
    <w:rsid w:val="007D23C0"/>
    <w:rsid w:val="007D4780"/>
    <w:rsid w:val="00823997"/>
    <w:rsid w:val="008400F7"/>
    <w:rsid w:val="00857927"/>
    <w:rsid w:val="00867000"/>
    <w:rsid w:val="008720D6"/>
    <w:rsid w:val="0088229E"/>
    <w:rsid w:val="00882D1D"/>
    <w:rsid w:val="008918E3"/>
    <w:rsid w:val="008A5376"/>
    <w:rsid w:val="008A780E"/>
    <w:rsid w:val="008B31F5"/>
    <w:rsid w:val="008B5353"/>
    <w:rsid w:val="008B7F33"/>
    <w:rsid w:val="008E5C25"/>
    <w:rsid w:val="008E5E9B"/>
    <w:rsid w:val="00905580"/>
    <w:rsid w:val="009234CF"/>
    <w:rsid w:val="00927012"/>
    <w:rsid w:val="0094151D"/>
    <w:rsid w:val="00952C88"/>
    <w:rsid w:val="00965F4C"/>
    <w:rsid w:val="009923F3"/>
    <w:rsid w:val="009A308A"/>
    <w:rsid w:val="009C2AC1"/>
    <w:rsid w:val="009C400E"/>
    <w:rsid w:val="009D1FC4"/>
    <w:rsid w:val="009D798D"/>
    <w:rsid w:val="009E52D4"/>
    <w:rsid w:val="009E6779"/>
    <w:rsid w:val="009F285B"/>
    <w:rsid w:val="00A01EDE"/>
    <w:rsid w:val="00A02A8A"/>
    <w:rsid w:val="00A052BC"/>
    <w:rsid w:val="00A1070B"/>
    <w:rsid w:val="00A11A90"/>
    <w:rsid w:val="00A12853"/>
    <w:rsid w:val="00A1705A"/>
    <w:rsid w:val="00A342FF"/>
    <w:rsid w:val="00A37921"/>
    <w:rsid w:val="00A44F29"/>
    <w:rsid w:val="00A6610E"/>
    <w:rsid w:val="00A67E93"/>
    <w:rsid w:val="00A84C02"/>
    <w:rsid w:val="00A87A4E"/>
    <w:rsid w:val="00AB74B8"/>
    <w:rsid w:val="00B25A3E"/>
    <w:rsid w:val="00B34C16"/>
    <w:rsid w:val="00B35AD6"/>
    <w:rsid w:val="00B36B4D"/>
    <w:rsid w:val="00B371FC"/>
    <w:rsid w:val="00B43B44"/>
    <w:rsid w:val="00B4502D"/>
    <w:rsid w:val="00B70B1D"/>
    <w:rsid w:val="00B74E9B"/>
    <w:rsid w:val="00B82E08"/>
    <w:rsid w:val="00B848DA"/>
    <w:rsid w:val="00B940B5"/>
    <w:rsid w:val="00B96ADD"/>
    <w:rsid w:val="00BA7129"/>
    <w:rsid w:val="00BB2BA2"/>
    <w:rsid w:val="00BB72C8"/>
    <w:rsid w:val="00C00286"/>
    <w:rsid w:val="00C03CEC"/>
    <w:rsid w:val="00C06AA8"/>
    <w:rsid w:val="00C45812"/>
    <w:rsid w:val="00C6284D"/>
    <w:rsid w:val="00C71102"/>
    <w:rsid w:val="00C71707"/>
    <w:rsid w:val="00C826A8"/>
    <w:rsid w:val="00CB33B1"/>
    <w:rsid w:val="00CE7139"/>
    <w:rsid w:val="00CF1F48"/>
    <w:rsid w:val="00D1797A"/>
    <w:rsid w:val="00D25962"/>
    <w:rsid w:val="00D43744"/>
    <w:rsid w:val="00D524ED"/>
    <w:rsid w:val="00D52617"/>
    <w:rsid w:val="00D6079A"/>
    <w:rsid w:val="00D64C58"/>
    <w:rsid w:val="00D701AE"/>
    <w:rsid w:val="00D72274"/>
    <w:rsid w:val="00D8067B"/>
    <w:rsid w:val="00DA0943"/>
    <w:rsid w:val="00DC3A8F"/>
    <w:rsid w:val="00DF20DE"/>
    <w:rsid w:val="00E14342"/>
    <w:rsid w:val="00E1655C"/>
    <w:rsid w:val="00E41D41"/>
    <w:rsid w:val="00E43233"/>
    <w:rsid w:val="00E463E0"/>
    <w:rsid w:val="00E47341"/>
    <w:rsid w:val="00E520C9"/>
    <w:rsid w:val="00E617D9"/>
    <w:rsid w:val="00E618FB"/>
    <w:rsid w:val="00E7542D"/>
    <w:rsid w:val="00E94B58"/>
    <w:rsid w:val="00E9581C"/>
    <w:rsid w:val="00E958E0"/>
    <w:rsid w:val="00E95AA3"/>
    <w:rsid w:val="00EB57F7"/>
    <w:rsid w:val="00EC51E7"/>
    <w:rsid w:val="00ED4C20"/>
    <w:rsid w:val="00EF21FB"/>
    <w:rsid w:val="00EF5CD0"/>
    <w:rsid w:val="00F07D72"/>
    <w:rsid w:val="00F110F2"/>
    <w:rsid w:val="00F149A5"/>
    <w:rsid w:val="00F210B1"/>
    <w:rsid w:val="00F22D24"/>
    <w:rsid w:val="00F2682F"/>
    <w:rsid w:val="00F27189"/>
    <w:rsid w:val="00F345EB"/>
    <w:rsid w:val="00F63865"/>
    <w:rsid w:val="00F658B3"/>
    <w:rsid w:val="00F7013E"/>
    <w:rsid w:val="00F72465"/>
    <w:rsid w:val="00F74A1E"/>
    <w:rsid w:val="00F85AD5"/>
    <w:rsid w:val="00FB3BFA"/>
    <w:rsid w:val="00FC05F7"/>
    <w:rsid w:val="00FF71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55E8060"/>
  <w15:chartTrackingRefBased/>
  <w15:docId w15:val="{A6597F4C-625F-4002-9F48-F14E07B6AC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16237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16237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16237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16237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162374"/>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162374"/>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162374"/>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62374"/>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162374"/>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6237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16237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16237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162374"/>
    <w:rPr>
      <w:rFonts w:cstheme="majorBidi"/>
      <w:color w:val="0F4761" w:themeColor="accent1" w:themeShade="BF"/>
      <w:sz w:val="28"/>
      <w:szCs w:val="28"/>
    </w:rPr>
  </w:style>
  <w:style w:type="character" w:customStyle="1" w:styleId="50">
    <w:name w:val="标题 5 字符"/>
    <w:basedOn w:val="a0"/>
    <w:link w:val="5"/>
    <w:uiPriority w:val="9"/>
    <w:semiHidden/>
    <w:rsid w:val="00162374"/>
    <w:rPr>
      <w:rFonts w:cstheme="majorBidi"/>
      <w:color w:val="0F4761" w:themeColor="accent1" w:themeShade="BF"/>
      <w:sz w:val="24"/>
    </w:rPr>
  </w:style>
  <w:style w:type="character" w:customStyle="1" w:styleId="60">
    <w:name w:val="标题 6 字符"/>
    <w:basedOn w:val="a0"/>
    <w:link w:val="6"/>
    <w:uiPriority w:val="9"/>
    <w:semiHidden/>
    <w:rsid w:val="00162374"/>
    <w:rPr>
      <w:rFonts w:cstheme="majorBidi"/>
      <w:b/>
      <w:bCs/>
      <w:color w:val="0F4761" w:themeColor="accent1" w:themeShade="BF"/>
    </w:rPr>
  </w:style>
  <w:style w:type="character" w:customStyle="1" w:styleId="70">
    <w:name w:val="标题 7 字符"/>
    <w:basedOn w:val="a0"/>
    <w:link w:val="7"/>
    <w:uiPriority w:val="9"/>
    <w:semiHidden/>
    <w:rsid w:val="00162374"/>
    <w:rPr>
      <w:rFonts w:cstheme="majorBidi"/>
      <w:b/>
      <w:bCs/>
      <w:color w:val="595959" w:themeColor="text1" w:themeTint="A6"/>
    </w:rPr>
  </w:style>
  <w:style w:type="character" w:customStyle="1" w:styleId="80">
    <w:name w:val="标题 8 字符"/>
    <w:basedOn w:val="a0"/>
    <w:link w:val="8"/>
    <w:uiPriority w:val="9"/>
    <w:semiHidden/>
    <w:rsid w:val="00162374"/>
    <w:rPr>
      <w:rFonts w:cstheme="majorBidi"/>
      <w:color w:val="595959" w:themeColor="text1" w:themeTint="A6"/>
    </w:rPr>
  </w:style>
  <w:style w:type="character" w:customStyle="1" w:styleId="90">
    <w:name w:val="标题 9 字符"/>
    <w:basedOn w:val="a0"/>
    <w:link w:val="9"/>
    <w:uiPriority w:val="9"/>
    <w:semiHidden/>
    <w:rsid w:val="00162374"/>
    <w:rPr>
      <w:rFonts w:eastAsiaTheme="majorEastAsia" w:cstheme="majorBidi"/>
      <w:color w:val="595959" w:themeColor="text1" w:themeTint="A6"/>
    </w:rPr>
  </w:style>
  <w:style w:type="paragraph" w:styleId="a3">
    <w:name w:val="Title"/>
    <w:basedOn w:val="a"/>
    <w:next w:val="a"/>
    <w:link w:val="a4"/>
    <w:uiPriority w:val="10"/>
    <w:qFormat/>
    <w:rsid w:val="0016237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6237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6237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6237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62374"/>
    <w:pPr>
      <w:spacing w:before="160"/>
      <w:jc w:val="center"/>
    </w:pPr>
    <w:rPr>
      <w:i/>
      <w:iCs/>
      <w:color w:val="404040" w:themeColor="text1" w:themeTint="BF"/>
    </w:rPr>
  </w:style>
  <w:style w:type="character" w:customStyle="1" w:styleId="a8">
    <w:name w:val="引用 字符"/>
    <w:basedOn w:val="a0"/>
    <w:link w:val="a7"/>
    <w:uiPriority w:val="29"/>
    <w:rsid w:val="00162374"/>
    <w:rPr>
      <w:i/>
      <w:iCs/>
      <w:color w:val="404040" w:themeColor="text1" w:themeTint="BF"/>
    </w:rPr>
  </w:style>
  <w:style w:type="paragraph" w:styleId="a9">
    <w:name w:val="List Paragraph"/>
    <w:basedOn w:val="a"/>
    <w:uiPriority w:val="34"/>
    <w:qFormat/>
    <w:rsid w:val="00162374"/>
    <w:pPr>
      <w:ind w:left="720"/>
      <w:contextualSpacing/>
    </w:pPr>
  </w:style>
  <w:style w:type="character" w:styleId="aa">
    <w:name w:val="Intense Emphasis"/>
    <w:basedOn w:val="a0"/>
    <w:uiPriority w:val="21"/>
    <w:qFormat/>
    <w:rsid w:val="00162374"/>
    <w:rPr>
      <w:i/>
      <w:iCs/>
      <w:color w:val="0F4761" w:themeColor="accent1" w:themeShade="BF"/>
    </w:rPr>
  </w:style>
  <w:style w:type="paragraph" w:styleId="ab">
    <w:name w:val="Intense Quote"/>
    <w:basedOn w:val="a"/>
    <w:next w:val="a"/>
    <w:link w:val="ac"/>
    <w:uiPriority w:val="30"/>
    <w:qFormat/>
    <w:rsid w:val="001623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62374"/>
    <w:rPr>
      <w:i/>
      <w:iCs/>
      <w:color w:val="0F4761" w:themeColor="accent1" w:themeShade="BF"/>
    </w:rPr>
  </w:style>
  <w:style w:type="character" w:styleId="ad">
    <w:name w:val="Intense Reference"/>
    <w:basedOn w:val="a0"/>
    <w:uiPriority w:val="32"/>
    <w:qFormat/>
    <w:rsid w:val="00162374"/>
    <w:rPr>
      <w:b/>
      <w:bCs/>
      <w:smallCaps/>
      <w:color w:val="0F4761" w:themeColor="accent1" w:themeShade="BF"/>
      <w:spacing w:val="5"/>
    </w:rPr>
  </w:style>
  <w:style w:type="character" w:styleId="ae">
    <w:name w:val="Hyperlink"/>
    <w:basedOn w:val="a0"/>
    <w:uiPriority w:val="99"/>
    <w:unhideWhenUsed/>
    <w:rsid w:val="002B1841"/>
    <w:rPr>
      <w:color w:val="467886" w:themeColor="hyperlink"/>
      <w:u w:val="single"/>
    </w:rPr>
  </w:style>
  <w:style w:type="character" w:styleId="af">
    <w:name w:val="Unresolved Mention"/>
    <w:basedOn w:val="a0"/>
    <w:uiPriority w:val="99"/>
    <w:semiHidden/>
    <w:unhideWhenUsed/>
    <w:rsid w:val="002B1841"/>
    <w:rPr>
      <w:color w:val="605E5C"/>
      <w:shd w:val="clear" w:color="auto" w:fill="E1DFDD"/>
    </w:rPr>
  </w:style>
  <w:style w:type="character" w:styleId="af0">
    <w:name w:val="Placeholder Text"/>
    <w:basedOn w:val="a0"/>
    <w:uiPriority w:val="99"/>
    <w:semiHidden/>
    <w:rsid w:val="00560AE6"/>
    <w:rPr>
      <w:color w:val="666666"/>
    </w:rPr>
  </w:style>
  <w:style w:type="paragraph" w:styleId="af1">
    <w:name w:val="Normal (Web)"/>
    <w:basedOn w:val="a"/>
    <w:uiPriority w:val="99"/>
    <w:semiHidden/>
    <w:unhideWhenUsed/>
    <w:rsid w:val="00A1705A"/>
    <w:pPr>
      <w:widowControl/>
      <w:spacing w:before="100" w:beforeAutospacing="1" w:after="100" w:afterAutospacing="1" w:line="240" w:lineRule="auto"/>
    </w:pPr>
    <w:rPr>
      <w:rFonts w:ascii="宋体" w:eastAsia="宋体" w:hAnsi="宋体" w:cs="宋体"/>
      <w:kern w:val="0"/>
      <w:sz w:val="24"/>
      <w14:ligatures w14:val="none"/>
    </w:rPr>
  </w:style>
  <w:style w:type="paragraph" w:styleId="af2">
    <w:name w:val="header"/>
    <w:basedOn w:val="a"/>
    <w:link w:val="af3"/>
    <w:uiPriority w:val="99"/>
    <w:unhideWhenUsed/>
    <w:rsid w:val="00B848DA"/>
    <w:pPr>
      <w:tabs>
        <w:tab w:val="center" w:pos="4153"/>
        <w:tab w:val="right" w:pos="8306"/>
      </w:tabs>
      <w:snapToGrid w:val="0"/>
      <w:spacing w:line="240" w:lineRule="auto"/>
      <w:jc w:val="center"/>
    </w:pPr>
    <w:rPr>
      <w:sz w:val="18"/>
      <w:szCs w:val="18"/>
    </w:rPr>
  </w:style>
  <w:style w:type="character" w:customStyle="1" w:styleId="af3">
    <w:name w:val="页眉 字符"/>
    <w:basedOn w:val="a0"/>
    <w:link w:val="af2"/>
    <w:uiPriority w:val="99"/>
    <w:rsid w:val="00B848DA"/>
    <w:rPr>
      <w:sz w:val="18"/>
      <w:szCs w:val="18"/>
    </w:rPr>
  </w:style>
  <w:style w:type="paragraph" w:styleId="af4">
    <w:name w:val="footer"/>
    <w:basedOn w:val="a"/>
    <w:link w:val="af5"/>
    <w:uiPriority w:val="99"/>
    <w:unhideWhenUsed/>
    <w:rsid w:val="00B848DA"/>
    <w:pPr>
      <w:tabs>
        <w:tab w:val="center" w:pos="4153"/>
        <w:tab w:val="right" w:pos="8306"/>
      </w:tabs>
      <w:snapToGrid w:val="0"/>
      <w:spacing w:line="240" w:lineRule="auto"/>
    </w:pPr>
    <w:rPr>
      <w:sz w:val="18"/>
      <w:szCs w:val="18"/>
    </w:rPr>
  </w:style>
  <w:style w:type="character" w:customStyle="1" w:styleId="af5">
    <w:name w:val="页脚 字符"/>
    <w:basedOn w:val="a0"/>
    <w:link w:val="af4"/>
    <w:uiPriority w:val="99"/>
    <w:rsid w:val="00B848DA"/>
    <w:rPr>
      <w:sz w:val="18"/>
      <w:szCs w:val="18"/>
    </w:rPr>
  </w:style>
  <w:style w:type="character" w:styleId="af6">
    <w:name w:val="FollowedHyperlink"/>
    <w:basedOn w:val="a0"/>
    <w:uiPriority w:val="99"/>
    <w:semiHidden/>
    <w:unhideWhenUsed/>
    <w:rsid w:val="00190D5D"/>
    <w:rPr>
      <w:color w:val="96607D" w:themeColor="followedHyperlink"/>
      <w:u w:val="single"/>
    </w:rPr>
  </w:style>
  <w:style w:type="character" w:styleId="af7">
    <w:name w:val="annotation reference"/>
    <w:basedOn w:val="a0"/>
    <w:uiPriority w:val="99"/>
    <w:semiHidden/>
    <w:unhideWhenUsed/>
    <w:rsid w:val="00F07D72"/>
    <w:rPr>
      <w:sz w:val="21"/>
      <w:szCs w:val="21"/>
    </w:rPr>
  </w:style>
  <w:style w:type="paragraph" w:styleId="af8">
    <w:name w:val="annotation text"/>
    <w:basedOn w:val="a"/>
    <w:link w:val="af9"/>
    <w:uiPriority w:val="99"/>
    <w:unhideWhenUsed/>
    <w:rsid w:val="00F07D72"/>
  </w:style>
  <w:style w:type="character" w:customStyle="1" w:styleId="af9">
    <w:name w:val="批注文字 字符"/>
    <w:basedOn w:val="a0"/>
    <w:link w:val="af8"/>
    <w:uiPriority w:val="99"/>
    <w:rsid w:val="00F07D72"/>
  </w:style>
  <w:style w:type="paragraph" w:styleId="afa">
    <w:name w:val="annotation subject"/>
    <w:basedOn w:val="af8"/>
    <w:next w:val="af8"/>
    <w:link w:val="afb"/>
    <w:uiPriority w:val="99"/>
    <w:semiHidden/>
    <w:unhideWhenUsed/>
    <w:rsid w:val="00F07D72"/>
    <w:rPr>
      <w:b/>
      <w:bCs/>
    </w:rPr>
  </w:style>
  <w:style w:type="character" w:customStyle="1" w:styleId="afb">
    <w:name w:val="批注主题 字符"/>
    <w:basedOn w:val="af9"/>
    <w:link w:val="afa"/>
    <w:uiPriority w:val="99"/>
    <w:semiHidden/>
    <w:rsid w:val="00F07D7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image" Target="media/image3.png"/><Relationship Id="rId26" Type="http://schemas.openxmlformats.org/officeDocument/2006/relationships/hyperlink" Target="https://doi.org/10.1016/j.physa.2017.09.091" TargetMode="External"/><Relationship Id="rId21" Type="http://schemas.openxmlformats.org/officeDocument/2006/relationships/image" Target="media/image6.png"/><Relationship Id="rId34" Type="http://schemas.openxmlformats.org/officeDocument/2006/relationships/hyperlink" Target="https://doi.org/10.1111/j.1540-6288.2010.00244.x" TargetMode="External"/><Relationship Id="rId7" Type="http://schemas.openxmlformats.org/officeDocument/2006/relationships/chart" Target="charts/chart1.xml"/><Relationship Id="rId12" Type="http://schemas.openxmlformats.org/officeDocument/2006/relationships/comments" Target="comments.xml"/><Relationship Id="rId17" Type="http://schemas.openxmlformats.org/officeDocument/2006/relationships/image" Target="media/image2.png"/><Relationship Id="rId25" Type="http://schemas.openxmlformats.org/officeDocument/2006/relationships/hyperlink" Target="https://doi.org/10.1016/j.iref.2015.10.031" TargetMode="External"/><Relationship Id="rId33" Type="http://schemas.openxmlformats.org/officeDocument/2006/relationships/hyperlink" Target="https://doi.org/10.1016/j.frl.2011.01.001" TargetMode="External"/><Relationship Id="rId2" Type="http://schemas.openxmlformats.org/officeDocument/2006/relationships/styles" Target="styles.xml"/><Relationship Id="rId16" Type="http://schemas.openxmlformats.org/officeDocument/2006/relationships/image" Target="media/image1.png"/><Relationship Id="rId20" Type="http://schemas.openxmlformats.org/officeDocument/2006/relationships/image" Target="media/image5.png"/><Relationship Id="rId29" Type="http://schemas.openxmlformats.org/officeDocument/2006/relationships/hyperlink" Target="https://www.soas.ac.uk/sites/default/files/2023-02/M459_unit-01_sample.pdf?utm_source=chatgpt.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hart" Target="charts/chart3.xml"/><Relationship Id="rId24" Type="http://schemas.openxmlformats.org/officeDocument/2006/relationships/hyperlink" Target="https://doi.org/10.54254/2753-8818/41/2024CH0167" TargetMode="External"/><Relationship Id="rId32" Type="http://schemas.openxmlformats.org/officeDocument/2006/relationships/hyperlink" Target="https://doi.org/10.1016/j.inteco.2024.100478" TargetMode="External"/><Relationship Id="rId37" Type="http://schemas.openxmlformats.org/officeDocument/2006/relationships/theme" Target="theme/theme1.xml"/><Relationship Id="rId5" Type="http://schemas.openxmlformats.org/officeDocument/2006/relationships/footnotes" Target="footnotes.xml"/><Relationship Id="rId15" Type="http://schemas.microsoft.com/office/2018/08/relationships/commentsExtensible" Target="commentsExtensible.xml"/><Relationship Id="rId23" Type="http://schemas.openxmlformats.org/officeDocument/2006/relationships/image" Target="media/image8.png"/><Relationship Id="rId28" Type="http://schemas.openxmlformats.org/officeDocument/2006/relationships/hyperlink" Target="https://doi.org/10.38039/2214-4625.1021" TargetMode="External"/><Relationship Id="rId36" Type="http://schemas.microsoft.com/office/2011/relationships/people" Target="people.xml"/><Relationship Id="rId10" Type="http://schemas.openxmlformats.org/officeDocument/2006/relationships/hyperlink" Target="https://www.investing.com/currencies/us-dollar-index-historical-data" TargetMode="External"/><Relationship Id="rId19" Type="http://schemas.openxmlformats.org/officeDocument/2006/relationships/image" Target="media/image4.png"/><Relationship Id="rId31" Type="http://schemas.openxmlformats.org/officeDocument/2006/relationships/hyperlink" Target="https://doi.org/10.5430/ijfr.v5n4p90" TargetMode="External"/><Relationship Id="rId4" Type="http://schemas.openxmlformats.org/officeDocument/2006/relationships/webSettings" Target="webSettings.xml"/><Relationship Id="rId9" Type="http://schemas.openxmlformats.org/officeDocument/2006/relationships/chart" Target="charts/chart2.xml"/><Relationship Id="rId14" Type="http://schemas.microsoft.com/office/2016/09/relationships/commentsIds" Target="commentsIds.xml"/><Relationship Id="rId22" Type="http://schemas.openxmlformats.org/officeDocument/2006/relationships/image" Target="media/image7.png"/><Relationship Id="rId27" Type="http://schemas.openxmlformats.org/officeDocument/2006/relationships/hyperlink" Target="https://doi.org/10.1016/j.najef.2020.101160" TargetMode="External"/><Relationship Id="rId30" Type="http://schemas.openxmlformats.org/officeDocument/2006/relationships/hyperlink" Target="https://doi.org/10.1016/0304-4076(86)90001-1" TargetMode="External"/><Relationship Id="rId35" Type="http://schemas.openxmlformats.org/officeDocument/2006/relationships/fontTable" Target="fontTable.xml"/><Relationship Id="rId8" Type="http://schemas.openxmlformats.org/officeDocument/2006/relationships/hyperlink" Target="http://www.investing.com/currencies/xau-usd-historical-data" TargetMode="External"/><Relationship Id="rId3" Type="http://schemas.openxmlformats.org/officeDocument/2006/relationships/settings" Target="settings.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huang\Desktop\Dollar%20Index%20&amp;%20Real%20Dollar%20Price%20Analysis\XAU_USD.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huang\Desktop\Dollar%20Index%20&amp;%20Real%20Dollar%20Price%20Analysis\XAU_USD.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huang\Desktop\Dollar%20Index%20&amp;%20Real%20Dollar%20Price%20Analysis\XAU_USD.xlsx" TargetMode="External"/><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ltLang="zh-CN" sz="1200"/>
              <a:t>Gold Price (XAU/USD) Change October 2024 - October 2025 (Unit:</a:t>
            </a:r>
            <a:r>
              <a:rPr lang="en-US" altLang="zh-CN" sz="1200" baseline="0"/>
              <a:t> U.S. Dollars)</a:t>
            </a:r>
            <a:endParaRPr lang="en-US" altLang="zh-CN" sz="1200"/>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ltLang="zh-CN"/>
        </a:p>
      </c:txPr>
    </c:title>
    <c:autoTitleDeleted val="0"/>
    <c:plotArea>
      <c:layout>
        <c:manualLayout>
          <c:layoutTarget val="inner"/>
          <c:xMode val="edge"/>
          <c:yMode val="edge"/>
          <c:x val="7.0572622930142881E-2"/>
          <c:y val="0.11207664971082154"/>
          <c:w val="0.87753018372703417"/>
          <c:h val="0.6317479112820823"/>
        </c:manualLayout>
      </c:layout>
      <c:lineChart>
        <c:grouping val="standard"/>
        <c:varyColors val="0"/>
        <c:ser>
          <c:idx val="0"/>
          <c:order val="0"/>
          <c:tx>
            <c:strRef>
              <c:f>'XAU_USD Historical Data (2)'!$B$1</c:f>
              <c:strCache>
                <c:ptCount val="1"/>
                <c:pt idx="0">
                  <c:v>Price</c:v>
                </c:pt>
              </c:strCache>
            </c:strRef>
          </c:tx>
          <c:spPr>
            <a:ln w="28575" cap="rnd">
              <a:solidFill>
                <a:schemeClr val="accent1"/>
              </a:solidFill>
              <a:round/>
            </a:ln>
            <a:effectLst/>
          </c:spPr>
          <c:marker>
            <c:symbol val="none"/>
          </c:marker>
          <c:dPt>
            <c:idx val="125"/>
            <c:marker>
              <c:symbol val="none"/>
            </c:marker>
            <c:bubble3D val="0"/>
            <c:extLst>
              <c:ext xmlns:c16="http://schemas.microsoft.com/office/drawing/2014/chart" uri="{C3380CC4-5D6E-409C-BE32-E72D297353CC}">
                <c16:uniqueId val="{00000000-2ED6-4FDE-A0AA-826657E1DD9E}"/>
              </c:ext>
            </c:extLst>
          </c:dPt>
          <c:cat>
            <c:strRef>
              <c:f>'XAU_USD Historical Data (2)'!$A$2:$A$259</c:f>
              <c:strCache>
                <c:ptCount val="258"/>
                <c:pt idx="0">
                  <c:v>10/14/2024</c:v>
                </c:pt>
                <c:pt idx="1">
                  <c:v>10/15/2024</c:v>
                </c:pt>
                <c:pt idx="2">
                  <c:v>10/16/2024</c:v>
                </c:pt>
                <c:pt idx="3">
                  <c:v>10/17/2024</c:v>
                </c:pt>
                <c:pt idx="4">
                  <c:v>10/18/2024</c:v>
                </c:pt>
                <c:pt idx="5">
                  <c:v>10/21/2024</c:v>
                </c:pt>
                <c:pt idx="6">
                  <c:v>10/22/2024</c:v>
                </c:pt>
                <c:pt idx="7">
                  <c:v>10/23/2024</c:v>
                </c:pt>
                <c:pt idx="8">
                  <c:v>10/24/2024</c:v>
                </c:pt>
                <c:pt idx="9">
                  <c:v>10/25/2024</c:v>
                </c:pt>
                <c:pt idx="10">
                  <c:v>10/28/2024</c:v>
                </c:pt>
                <c:pt idx="11">
                  <c:v>10/29/2024</c:v>
                </c:pt>
                <c:pt idx="12">
                  <c:v>10/30/2024</c:v>
                </c:pt>
                <c:pt idx="13">
                  <c:v>10/31/2024</c:v>
                </c:pt>
                <c:pt idx="14">
                  <c:v>11/01/2024</c:v>
                </c:pt>
                <c:pt idx="15">
                  <c:v>11/04/2024</c:v>
                </c:pt>
                <c:pt idx="16">
                  <c:v>11/05/2024</c:v>
                </c:pt>
                <c:pt idx="17">
                  <c:v>11/06/2024</c:v>
                </c:pt>
                <c:pt idx="18">
                  <c:v>11/07/2024</c:v>
                </c:pt>
                <c:pt idx="19">
                  <c:v>11/08/2024</c:v>
                </c:pt>
                <c:pt idx="20">
                  <c:v>11/11/2024</c:v>
                </c:pt>
                <c:pt idx="21">
                  <c:v>11/12/2024</c:v>
                </c:pt>
                <c:pt idx="22">
                  <c:v>11/13/2024</c:v>
                </c:pt>
                <c:pt idx="23">
                  <c:v>11/14/2024</c:v>
                </c:pt>
                <c:pt idx="24">
                  <c:v>11/15/2024</c:v>
                </c:pt>
                <c:pt idx="25">
                  <c:v>11/18/2024</c:v>
                </c:pt>
                <c:pt idx="26">
                  <c:v>11/19/2024</c:v>
                </c:pt>
                <c:pt idx="27">
                  <c:v>11/20/2024</c:v>
                </c:pt>
                <c:pt idx="28">
                  <c:v>11/21/2024</c:v>
                </c:pt>
                <c:pt idx="29">
                  <c:v>11/22/2024</c:v>
                </c:pt>
                <c:pt idx="30">
                  <c:v>11/25/2024</c:v>
                </c:pt>
                <c:pt idx="31">
                  <c:v>11/26/2024</c:v>
                </c:pt>
                <c:pt idx="32">
                  <c:v>11/27/2024</c:v>
                </c:pt>
                <c:pt idx="33">
                  <c:v>11/28/2024</c:v>
                </c:pt>
                <c:pt idx="34">
                  <c:v>11/29/2024</c:v>
                </c:pt>
                <c:pt idx="35">
                  <c:v>12/02/2024</c:v>
                </c:pt>
                <c:pt idx="36">
                  <c:v>12/03/2024</c:v>
                </c:pt>
                <c:pt idx="37">
                  <c:v>12/04/2024</c:v>
                </c:pt>
                <c:pt idx="38">
                  <c:v>12/05/2024</c:v>
                </c:pt>
                <c:pt idx="39">
                  <c:v>12/06/2024</c:v>
                </c:pt>
                <c:pt idx="40">
                  <c:v>12/09/2024</c:v>
                </c:pt>
                <c:pt idx="41">
                  <c:v>12/10/2024</c:v>
                </c:pt>
                <c:pt idx="42">
                  <c:v>12/11/2024</c:v>
                </c:pt>
                <c:pt idx="43">
                  <c:v>12/12/2024</c:v>
                </c:pt>
                <c:pt idx="44">
                  <c:v>12/13/2024</c:v>
                </c:pt>
                <c:pt idx="45">
                  <c:v>12/16/2024</c:v>
                </c:pt>
                <c:pt idx="46">
                  <c:v>12/17/2024</c:v>
                </c:pt>
                <c:pt idx="47">
                  <c:v>12/18/2024</c:v>
                </c:pt>
                <c:pt idx="48">
                  <c:v>12/19/2024</c:v>
                </c:pt>
                <c:pt idx="49">
                  <c:v>12/20/2024</c:v>
                </c:pt>
                <c:pt idx="50">
                  <c:v>12/23/2024</c:v>
                </c:pt>
                <c:pt idx="51">
                  <c:v>12/24/2024</c:v>
                </c:pt>
                <c:pt idx="52">
                  <c:v>12/26/2024</c:v>
                </c:pt>
                <c:pt idx="53">
                  <c:v>12/27/2024</c:v>
                </c:pt>
                <c:pt idx="54">
                  <c:v>12/30/2024</c:v>
                </c:pt>
                <c:pt idx="55">
                  <c:v>12/31/2024</c:v>
                </c:pt>
                <c:pt idx="56">
                  <c:v>01/02/2025</c:v>
                </c:pt>
                <c:pt idx="57">
                  <c:v>01/03/2025</c:v>
                </c:pt>
                <c:pt idx="58">
                  <c:v>01/06/2025</c:v>
                </c:pt>
                <c:pt idx="59">
                  <c:v>01/07/2025</c:v>
                </c:pt>
                <c:pt idx="60">
                  <c:v>01/08/2025</c:v>
                </c:pt>
                <c:pt idx="61">
                  <c:v>01/09/2025</c:v>
                </c:pt>
                <c:pt idx="62">
                  <c:v>01/10/2025</c:v>
                </c:pt>
                <c:pt idx="63">
                  <c:v>01/13/2025</c:v>
                </c:pt>
                <c:pt idx="64">
                  <c:v>01/14/2025</c:v>
                </c:pt>
                <c:pt idx="65">
                  <c:v>01/15/2025</c:v>
                </c:pt>
                <c:pt idx="66">
                  <c:v>01/16/2025</c:v>
                </c:pt>
                <c:pt idx="67">
                  <c:v>01/17/2025</c:v>
                </c:pt>
                <c:pt idx="68">
                  <c:v>01/20/2025</c:v>
                </c:pt>
                <c:pt idx="69">
                  <c:v>01/21/2025</c:v>
                </c:pt>
                <c:pt idx="70">
                  <c:v>01/22/2025</c:v>
                </c:pt>
                <c:pt idx="71">
                  <c:v>01/23/2025</c:v>
                </c:pt>
                <c:pt idx="72">
                  <c:v>01/24/2025</c:v>
                </c:pt>
                <c:pt idx="73">
                  <c:v>01/27/2025</c:v>
                </c:pt>
                <c:pt idx="74">
                  <c:v>01/28/2025</c:v>
                </c:pt>
                <c:pt idx="75">
                  <c:v>01/29/2025</c:v>
                </c:pt>
                <c:pt idx="76">
                  <c:v>01/30/2025</c:v>
                </c:pt>
                <c:pt idx="77">
                  <c:v>01/31/2025</c:v>
                </c:pt>
                <c:pt idx="78">
                  <c:v>02/03/2025</c:v>
                </c:pt>
                <c:pt idx="79">
                  <c:v>02/04/2025</c:v>
                </c:pt>
                <c:pt idx="80">
                  <c:v>02/05/2025</c:v>
                </c:pt>
                <c:pt idx="81">
                  <c:v>02/06/2025</c:v>
                </c:pt>
                <c:pt idx="82">
                  <c:v>02/07/2025</c:v>
                </c:pt>
                <c:pt idx="83">
                  <c:v>02/10/2025</c:v>
                </c:pt>
                <c:pt idx="84">
                  <c:v>02/11/2025</c:v>
                </c:pt>
                <c:pt idx="85">
                  <c:v>02/12/2025</c:v>
                </c:pt>
                <c:pt idx="86">
                  <c:v>02/13/2025</c:v>
                </c:pt>
                <c:pt idx="87">
                  <c:v>02/14/2025</c:v>
                </c:pt>
                <c:pt idx="88">
                  <c:v>02/17/2025</c:v>
                </c:pt>
                <c:pt idx="89">
                  <c:v>02/18/2025</c:v>
                </c:pt>
                <c:pt idx="90">
                  <c:v>02/19/2025</c:v>
                </c:pt>
                <c:pt idx="91">
                  <c:v>02/20/2025</c:v>
                </c:pt>
                <c:pt idx="92">
                  <c:v>02/21/2025</c:v>
                </c:pt>
                <c:pt idx="93">
                  <c:v>02/24/2025</c:v>
                </c:pt>
                <c:pt idx="94">
                  <c:v>02/25/2025</c:v>
                </c:pt>
                <c:pt idx="95">
                  <c:v>02/26/2025</c:v>
                </c:pt>
                <c:pt idx="96">
                  <c:v>02/27/2025</c:v>
                </c:pt>
                <c:pt idx="97">
                  <c:v>02/28/2025</c:v>
                </c:pt>
                <c:pt idx="98">
                  <c:v>03/03/2025</c:v>
                </c:pt>
                <c:pt idx="99">
                  <c:v>03/04/2025</c:v>
                </c:pt>
                <c:pt idx="100">
                  <c:v>03/05/2025</c:v>
                </c:pt>
                <c:pt idx="101">
                  <c:v>03/06/2025</c:v>
                </c:pt>
                <c:pt idx="102">
                  <c:v>03/07/2025</c:v>
                </c:pt>
                <c:pt idx="103">
                  <c:v>03/10/2025</c:v>
                </c:pt>
                <c:pt idx="104">
                  <c:v>03/11/2025</c:v>
                </c:pt>
                <c:pt idx="105">
                  <c:v>03/12/2025</c:v>
                </c:pt>
                <c:pt idx="106">
                  <c:v>03/13/2025</c:v>
                </c:pt>
                <c:pt idx="107">
                  <c:v>03/14/2025</c:v>
                </c:pt>
                <c:pt idx="108">
                  <c:v>03/17/2025</c:v>
                </c:pt>
                <c:pt idx="109">
                  <c:v>03/18/2025</c:v>
                </c:pt>
                <c:pt idx="110">
                  <c:v>03/19/2025</c:v>
                </c:pt>
                <c:pt idx="111">
                  <c:v>03/20/2025</c:v>
                </c:pt>
                <c:pt idx="112">
                  <c:v>03/21/2025</c:v>
                </c:pt>
                <c:pt idx="113">
                  <c:v>03/24/2025</c:v>
                </c:pt>
                <c:pt idx="114">
                  <c:v>03/25/2025</c:v>
                </c:pt>
                <c:pt idx="115">
                  <c:v>03/26/2025</c:v>
                </c:pt>
                <c:pt idx="116">
                  <c:v>03/27/2025</c:v>
                </c:pt>
                <c:pt idx="117">
                  <c:v>03/28/2025</c:v>
                </c:pt>
                <c:pt idx="118">
                  <c:v>03/31/2025</c:v>
                </c:pt>
                <c:pt idx="119">
                  <c:v>04/01/2025</c:v>
                </c:pt>
                <c:pt idx="120">
                  <c:v>04/02/2025</c:v>
                </c:pt>
                <c:pt idx="121">
                  <c:v>04/03/2025</c:v>
                </c:pt>
                <c:pt idx="122">
                  <c:v>04/04/2025</c:v>
                </c:pt>
                <c:pt idx="123">
                  <c:v>04/07/2025</c:v>
                </c:pt>
                <c:pt idx="124">
                  <c:v>04/08/2025</c:v>
                </c:pt>
                <c:pt idx="125">
                  <c:v>04/09/2025</c:v>
                </c:pt>
                <c:pt idx="126">
                  <c:v>04/10/2025</c:v>
                </c:pt>
                <c:pt idx="127">
                  <c:v>04/11/2025</c:v>
                </c:pt>
                <c:pt idx="128">
                  <c:v>04/14/2025</c:v>
                </c:pt>
                <c:pt idx="129">
                  <c:v>04/15/2025</c:v>
                </c:pt>
                <c:pt idx="130">
                  <c:v>04/16/2025</c:v>
                </c:pt>
                <c:pt idx="131">
                  <c:v>04/17/2025</c:v>
                </c:pt>
                <c:pt idx="132">
                  <c:v>04/21/2025</c:v>
                </c:pt>
                <c:pt idx="133">
                  <c:v>04/22/2025</c:v>
                </c:pt>
                <c:pt idx="134">
                  <c:v>04/23/2025</c:v>
                </c:pt>
                <c:pt idx="135">
                  <c:v>04/24/2025</c:v>
                </c:pt>
                <c:pt idx="136">
                  <c:v>04/25/2025</c:v>
                </c:pt>
                <c:pt idx="137">
                  <c:v>04/28/2025</c:v>
                </c:pt>
                <c:pt idx="138">
                  <c:v>04/29/2025</c:v>
                </c:pt>
                <c:pt idx="139">
                  <c:v>04/30/2025</c:v>
                </c:pt>
                <c:pt idx="140">
                  <c:v>05/01/2025</c:v>
                </c:pt>
                <c:pt idx="141">
                  <c:v>05/02/2025</c:v>
                </c:pt>
                <c:pt idx="142">
                  <c:v>05/05/2025</c:v>
                </c:pt>
                <c:pt idx="143">
                  <c:v>05/06/2025</c:v>
                </c:pt>
                <c:pt idx="144">
                  <c:v>05/07/2025</c:v>
                </c:pt>
                <c:pt idx="145">
                  <c:v>05/08/2025</c:v>
                </c:pt>
                <c:pt idx="146">
                  <c:v>05/09/2025</c:v>
                </c:pt>
                <c:pt idx="147">
                  <c:v>05/12/2025</c:v>
                </c:pt>
                <c:pt idx="148">
                  <c:v>05/13/2025</c:v>
                </c:pt>
                <c:pt idx="149">
                  <c:v>05/14/2025</c:v>
                </c:pt>
                <c:pt idx="150">
                  <c:v>05/15/2025</c:v>
                </c:pt>
                <c:pt idx="151">
                  <c:v>05/16/2025</c:v>
                </c:pt>
                <c:pt idx="152">
                  <c:v>05/19/2025</c:v>
                </c:pt>
                <c:pt idx="153">
                  <c:v>05/20/2025</c:v>
                </c:pt>
                <c:pt idx="154">
                  <c:v>05/21/2025</c:v>
                </c:pt>
                <c:pt idx="155">
                  <c:v>05/22/2025</c:v>
                </c:pt>
                <c:pt idx="156">
                  <c:v>05/23/2025</c:v>
                </c:pt>
                <c:pt idx="157">
                  <c:v>05/26/2025</c:v>
                </c:pt>
                <c:pt idx="158">
                  <c:v>05/27/2025</c:v>
                </c:pt>
                <c:pt idx="159">
                  <c:v>05/28/2025</c:v>
                </c:pt>
                <c:pt idx="160">
                  <c:v>05/29/2025</c:v>
                </c:pt>
                <c:pt idx="161">
                  <c:v>05/30/2025</c:v>
                </c:pt>
                <c:pt idx="162">
                  <c:v>06/02/2025</c:v>
                </c:pt>
                <c:pt idx="163">
                  <c:v>06/03/2025</c:v>
                </c:pt>
                <c:pt idx="164">
                  <c:v>06/04/2025</c:v>
                </c:pt>
                <c:pt idx="165">
                  <c:v>06/05/2025</c:v>
                </c:pt>
                <c:pt idx="166">
                  <c:v>06/06/2025</c:v>
                </c:pt>
                <c:pt idx="167">
                  <c:v>06/09/2025</c:v>
                </c:pt>
                <c:pt idx="168">
                  <c:v>06/10/2025</c:v>
                </c:pt>
                <c:pt idx="169">
                  <c:v>06/11/2025</c:v>
                </c:pt>
                <c:pt idx="170">
                  <c:v>06/12/2025</c:v>
                </c:pt>
                <c:pt idx="171">
                  <c:v>06/13/2025</c:v>
                </c:pt>
                <c:pt idx="172">
                  <c:v>06/16/2025</c:v>
                </c:pt>
                <c:pt idx="173">
                  <c:v>06/17/2025</c:v>
                </c:pt>
                <c:pt idx="174">
                  <c:v>06/18/2025</c:v>
                </c:pt>
                <c:pt idx="175">
                  <c:v>06/19/2025</c:v>
                </c:pt>
                <c:pt idx="176">
                  <c:v>06/20/2025</c:v>
                </c:pt>
                <c:pt idx="177">
                  <c:v>06/23/2025</c:v>
                </c:pt>
                <c:pt idx="178">
                  <c:v>06/24/2025</c:v>
                </c:pt>
                <c:pt idx="179">
                  <c:v>06/25/2025</c:v>
                </c:pt>
                <c:pt idx="180">
                  <c:v>06/26/2025</c:v>
                </c:pt>
                <c:pt idx="181">
                  <c:v>06/27/2025</c:v>
                </c:pt>
                <c:pt idx="182">
                  <c:v>06/30/2025</c:v>
                </c:pt>
                <c:pt idx="183">
                  <c:v>07/01/2025</c:v>
                </c:pt>
                <c:pt idx="184">
                  <c:v>07/02/2025</c:v>
                </c:pt>
                <c:pt idx="185">
                  <c:v>07/03/2025</c:v>
                </c:pt>
                <c:pt idx="186">
                  <c:v>07/04/2025</c:v>
                </c:pt>
                <c:pt idx="187">
                  <c:v>07/07/2025</c:v>
                </c:pt>
                <c:pt idx="188">
                  <c:v>07/08/2025</c:v>
                </c:pt>
                <c:pt idx="189">
                  <c:v>07/09/2025</c:v>
                </c:pt>
                <c:pt idx="190">
                  <c:v>07/10/2025</c:v>
                </c:pt>
                <c:pt idx="191">
                  <c:v>07/11/2025</c:v>
                </c:pt>
                <c:pt idx="192">
                  <c:v>07/14/2025</c:v>
                </c:pt>
                <c:pt idx="193">
                  <c:v>07/15/2025</c:v>
                </c:pt>
                <c:pt idx="194">
                  <c:v>07/16/2025</c:v>
                </c:pt>
                <c:pt idx="195">
                  <c:v>07/17/2025</c:v>
                </c:pt>
                <c:pt idx="196">
                  <c:v>07/18/2025</c:v>
                </c:pt>
                <c:pt idx="197">
                  <c:v>07/21/2025</c:v>
                </c:pt>
                <c:pt idx="198">
                  <c:v>07/22/2025</c:v>
                </c:pt>
                <c:pt idx="199">
                  <c:v>07/23/2025</c:v>
                </c:pt>
                <c:pt idx="200">
                  <c:v>07/24/2025</c:v>
                </c:pt>
                <c:pt idx="201">
                  <c:v>07/25/2025</c:v>
                </c:pt>
                <c:pt idx="202">
                  <c:v>07/28/2025</c:v>
                </c:pt>
                <c:pt idx="203">
                  <c:v>07/29/2025</c:v>
                </c:pt>
                <c:pt idx="204">
                  <c:v>07/30/2025</c:v>
                </c:pt>
                <c:pt idx="205">
                  <c:v>07/31/2025</c:v>
                </c:pt>
                <c:pt idx="206">
                  <c:v>08/01/2025</c:v>
                </c:pt>
                <c:pt idx="207">
                  <c:v>08/04/2025</c:v>
                </c:pt>
                <c:pt idx="208">
                  <c:v>08/05/2025</c:v>
                </c:pt>
                <c:pt idx="209">
                  <c:v>08/06/2025</c:v>
                </c:pt>
                <c:pt idx="210">
                  <c:v>08/07/2025</c:v>
                </c:pt>
                <c:pt idx="211">
                  <c:v>08/08/2025</c:v>
                </c:pt>
                <c:pt idx="212">
                  <c:v>08/11/2025</c:v>
                </c:pt>
                <c:pt idx="213">
                  <c:v>08/12/2025</c:v>
                </c:pt>
                <c:pt idx="214">
                  <c:v>08/13/2025</c:v>
                </c:pt>
                <c:pt idx="215">
                  <c:v>08/14/2025</c:v>
                </c:pt>
                <c:pt idx="216">
                  <c:v>08/15/2025</c:v>
                </c:pt>
                <c:pt idx="217">
                  <c:v>08/18/2025</c:v>
                </c:pt>
                <c:pt idx="218">
                  <c:v>08/19/2025</c:v>
                </c:pt>
                <c:pt idx="219">
                  <c:v>08/20/2025</c:v>
                </c:pt>
                <c:pt idx="220">
                  <c:v>08/21/2025</c:v>
                </c:pt>
                <c:pt idx="221">
                  <c:v>08/22/2025</c:v>
                </c:pt>
                <c:pt idx="222">
                  <c:v>08/25/2025</c:v>
                </c:pt>
                <c:pt idx="223">
                  <c:v>08/26/2025</c:v>
                </c:pt>
                <c:pt idx="224">
                  <c:v>08/27/2025</c:v>
                </c:pt>
                <c:pt idx="225">
                  <c:v>08/28/2025</c:v>
                </c:pt>
                <c:pt idx="226">
                  <c:v>08/29/2025</c:v>
                </c:pt>
                <c:pt idx="227">
                  <c:v>09/01/2025</c:v>
                </c:pt>
                <c:pt idx="228">
                  <c:v>09/02/2025</c:v>
                </c:pt>
                <c:pt idx="229">
                  <c:v>09/03/2025</c:v>
                </c:pt>
                <c:pt idx="230">
                  <c:v>09/04/2025</c:v>
                </c:pt>
                <c:pt idx="231">
                  <c:v>09/05/2025</c:v>
                </c:pt>
                <c:pt idx="232">
                  <c:v>09/08/2025</c:v>
                </c:pt>
                <c:pt idx="233">
                  <c:v>09/09/2025</c:v>
                </c:pt>
                <c:pt idx="234">
                  <c:v>09/10/2025</c:v>
                </c:pt>
                <c:pt idx="235">
                  <c:v>09/11/2025</c:v>
                </c:pt>
                <c:pt idx="236">
                  <c:v>09/12/2025</c:v>
                </c:pt>
                <c:pt idx="237">
                  <c:v>09/15/2025</c:v>
                </c:pt>
                <c:pt idx="238">
                  <c:v>09/16/2025</c:v>
                </c:pt>
                <c:pt idx="239">
                  <c:v>09/17/2025</c:v>
                </c:pt>
                <c:pt idx="240">
                  <c:v>09/18/2025</c:v>
                </c:pt>
                <c:pt idx="241">
                  <c:v>09/19/2025</c:v>
                </c:pt>
                <c:pt idx="242">
                  <c:v>09/22/2025</c:v>
                </c:pt>
                <c:pt idx="243">
                  <c:v>09/23/2025</c:v>
                </c:pt>
                <c:pt idx="244">
                  <c:v>09/24/2025</c:v>
                </c:pt>
                <c:pt idx="245">
                  <c:v>09/25/2025</c:v>
                </c:pt>
                <c:pt idx="246">
                  <c:v>09/26/2025</c:v>
                </c:pt>
                <c:pt idx="247">
                  <c:v>09/29/2025</c:v>
                </c:pt>
                <c:pt idx="248">
                  <c:v>09/30/2025</c:v>
                </c:pt>
                <c:pt idx="249">
                  <c:v>10/01/2025</c:v>
                </c:pt>
                <c:pt idx="250">
                  <c:v>10/02/2025</c:v>
                </c:pt>
                <c:pt idx="251">
                  <c:v>10/03/2025</c:v>
                </c:pt>
                <c:pt idx="252">
                  <c:v>10/05/2025</c:v>
                </c:pt>
                <c:pt idx="253">
                  <c:v>10/06/2025</c:v>
                </c:pt>
                <c:pt idx="254">
                  <c:v>10/07/2025</c:v>
                </c:pt>
                <c:pt idx="255">
                  <c:v>10/08/2025</c:v>
                </c:pt>
                <c:pt idx="256">
                  <c:v>10/09/2025</c:v>
                </c:pt>
                <c:pt idx="257">
                  <c:v>10/10/2025</c:v>
                </c:pt>
              </c:strCache>
            </c:strRef>
          </c:cat>
          <c:val>
            <c:numRef>
              <c:f>'XAU_USD Historical Data (2)'!$B$2:$B$259</c:f>
              <c:numCache>
                <c:formatCode>General</c:formatCode>
                <c:ptCount val="258"/>
                <c:pt idx="0">
                  <c:v>2651.05</c:v>
                </c:pt>
                <c:pt idx="1">
                  <c:v>2660.99</c:v>
                </c:pt>
                <c:pt idx="2">
                  <c:v>2673.24</c:v>
                </c:pt>
                <c:pt idx="3">
                  <c:v>2692.55</c:v>
                </c:pt>
                <c:pt idx="4">
                  <c:v>2720.25</c:v>
                </c:pt>
                <c:pt idx="5">
                  <c:v>2719.65</c:v>
                </c:pt>
                <c:pt idx="6">
                  <c:v>2748.38</c:v>
                </c:pt>
                <c:pt idx="7">
                  <c:v>2717.54</c:v>
                </c:pt>
                <c:pt idx="8">
                  <c:v>2735.7</c:v>
                </c:pt>
                <c:pt idx="9">
                  <c:v>2747.69</c:v>
                </c:pt>
                <c:pt idx="10">
                  <c:v>2741.98</c:v>
                </c:pt>
                <c:pt idx="11">
                  <c:v>2775.13</c:v>
                </c:pt>
                <c:pt idx="12">
                  <c:v>2786.19</c:v>
                </c:pt>
                <c:pt idx="13">
                  <c:v>2743.8</c:v>
                </c:pt>
                <c:pt idx="14">
                  <c:v>2735.16</c:v>
                </c:pt>
                <c:pt idx="15">
                  <c:v>2736.39</c:v>
                </c:pt>
                <c:pt idx="16">
                  <c:v>2743.59</c:v>
                </c:pt>
                <c:pt idx="17">
                  <c:v>2659.24</c:v>
                </c:pt>
                <c:pt idx="18">
                  <c:v>2706.99</c:v>
                </c:pt>
                <c:pt idx="19">
                  <c:v>2683.77</c:v>
                </c:pt>
                <c:pt idx="20">
                  <c:v>2620.1999999999998</c:v>
                </c:pt>
                <c:pt idx="21">
                  <c:v>2597.27</c:v>
                </c:pt>
                <c:pt idx="22">
                  <c:v>2573.7800000000002</c:v>
                </c:pt>
                <c:pt idx="23">
                  <c:v>2566.19</c:v>
                </c:pt>
                <c:pt idx="24">
                  <c:v>2561.2399999999998</c:v>
                </c:pt>
                <c:pt idx="25">
                  <c:v>2612.1999999999998</c:v>
                </c:pt>
                <c:pt idx="26">
                  <c:v>2631.68</c:v>
                </c:pt>
                <c:pt idx="27">
                  <c:v>2650.05</c:v>
                </c:pt>
                <c:pt idx="28">
                  <c:v>2669.69</c:v>
                </c:pt>
                <c:pt idx="29">
                  <c:v>2712.55</c:v>
                </c:pt>
                <c:pt idx="30">
                  <c:v>2625.26</c:v>
                </c:pt>
                <c:pt idx="31">
                  <c:v>2631.89</c:v>
                </c:pt>
                <c:pt idx="32">
                  <c:v>2635.51</c:v>
                </c:pt>
                <c:pt idx="33">
                  <c:v>2640.96</c:v>
                </c:pt>
                <c:pt idx="34">
                  <c:v>2653.55</c:v>
                </c:pt>
                <c:pt idx="35">
                  <c:v>2638.93</c:v>
                </c:pt>
                <c:pt idx="36">
                  <c:v>2643.44</c:v>
                </c:pt>
                <c:pt idx="37">
                  <c:v>2649.79</c:v>
                </c:pt>
                <c:pt idx="38">
                  <c:v>2632.05</c:v>
                </c:pt>
                <c:pt idx="39">
                  <c:v>2632.91</c:v>
                </c:pt>
                <c:pt idx="40">
                  <c:v>2658.78</c:v>
                </c:pt>
                <c:pt idx="41">
                  <c:v>2693.64</c:v>
                </c:pt>
                <c:pt idx="42">
                  <c:v>2717.93</c:v>
                </c:pt>
                <c:pt idx="43">
                  <c:v>2681.33</c:v>
                </c:pt>
                <c:pt idx="44">
                  <c:v>2648.39</c:v>
                </c:pt>
                <c:pt idx="45">
                  <c:v>2652.5</c:v>
                </c:pt>
                <c:pt idx="46">
                  <c:v>2645.54</c:v>
                </c:pt>
                <c:pt idx="47">
                  <c:v>2587.63</c:v>
                </c:pt>
                <c:pt idx="48">
                  <c:v>2593.85</c:v>
                </c:pt>
                <c:pt idx="49">
                  <c:v>2620.77</c:v>
                </c:pt>
                <c:pt idx="50">
                  <c:v>2612.9299999999998</c:v>
                </c:pt>
                <c:pt idx="51">
                  <c:v>2613.1999999999998</c:v>
                </c:pt>
                <c:pt idx="52">
                  <c:v>2634.43</c:v>
                </c:pt>
                <c:pt idx="53">
                  <c:v>2620</c:v>
                </c:pt>
                <c:pt idx="54">
                  <c:v>2605.39</c:v>
                </c:pt>
                <c:pt idx="55">
                  <c:v>2623.81</c:v>
                </c:pt>
                <c:pt idx="56">
                  <c:v>2657.16</c:v>
                </c:pt>
                <c:pt idx="57">
                  <c:v>2639.12</c:v>
                </c:pt>
                <c:pt idx="58">
                  <c:v>2635.33</c:v>
                </c:pt>
                <c:pt idx="59">
                  <c:v>2649.49</c:v>
                </c:pt>
                <c:pt idx="60">
                  <c:v>2662.06</c:v>
                </c:pt>
                <c:pt idx="61">
                  <c:v>2670.19</c:v>
                </c:pt>
                <c:pt idx="62">
                  <c:v>2689.63</c:v>
                </c:pt>
                <c:pt idx="63">
                  <c:v>2662.12</c:v>
                </c:pt>
                <c:pt idx="64">
                  <c:v>2677.16</c:v>
                </c:pt>
                <c:pt idx="65">
                  <c:v>2695.82</c:v>
                </c:pt>
                <c:pt idx="66">
                  <c:v>2713.77</c:v>
                </c:pt>
                <c:pt idx="67">
                  <c:v>2701.55</c:v>
                </c:pt>
                <c:pt idx="68">
                  <c:v>2708.06</c:v>
                </c:pt>
                <c:pt idx="69">
                  <c:v>2744.39</c:v>
                </c:pt>
                <c:pt idx="70">
                  <c:v>2755.02</c:v>
                </c:pt>
                <c:pt idx="71">
                  <c:v>2753.69</c:v>
                </c:pt>
                <c:pt idx="72">
                  <c:v>2771.3</c:v>
                </c:pt>
                <c:pt idx="73">
                  <c:v>2741.1</c:v>
                </c:pt>
                <c:pt idx="74">
                  <c:v>2763.11</c:v>
                </c:pt>
                <c:pt idx="75">
                  <c:v>2757.71</c:v>
                </c:pt>
                <c:pt idx="76">
                  <c:v>2793.88</c:v>
                </c:pt>
                <c:pt idx="77">
                  <c:v>2801</c:v>
                </c:pt>
                <c:pt idx="78">
                  <c:v>2813.49</c:v>
                </c:pt>
                <c:pt idx="79">
                  <c:v>2841.94</c:v>
                </c:pt>
                <c:pt idx="80">
                  <c:v>2865.09</c:v>
                </c:pt>
                <c:pt idx="81">
                  <c:v>2856.5</c:v>
                </c:pt>
                <c:pt idx="82">
                  <c:v>2860.39</c:v>
                </c:pt>
                <c:pt idx="83">
                  <c:v>2907.34</c:v>
                </c:pt>
                <c:pt idx="84">
                  <c:v>2898.34</c:v>
                </c:pt>
                <c:pt idx="85">
                  <c:v>2903.66</c:v>
                </c:pt>
                <c:pt idx="86">
                  <c:v>2929.03</c:v>
                </c:pt>
                <c:pt idx="87">
                  <c:v>2883.18</c:v>
                </c:pt>
                <c:pt idx="88">
                  <c:v>2897.66</c:v>
                </c:pt>
                <c:pt idx="89">
                  <c:v>2935.58</c:v>
                </c:pt>
                <c:pt idx="90">
                  <c:v>2932.64</c:v>
                </c:pt>
                <c:pt idx="91">
                  <c:v>2938.7</c:v>
                </c:pt>
                <c:pt idx="92">
                  <c:v>2936.03</c:v>
                </c:pt>
                <c:pt idx="93">
                  <c:v>2951.19</c:v>
                </c:pt>
                <c:pt idx="94">
                  <c:v>2915.12</c:v>
                </c:pt>
                <c:pt idx="95">
                  <c:v>2916.19</c:v>
                </c:pt>
                <c:pt idx="96">
                  <c:v>2876.19</c:v>
                </c:pt>
                <c:pt idx="97">
                  <c:v>2858.6</c:v>
                </c:pt>
                <c:pt idx="98">
                  <c:v>2893.71</c:v>
                </c:pt>
                <c:pt idx="99">
                  <c:v>2917.49</c:v>
                </c:pt>
                <c:pt idx="100">
                  <c:v>2918.84</c:v>
                </c:pt>
                <c:pt idx="101">
                  <c:v>2909.99</c:v>
                </c:pt>
                <c:pt idx="102">
                  <c:v>2910.79</c:v>
                </c:pt>
                <c:pt idx="103">
                  <c:v>2889.4</c:v>
                </c:pt>
                <c:pt idx="104">
                  <c:v>2916.04</c:v>
                </c:pt>
                <c:pt idx="105">
                  <c:v>2932.06</c:v>
                </c:pt>
                <c:pt idx="106">
                  <c:v>2987.75</c:v>
                </c:pt>
                <c:pt idx="107">
                  <c:v>2984.42</c:v>
                </c:pt>
                <c:pt idx="108">
                  <c:v>3001.47</c:v>
                </c:pt>
                <c:pt idx="109">
                  <c:v>3033.95</c:v>
                </c:pt>
                <c:pt idx="110">
                  <c:v>3047.18</c:v>
                </c:pt>
                <c:pt idx="111">
                  <c:v>3044.41</c:v>
                </c:pt>
                <c:pt idx="112">
                  <c:v>3023.63</c:v>
                </c:pt>
                <c:pt idx="113">
                  <c:v>3012.27</c:v>
                </c:pt>
                <c:pt idx="114">
                  <c:v>3019.85</c:v>
                </c:pt>
                <c:pt idx="115">
                  <c:v>3019.29</c:v>
                </c:pt>
                <c:pt idx="116">
                  <c:v>3056.1</c:v>
                </c:pt>
                <c:pt idx="117">
                  <c:v>3084.03</c:v>
                </c:pt>
                <c:pt idx="118">
                  <c:v>3123.05</c:v>
                </c:pt>
                <c:pt idx="119">
                  <c:v>3110.55</c:v>
                </c:pt>
                <c:pt idx="120">
                  <c:v>3133.57</c:v>
                </c:pt>
                <c:pt idx="121">
                  <c:v>3112.83</c:v>
                </c:pt>
                <c:pt idx="122">
                  <c:v>3037.36</c:v>
                </c:pt>
                <c:pt idx="123">
                  <c:v>2982.54</c:v>
                </c:pt>
                <c:pt idx="124">
                  <c:v>2983.78</c:v>
                </c:pt>
                <c:pt idx="125">
                  <c:v>3082.18</c:v>
                </c:pt>
                <c:pt idx="126">
                  <c:v>3173.92</c:v>
                </c:pt>
                <c:pt idx="127">
                  <c:v>3236.21</c:v>
                </c:pt>
                <c:pt idx="128">
                  <c:v>3209.28</c:v>
                </c:pt>
                <c:pt idx="129">
                  <c:v>3227.6</c:v>
                </c:pt>
                <c:pt idx="130">
                  <c:v>3343.22</c:v>
                </c:pt>
                <c:pt idx="131">
                  <c:v>3327.54</c:v>
                </c:pt>
                <c:pt idx="132">
                  <c:v>3424.3</c:v>
                </c:pt>
                <c:pt idx="133">
                  <c:v>3382.54</c:v>
                </c:pt>
                <c:pt idx="134">
                  <c:v>3288.26</c:v>
                </c:pt>
                <c:pt idx="135">
                  <c:v>3349.1</c:v>
                </c:pt>
                <c:pt idx="136">
                  <c:v>3319.45</c:v>
                </c:pt>
                <c:pt idx="137">
                  <c:v>3341.67</c:v>
                </c:pt>
                <c:pt idx="138">
                  <c:v>3317.18</c:v>
                </c:pt>
                <c:pt idx="139">
                  <c:v>3288.59</c:v>
                </c:pt>
                <c:pt idx="140">
                  <c:v>3241</c:v>
                </c:pt>
                <c:pt idx="141">
                  <c:v>3240.88</c:v>
                </c:pt>
                <c:pt idx="142">
                  <c:v>3334.5</c:v>
                </c:pt>
                <c:pt idx="143">
                  <c:v>3430.21</c:v>
                </c:pt>
                <c:pt idx="144">
                  <c:v>3365.21</c:v>
                </c:pt>
                <c:pt idx="145">
                  <c:v>3305.52</c:v>
                </c:pt>
                <c:pt idx="146">
                  <c:v>3324.63</c:v>
                </c:pt>
                <c:pt idx="147">
                  <c:v>3234.7</c:v>
                </c:pt>
                <c:pt idx="148">
                  <c:v>3248.47</c:v>
                </c:pt>
                <c:pt idx="149">
                  <c:v>3178.75</c:v>
                </c:pt>
                <c:pt idx="150">
                  <c:v>3240.87</c:v>
                </c:pt>
                <c:pt idx="151">
                  <c:v>3202.77</c:v>
                </c:pt>
                <c:pt idx="152">
                  <c:v>3229.85</c:v>
                </c:pt>
                <c:pt idx="153">
                  <c:v>3290.12</c:v>
                </c:pt>
                <c:pt idx="154">
                  <c:v>3314.99</c:v>
                </c:pt>
                <c:pt idx="155">
                  <c:v>3295</c:v>
                </c:pt>
                <c:pt idx="156">
                  <c:v>3357.42</c:v>
                </c:pt>
                <c:pt idx="157">
                  <c:v>3342.94</c:v>
                </c:pt>
                <c:pt idx="158">
                  <c:v>3300.68</c:v>
                </c:pt>
                <c:pt idx="159">
                  <c:v>3289.76</c:v>
                </c:pt>
                <c:pt idx="160">
                  <c:v>3317.02</c:v>
                </c:pt>
                <c:pt idx="161">
                  <c:v>3289.4</c:v>
                </c:pt>
                <c:pt idx="162">
                  <c:v>3380.21</c:v>
                </c:pt>
                <c:pt idx="163">
                  <c:v>3352.25</c:v>
                </c:pt>
                <c:pt idx="164">
                  <c:v>3376.54</c:v>
                </c:pt>
                <c:pt idx="165">
                  <c:v>3354.16</c:v>
                </c:pt>
                <c:pt idx="166">
                  <c:v>3310.17</c:v>
                </c:pt>
                <c:pt idx="167">
                  <c:v>3328.33</c:v>
                </c:pt>
                <c:pt idx="168">
                  <c:v>3323.02</c:v>
                </c:pt>
                <c:pt idx="169">
                  <c:v>3353.84</c:v>
                </c:pt>
                <c:pt idx="170">
                  <c:v>3385.29</c:v>
                </c:pt>
                <c:pt idx="171">
                  <c:v>3432.64</c:v>
                </c:pt>
                <c:pt idx="172">
                  <c:v>3383.2</c:v>
                </c:pt>
                <c:pt idx="173">
                  <c:v>3388.74</c:v>
                </c:pt>
                <c:pt idx="174">
                  <c:v>3369.09</c:v>
                </c:pt>
                <c:pt idx="175">
                  <c:v>3370.75</c:v>
                </c:pt>
                <c:pt idx="176">
                  <c:v>3368.23</c:v>
                </c:pt>
                <c:pt idx="177">
                  <c:v>3368.88</c:v>
                </c:pt>
                <c:pt idx="178">
                  <c:v>3324.2</c:v>
                </c:pt>
                <c:pt idx="179">
                  <c:v>3332.46</c:v>
                </c:pt>
                <c:pt idx="180">
                  <c:v>3328.06</c:v>
                </c:pt>
                <c:pt idx="181">
                  <c:v>3274.25</c:v>
                </c:pt>
                <c:pt idx="182">
                  <c:v>3303.69</c:v>
                </c:pt>
                <c:pt idx="183">
                  <c:v>3339.21</c:v>
                </c:pt>
                <c:pt idx="184">
                  <c:v>3357.36</c:v>
                </c:pt>
                <c:pt idx="185">
                  <c:v>3326.57</c:v>
                </c:pt>
                <c:pt idx="186">
                  <c:v>3336.64</c:v>
                </c:pt>
                <c:pt idx="187">
                  <c:v>3335.61</c:v>
                </c:pt>
                <c:pt idx="188">
                  <c:v>3300.7</c:v>
                </c:pt>
                <c:pt idx="189">
                  <c:v>3313.72</c:v>
                </c:pt>
                <c:pt idx="190">
                  <c:v>3323.07</c:v>
                </c:pt>
                <c:pt idx="191">
                  <c:v>3355.91</c:v>
                </c:pt>
                <c:pt idx="192">
                  <c:v>3343.8</c:v>
                </c:pt>
                <c:pt idx="193">
                  <c:v>3322.63</c:v>
                </c:pt>
                <c:pt idx="194">
                  <c:v>3346.58</c:v>
                </c:pt>
                <c:pt idx="195">
                  <c:v>3338.95</c:v>
                </c:pt>
                <c:pt idx="196">
                  <c:v>3350.4</c:v>
                </c:pt>
                <c:pt idx="197">
                  <c:v>3395.8</c:v>
                </c:pt>
                <c:pt idx="198">
                  <c:v>3431.5</c:v>
                </c:pt>
                <c:pt idx="199">
                  <c:v>3387.78</c:v>
                </c:pt>
                <c:pt idx="200">
                  <c:v>3368.15</c:v>
                </c:pt>
                <c:pt idx="201">
                  <c:v>3337.18</c:v>
                </c:pt>
                <c:pt idx="202">
                  <c:v>3314.64</c:v>
                </c:pt>
                <c:pt idx="203">
                  <c:v>3326.84</c:v>
                </c:pt>
                <c:pt idx="204">
                  <c:v>3275.25</c:v>
                </c:pt>
                <c:pt idx="205">
                  <c:v>3290.32</c:v>
                </c:pt>
                <c:pt idx="206">
                  <c:v>3362.88</c:v>
                </c:pt>
                <c:pt idx="207">
                  <c:v>3373.37</c:v>
                </c:pt>
                <c:pt idx="208">
                  <c:v>3381.27</c:v>
                </c:pt>
                <c:pt idx="209">
                  <c:v>3369.04</c:v>
                </c:pt>
                <c:pt idx="210">
                  <c:v>3397.31</c:v>
                </c:pt>
                <c:pt idx="211">
                  <c:v>3398.78</c:v>
                </c:pt>
                <c:pt idx="212">
                  <c:v>3344.83</c:v>
                </c:pt>
                <c:pt idx="213">
                  <c:v>3346.2</c:v>
                </c:pt>
                <c:pt idx="214">
                  <c:v>3354.73</c:v>
                </c:pt>
                <c:pt idx="215">
                  <c:v>3336.5</c:v>
                </c:pt>
                <c:pt idx="216">
                  <c:v>3335.39</c:v>
                </c:pt>
                <c:pt idx="217">
                  <c:v>3330.55</c:v>
                </c:pt>
                <c:pt idx="218">
                  <c:v>3315.46</c:v>
                </c:pt>
                <c:pt idx="219">
                  <c:v>3347.11</c:v>
                </c:pt>
                <c:pt idx="220">
                  <c:v>3338.81</c:v>
                </c:pt>
                <c:pt idx="221">
                  <c:v>3372.11</c:v>
                </c:pt>
                <c:pt idx="222">
                  <c:v>3366.79</c:v>
                </c:pt>
                <c:pt idx="223">
                  <c:v>3392.88</c:v>
                </c:pt>
                <c:pt idx="224">
                  <c:v>3397.42</c:v>
                </c:pt>
                <c:pt idx="225">
                  <c:v>3417.2</c:v>
                </c:pt>
                <c:pt idx="226">
                  <c:v>3448</c:v>
                </c:pt>
                <c:pt idx="227">
                  <c:v>3476.47</c:v>
                </c:pt>
                <c:pt idx="228">
                  <c:v>3533.73</c:v>
                </c:pt>
                <c:pt idx="229">
                  <c:v>3559.43</c:v>
                </c:pt>
                <c:pt idx="230">
                  <c:v>3546.17</c:v>
                </c:pt>
                <c:pt idx="231">
                  <c:v>3586.81</c:v>
                </c:pt>
                <c:pt idx="232">
                  <c:v>3635.84</c:v>
                </c:pt>
                <c:pt idx="233">
                  <c:v>3626.48</c:v>
                </c:pt>
                <c:pt idx="234">
                  <c:v>3640.74</c:v>
                </c:pt>
                <c:pt idx="235">
                  <c:v>3634.09</c:v>
                </c:pt>
                <c:pt idx="236">
                  <c:v>3643.13</c:v>
                </c:pt>
                <c:pt idx="237">
                  <c:v>3679.13</c:v>
                </c:pt>
                <c:pt idx="238">
                  <c:v>3689.8</c:v>
                </c:pt>
                <c:pt idx="239">
                  <c:v>3660.04</c:v>
                </c:pt>
                <c:pt idx="240">
                  <c:v>3644.36</c:v>
                </c:pt>
                <c:pt idx="241">
                  <c:v>3684.98</c:v>
                </c:pt>
                <c:pt idx="242">
                  <c:v>3746.47</c:v>
                </c:pt>
                <c:pt idx="243">
                  <c:v>3764.19</c:v>
                </c:pt>
                <c:pt idx="244">
                  <c:v>3736.29</c:v>
                </c:pt>
                <c:pt idx="245">
                  <c:v>3749.37</c:v>
                </c:pt>
                <c:pt idx="246">
                  <c:v>3760.24</c:v>
                </c:pt>
                <c:pt idx="247">
                  <c:v>3833.93</c:v>
                </c:pt>
                <c:pt idx="248">
                  <c:v>3858.51</c:v>
                </c:pt>
                <c:pt idx="249">
                  <c:v>3865.8</c:v>
                </c:pt>
                <c:pt idx="250">
                  <c:v>3856.53</c:v>
                </c:pt>
                <c:pt idx="251">
                  <c:v>3886.83</c:v>
                </c:pt>
                <c:pt idx="252">
                  <c:v>3909.57</c:v>
                </c:pt>
                <c:pt idx="253">
                  <c:v>3961.09</c:v>
                </c:pt>
                <c:pt idx="254">
                  <c:v>3983.82</c:v>
                </c:pt>
                <c:pt idx="255">
                  <c:v>4038.9</c:v>
                </c:pt>
                <c:pt idx="256">
                  <c:v>3976.29</c:v>
                </c:pt>
                <c:pt idx="257">
                  <c:v>4018.3</c:v>
                </c:pt>
              </c:numCache>
            </c:numRef>
          </c:val>
          <c:smooth val="0"/>
          <c:extLst>
            <c:ext xmlns:c16="http://schemas.microsoft.com/office/drawing/2014/chart" uri="{C3380CC4-5D6E-409C-BE32-E72D297353CC}">
              <c16:uniqueId val="{00000000-6F70-4D94-9229-3EE7218F6486}"/>
            </c:ext>
          </c:extLst>
        </c:ser>
        <c:dLbls>
          <c:showLegendKey val="0"/>
          <c:showVal val="0"/>
          <c:showCatName val="0"/>
          <c:showSerName val="0"/>
          <c:showPercent val="0"/>
          <c:showBubbleSize val="0"/>
        </c:dLbls>
        <c:smooth val="0"/>
        <c:axId val="1472057695"/>
        <c:axId val="1472058655"/>
      </c:lineChart>
      <c:dateAx>
        <c:axId val="147205769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1472058655"/>
        <c:crosses val="autoZero"/>
        <c:auto val="0"/>
        <c:lblOffset val="100"/>
        <c:baseTimeUnit val="days"/>
      </c:dateAx>
      <c:valAx>
        <c:axId val="1472058655"/>
        <c:scaling>
          <c:orientation val="minMax"/>
          <c:max val="4200"/>
          <c:min val="2500"/>
        </c:scaling>
        <c:delete val="0"/>
        <c:axPos val="l"/>
        <c:majorGridlines>
          <c:spPr>
            <a:ln w="9525" cap="flat" cmpd="sng" algn="ctr">
              <a:solidFill>
                <a:schemeClr val="tx1">
                  <a:lumMod val="15000"/>
                  <a:lumOff val="85000"/>
                </a:schemeClr>
              </a:solidFill>
              <a:round/>
            </a:ln>
            <a:effectLst/>
          </c:spPr>
        </c:majorGridlines>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1472057695"/>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ltLang="zh-CN" sz="1200"/>
              <a:t>U.S. Dollar</a:t>
            </a:r>
            <a:r>
              <a:rPr lang="en-US" altLang="zh-CN" sz="1200" baseline="0"/>
              <a:t> Index (DXY) Change October 2024 - October 2025</a:t>
            </a:r>
          </a:p>
          <a:p>
            <a:pPr>
              <a:defRPr/>
            </a:pPr>
            <a:r>
              <a:rPr lang="en-US" altLang="zh-CN" sz="1200" baseline="0"/>
              <a:t>(Unit: N/A)</a:t>
            </a:r>
            <a:endParaRPr lang="en-US" altLang="zh-CN" sz="1200"/>
          </a:p>
        </c:rich>
      </c:tx>
      <c:layout>
        <c:manualLayout>
          <c:xMode val="edge"/>
          <c:yMode val="edge"/>
          <c:x val="0.17136241107534983"/>
          <c:y val="2.0768431983385256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ltLang="zh-CN"/>
        </a:p>
      </c:txPr>
    </c:title>
    <c:autoTitleDeleted val="0"/>
    <c:plotArea>
      <c:layout/>
      <c:lineChart>
        <c:grouping val="standard"/>
        <c:varyColors val="0"/>
        <c:ser>
          <c:idx val="0"/>
          <c:order val="0"/>
          <c:tx>
            <c:strRef>
              <c:f>'US Dollar Index Futures Histori'!$B$1</c:f>
              <c:strCache>
                <c:ptCount val="1"/>
                <c:pt idx="0">
                  <c:v>Percentage Change in U.S. Dollar Index</c:v>
                </c:pt>
              </c:strCache>
            </c:strRef>
          </c:tx>
          <c:spPr>
            <a:ln w="28575" cap="rnd">
              <a:solidFill>
                <a:schemeClr val="accent2"/>
              </a:solidFill>
              <a:round/>
            </a:ln>
            <a:effectLst/>
          </c:spPr>
          <c:marker>
            <c:symbol val="none"/>
          </c:marker>
          <c:cat>
            <c:strRef>
              <c:f>'US Dollar Index Futures Histori'!$A$2:$A$258</c:f>
              <c:strCache>
                <c:ptCount val="257"/>
                <c:pt idx="0">
                  <c:v>10/14/2024</c:v>
                </c:pt>
                <c:pt idx="1">
                  <c:v>10/15/2024</c:v>
                </c:pt>
                <c:pt idx="2">
                  <c:v>10/16/2024</c:v>
                </c:pt>
                <c:pt idx="3">
                  <c:v>10/17/2024</c:v>
                </c:pt>
                <c:pt idx="4">
                  <c:v>10/18/2024</c:v>
                </c:pt>
                <c:pt idx="5">
                  <c:v>10/21/2024</c:v>
                </c:pt>
                <c:pt idx="6">
                  <c:v>10/22/2024</c:v>
                </c:pt>
                <c:pt idx="7">
                  <c:v>10/23/2024</c:v>
                </c:pt>
                <c:pt idx="8">
                  <c:v>10/24/2024</c:v>
                </c:pt>
                <c:pt idx="9">
                  <c:v>10/25/2024</c:v>
                </c:pt>
                <c:pt idx="10">
                  <c:v>10/28/2024</c:v>
                </c:pt>
                <c:pt idx="11">
                  <c:v>10/29/2024</c:v>
                </c:pt>
                <c:pt idx="12">
                  <c:v>10/30/2024</c:v>
                </c:pt>
                <c:pt idx="13">
                  <c:v>10/31/2024</c:v>
                </c:pt>
                <c:pt idx="14">
                  <c:v>11/01/2024</c:v>
                </c:pt>
                <c:pt idx="15">
                  <c:v>11/04/2024</c:v>
                </c:pt>
                <c:pt idx="16">
                  <c:v>11/05/2024</c:v>
                </c:pt>
                <c:pt idx="17">
                  <c:v>11/06/2024</c:v>
                </c:pt>
                <c:pt idx="18">
                  <c:v>11/07/2024</c:v>
                </c:pt>
                <c:pt idx="19">
                  <c:v>11/08/2024</c:v>
                </c:pt>
                <c:pt idx="20">
                  <c:v>11/11/2024</c:v>
                </c:pt>
                <c:pt idx="21">
                  <c:v>11/12/2024</c:v>
                </c:pt>
                <c:pt idx="22">
                  <c:v>11/13/2024</c:v>
                </c:pt>
                <c:pt idx="23">
                  <c:v>11/14/2024</c:v>
                </c:pt>
                <c:pt idx="24">
                  <c:v>11/15/2024</c:v>
                </c:pt>
                <c:pt idx="25">
                  <c:v>11/18/2024</c:v>
                </c:pt>
                <c:pt idx="26">
                  <c:v>11/19/2024</c:v>
                </c:pt>
                <c:pt idx="27">
                  <c:v>11/20/2024</c:v>
                </c:pt>
                <c:pt idx="28">
                  <c:v>11/21/2024</c:v>
                </c:pt>
                <c:pt idx="29">
                  <c:v>11/22/2024</c:v>
                </c:pt>
                <c:pt idx="30">
                  <c:v>11/25/2024</c:v>
                </c:pt>
                <c:pt idx="31">
                  <c:v>11/26/2024</c:v>
                </c:pt>
                <c:pt idx="32">
                  <c:v>11/27/2024</c:v>
                </c:pt>
                <c:pt idx="33">
                  <c:v>11/28/2024</c:v>
                </c:pt>
                <c:pt idx="34">
                  <c:v>11/29/2024</c:v>
                </c:pt>
                <c:pt idx="35">
                  <c:v>12/02/2024</c:v>
                </c:pt>
                <c:pt idx="36">
                  <c:v>12/03/2024</c:v>
                </c:pt>
                <c:pt idx="37">
                  <c:v>12/04/2024</c:v>
                </c:pt>
                <c:pt idx="38">
                  <c:v>12/05/2024</c:v>
                </c:pt>
                <c:pt idx="39">
                  <c:v>12/06/2024</c:v>
                </c:pt>
                <c:pt idx="40">
                  <c:v>12/09/2024</c:v>
                </c:pt>
                <c:pt idx="41">
                  <c:v>12/10/2024</c:v>
                </c:pt>
                <c:pt idx="42">
                  <c:v>12/11/2024</c:v>
                </c:pt>
                <c:pt idx="43">
                  <c:v>12/12/2024</c:v>
                </c:pt>
                <c:pt idx="44">
                  <c:v>12/13/2024</c:v>
                </c:pt>
                <c:pt idx="45">
                  <c:v>12/16/2024</c:v>
                </c:pt>
                <c:pt idx="46">
                  <c:v>12/17/2024</c:v>
                </c:pt>
                <c:pt idx="47">
                  <c:v>12/18/2024</c:v>
                </c:pt>
                <c:pt idx="48">
                  <c:v>12/19/2024</c:v>
                </c:pt>
                <c:pt idx="49">
                  <c:v>12/20/2024</c:v>
                </c:pt>
                <c:pt idx="50">
                  <c:v>12/23/2024</c:v>
                </c:pt>
                <c:pt idx="51">
                  <c:v>12/24/2024</c:v>
                </c:pt>
                <c:pt idx="52">
                  <c:v>12/26/2024</c:v>
                </c:pt>
                <c:pt idx="53">
                  <c:v>12/27/2024</c:v>
                </c:pt>
                <c:pt idx="54">
                  <c:v>12/30/2024</c:v>
                </c:pt>
                <c:pt idx="55">
                  <c:v>12/31/2024</c:v>
                </c:pt>
                <c:pt idx="56">
                  <c:v>01/02/2025</c:v>
                </c:pt>
                <c:pt idx="57">
                  <c:v>01/03/2025</c:v>
                </c:pt>
                <c:pt idx="58">
                  <c:v>01/06/2025</c:v>
                </c:pt>
                <c:pt idx="59">
                  <c:v>01/07/2025</c:v>
                </c:pt>
                <c:pt idx="60">
                  <c:v>01/08/2025</c:v>
                </c:pt>
                <c:pt idx="61">
                  <c:v>01/09/2025</c:v>
                </c:pt>
                <c:pt idx="62">
                  <c:v>01/10/2025</c:v>
                </c:pt>
                <c:pt idx="63">
                  <c:v>01/13/2025</c:v>
                </c:pt>
                <c:pt idx="64">
                  <c:v>01/14/2025</c:v>
                </c:pt>
                <c:pt idx="65">
                  <c:v>01/15/2025</c:v>
                </c:pt>
                <c:pt idx="66">
                  <c:v>01/16/2025</c:v>
                </c:pt>
                <c:pt idx="67">
                  <c:v>01/17/2025</c:v>
                </c:pt>
                <c:pt idx="68">
                  <c:v>01/20/2025</c:v>
                </c:pt>
                <c:pt idx="69">
                  <c:v>01/21/2025</c:v>
                </c:pt>
                <c:pt idx="70">
                  <c:v>01/22/2025</c:v>
                </c:pt>
                <c:pt idx="71">
                  <c:v>01/23/2025</c:v>
                </c:pt>
                <c:pt idx="72">
                  <c:v>01/24/2025</c:v>
                </c:pt>
                <c:pt idx="73">
                  <c:v>01/27/2025</c:v>
                </c:pt>
                <c:pt idx="74">
                  <c:v>01/28/2025</c:v>
                </c:pt>
                <c:pt idx="75">
                  <c:v>01/29/2025</c:v>
                </c:pt>
                <c:pt idx="76">
                  <c:v>01/30/2025</c:v>
                </c:pt>
                <c:pt idx="77">
                  <c:v>01/31/2025</c:v>
                </c:pt>
                <c:pt idx="78">
                  <c:v>02/03/2025</c:v>
                </c:pt>
                <c:pt idx="79">
                  <c:v>02/04/2025</c:v>
                </c:pt>
                <c:pt idx="80">
                  <c:v>02/05/2025</c:v>
                </c:pt>
                <c:pt idx="81">
                  <c:v>02/06/2025</c:v>
                </c:pt>
                <c:pt idx="82">
                  <c:v>02/07/2025</c:v>
                </c:pt>
                <c:pt idx="83">
                  <c:v>02/10/2025</c:v>
                </c:pt>
                <c:pt idx="84">
                  <c:v>02/11/2025</c:v>
                </c:pt>
                <c:pt idx="85">
                  <c:v>02/12/2025</c:v>
                </c:pt>
                <c:pt idx="86">
                  <c:v>02/13/2025</c:v>
                </c:pt>
                <c:pt idx="87">
                  <c:v>02/14/2025</c:v>
                </c:pt>
                <c:pt idx="88">
                  <c:v>02/17/2025</c:v>
                </c:pt>
                <c:pt idx="89">
                  <c:v>02/18/2025</c:v>
                </c:pt>
                <c:pt idx="90">
                  <c:v>02/19/2025</c:v>
                </c:pt>
                <c:pt idx="91">
                  <c:v>02/20/2025</c:v>
                </c:pt>
                <c:pt idx="92">
                  <c:v>02/21/2025</c:v>
                </c:pt>
                <c:pt idx="93">
                  <c:v>02/24/2025</c:v>
                </c:pt>
                <c:pt idx="94">
                  <c:v>02/25/2025</c:v>
                </c:pt>
                <c:pt idx="95">
                  <c:v>02/26/2025</c:v>
                </c:pt>
                <c:pt idx="96">
                  <c:v>02/27/2025</c:v>
                </c:pt>
                <c:pt idx="97">
                  <c:v>02/28/2025</c:v>
                </c:pt>
                <c:pt idx="98">
                  <c:v>03/03/2025</c:v>
                </c:pt>
                <c:pt idx="99">
                  <c:v>03/04/2025</c:v>
                </c:pt>
                <c:pt idx="100">
                  <c:v>03/05/2025</c:v>
                </c:pt>
                <c:pt idx="101">
                  <c:v>03/06/2025</c:v>
                </c:pt>
                <c:pt idx="102">
                  <c:v>03/07/2025</c:v>
                </c:pt>
                <c:pt idx="103">
                  <c:v>03/10/2025</c:v>
                </c:pt>
                <c:pt idx="104">
                  <c:v>03/11/2025</c:v>
                </c:pt>
                <c:pt idx="105">
                  <c:v>03/12/2025</c:v>
                </c:pt>
                <c:pt idx="106">
                  <c:v>03/13/2025</c:v>
                </c:pt>
                <c:pt idx="107">
                  <c:v>03/14/2025</c:v>
                </c:pt>
                <c:pt idx="108">
                  <c:v>03/17/2025</c:v>
                </c:pt>
                <c:pt idx="109">
                  <c:v>03/18/2025</c:v>
                </c:pt>
                <c:pt idx="110">
                  <c:v>03/19/2025</c:v>
                </c:pt>
                <c:pt idx="111">
                  <c:v>03/20/2025</c:v>
                </c:pt>
                <c:pt idx="112">
                  <c:v>03/21/2025</c:v>
                </c:pt>
                <c:pt idx="113">
                  <c:v>03/24/2025</c:v>
                </c:pt>
                <c:pt idx="114">
                  <c:v>03/25/2025</c:v>
                </c:pt>
                <c:pt idx="115">
                  <c:v>03/26/2025</c:v>
                </c:pt>
                <c:pt idx="116">
                  <c:v>03/27/2025</c:v>
                </c:pt>
                <c:pt idx="117">
                  <c:v>03/28/2025</c:v>
                </c:pt>
                <c:pt idx="118">
                  <c:v>03/31/2025</c:v>
                </c:pt>
                <c:pt idx="119">
                  <c:v>04/01/2025</c:v>
                </c:pt>
                <c:pt idx="120">
                  <c:v>04/02/2025</c:v>
                </c:pt>
                <c:pt idx="121">
                  <c:v>04/03/2025</c:v>
                </c:pt>
                <c:pt idx="122">
                  <c:v>04/04/2025</c:v>
                </c:pt>
                <c:pt idx="123">
                  <c:v>04/07/2025</c:v>
                </c:pt>
                <c:pt idx="124">
                  <c:v>04/08/2025</c:v>
                </c:pt>
                <c:pt idx="125">
                  <c:v>04/09/2025</c:v>
                </c:pt>
                <c:pt idx="126">
                  <c:v>04/10/2025</c:v>
                </c:pt>
                <c:pt idx="127">
                  <c:v>04/11/2025</c:v>
                </c:pt>
                <c:pt idx="128">
                  <c:v>04/14/2025</c:v>
                </c:pt>
                <c:pt idx="129">
                  <c:v>04/15/2025</c:v>
                </c:pt>
                <c:pt idx="130">
                  <c:v>04/16/2025</c:v>
                </c:pt>
                <c:pt idx="131">
                  <c:v>04/17/2025</c:v>
                </c:pt>
                <c:pt idx="132">
                  <c:v>04/21/2025</c:v>
                </c:pt>
                <c:pt idx="133">
                  <c:v>04/22/2025</c:v>
                </c:pt>
                <c:pt idx="134">
                  <c:v>04/23/2025</c:v>
                </c:pt>
                <c:pt idx="135">
                  <c:v>04/24/2025</c:v>
                </c:pt>
                <c:pt idx="136">
                  <c:v>04/25/2025</c:v>
                </c:pt>
                <c:pt idx="137">
                  <c:v>04/28/2025</c:v>
                </c:pt>
                <c:pt idx="138">
                  <c:v>04/29/2025</c:v>
                </c:pt>
                <c:pt idx="139">
                  <c:v>04/30/2025</c:v>
                </c:pt>
                <c:pt idx="140">
                  <c:v>05/01/2025</c:v>
                </c:pt>
                <c:pt idx="141">
                  <c:v>05/02/2025</c:v>
                </c:pt>
                <c:pt idx="142">
                  <c:v>05/05/2025</c:v>
                </c:pt>
                <c:pt idx="143">
                  <c:v>05/06/2025</c:v>
                </c:pt>
                <c:pt idx="144">
                  <c:v>05/07/2025</c:v>
                </c:pt>
                <c:pt idx="145">
                  <c:v>05/08/2025</c:v>
                </c:pt>
                <c:pt idx="146">
                  <c:v>05/09/2025</c:v>
                </c:pt>
                <c:pt idx="147">
                  <c:v>05/12/2025</c:v>
                </c:pt>
                <c:pt idx="148">
                  <c:v>05/13/2025</c:v>
                </c:pt>
                <c:pt idx="149">
                  <c:v>05/14/2025</c:v>
                </c:pt>
                <c:pt idx="150">
                  <c:v>05/15/2025</c:v>
                </c:pt>
                <c:pt idx="151">
                  <c:v>05/16/2025</c:v>
                </c:pt>
                <c:pt idx="152">
                  <c:v>05/19/2025</c:v>
                </c:pt>
                <c:pt idx="153">
                  <c:v>05/20/2025</c:v>
                </c:pt>
                <c:pt idx="154">
                  <c:v>05/21/2025</c:v>
                </c:pt>
                <c:pt idx="155">
                  <c:v>05/22/2025</c:v>
                </c:pt>
                <c:pt idx="156">
                  <c:v>05/23/2025</c:v>
                </c:pt>
                <c:pt idx="157">
                  <c:v>05/26/2025</c:v>
                </c:pt>
                <c:pt idx="158">
                  <c:v>05/27/2025</c:v>
                </c:pt>
                <c:pt idx="159">
                  <c:v>05/28/2025</c:v>
                </c:pt>
                <c:pt idx="160">
                  <c:v>05/29/2025</c:v>
                </c:pt>
                <c:pt idx="161">
                  <c:v>05/30/2025</c:v>
                </c:pt>
                <c:pt idx="162">
                  <c:v>06/02/2025</c:v>
                </c:pt>
                <c:pt idx="163">
                  <c:v>06/03/2025</c:v>
                </c:pt>
                <c:pt idx="164">
                  <c:v>06/04/2025</c:v>
                </c:pt>
                <c:pt idx="165">
                  <c:v>06/05/2025</c:v>
                </c:pt>
                <c:pt idx="166">
                  <c:v>06/06/2025</c:v>
                </c:pt>
                <c:pt idx="167">
                  <c:v>06/09/2025</c:v>
                </c:pt>
                <c:pt idx="168">
                  <c:v>06/10/2025</c:v>
                </c:pt>
                <c:pt idx="169">
                  <c:v>06/11/2025</c:v>
                </c:pt>
                <c:pt idx="170">
                  <c:v>06/12/2025</c:v>
                </c:pt>
                <c:pt idx="171">
                  <c:v>06/13/2025</c:v>
                </c:pt>
                <c:pt idx="172">
                  <c:v>06/16/2025</c:v>
                </c:pt>
                <c:pt idx="173">
                  <c:v>06/17/2025</c:v>
                </c:pt>
                <c:pt idx="174">
                  <c:v>06/18/2025</c:v>
                </c:pt>
                <c:pt idx="175">
                  <c:v>06/19/2025</c:v>
                </c:pt>
                <c:pt idx="176">
                  <c:v>06/20/2025</c:v>
                </c:pt>
                <c:pt idx="177">
                  <c:v>06/23/2025</c:v>
                </c:pt>
                <c:pt idx="178">
                  <c:v>06/24/2025</c:v>
                </c:pt>
                <c:pt idx="179">
                  <c:v>06/25/2025</c:v>
                </c:pt>
                <c:pt idx="180">
                  <c:v>06/26/2025</c:v>
                </c:pt>
                <c:pt idx="181">
                  <c:v>06/27/2025</c:v>
                </c:pt>
                <c:pt idx="182">
                  <c:v>06/30/2025</c:v>
                </c:pt>
                <c:pt idx="183">
                  <c:v>07/01/2025</c:v>
                </c:pt>
                <c:pt idx="184">
                  <c:v>07/02/2025</c:v>
                </c:pt>
                <c:pt idx="185">
                  <c:v>07/03/2025</c:v>
                </c:pt>
                <c:pt idx="186">
                  <c:v>07/04/2025</c:v>
                </c:pt>
                <c:pt idx="187">
                  <c:v>07/07/2025</c:v>
                </c:pt>
                <c:pt idx="188">
                  <c:v>07/08/2025</c:v>
                </c:pt>
                <c:pt idx="189">
                  <c:v>07/09/2025</c:v>
                </c:pt>
                <c:pt idx="190">
                  <c:v>07/10/2025</c:v>
                </c:pt>
                <c:pt idx="191">
                  <c:v>07/11/2025</c:v>
                </c:pt>
                <c:pt idx="192">
                  <c:v>07/14/2025</c:v>
                </c:pt>
                <c:pt idx="193">
                  <c:v>07/15/2025</c:v>
                </c:pt>
                <c:pt idx="194">
                  <c:v>07/16/2025</c:v>
                </c:pt>
                <c:pt idx="195">
                  <c:v>07/17/2025</c:v>
                </c:pt>
                <c:pt idx="196">
                  <c:v>07/18/2025</c:v>
                </c:pt>
                <c:pt idx="197">
                  <c:v>07/21/2025</c:v>
                </c:pt>
                <c:pt idx="198">
                  <c:v>07/22/2025</c:v>
                </c:pt>
                <c:pt idx="199">
                  <c:v>07/23/2025</c:v>
                </c:pt>
                <c:pt idx="200">
                  <c:v>07/24/2025</c:v>
                </c:pt>
                <c:pt idx="201">
                  <c:v>07/25/2025</c:v>
                </c:pt>
                <c:pt idx="202">
                  <c:v>07/28/2025</c:v>
                </c:pt>
                <c:pt idx="203">
                  <c:v>07/29/2025</c:v>
                </c:pt>
                <c:pt idx="204">
                  <c:v>07/30/2025</c:v>
                </c:pt>
                <c:pt idx="205">
                  <c:v>07/31/2025</c:v>
                </c:pt>
                <c:pt idx="206">
                  <c:v>08/01/2025</c:v>
                </c:pt>
                <c:pt idx="207">
                  <c:v>08/04/2025</c:v>
                </c:pt>
                <c:pt idx="208">
                  <c:v>08/05/2025</c:v>
                </c:pt>
                <c:pt idx="209">
                  <c:v>08/06/2025</c:v>
                </c:pt>
                <c:pt idx="210">
                  <c:v>08/07/2025</c:v>
                </c:pt>
                <c:pt idx="211">
                  <c:v>08/08/2025</c:v>
                </c:pt>
                <c:pt idx="212">
                  <c:v>08/11/2025</c:v>
                </c:pt>
                <c:pt idx="213">
                  <c:v>08/12/2025</c:v>
                </c:pt>
                <c:pt idx="214">
                  <c:v>08/13/2025</c:v>
                </c:pt>
                <c:pt idx="215">
                  <c:v>08/14/2025</c:v>
                </c:pt>
                <c:pt idx="216">
                  <c:v>08/15/2025</c:v>
                </c:pt>
                <c:pt idx="217">
                  <c:v>08/18/2025</c:v>
                </c:pt>
                <c:pt idx="218">
                  <c:v>08/19/2025</c:v>
                </c:pt>
                <c:pt idx="219">
                  <c:v>08/20/2025</c:v>
                </c:pt>
                <c:pt idx="220">
                  <c:v>08/21/2025</c:v>
                </c:pt>
                <c:pt idx="221">
                  <c:v>08/22/2025</c:v>
                </c:pt>
                <c:pt idx="222">
                  <c:v>08/25/2025</c:v>
                </c:pt>
                <c:pt idx="223">
                  <c:v>08/26/2025</c:v>
                </c:pt>
                <c:pt idx="224">
                  <c:v>08/27/2025</c:v>
                </c:pt>
                <c:pt idx="225">
                  <c:v>08/28/2025</c:v>
                </c:pt>
                <c:pt idx="226">
                  <c:v>08/29/2025</c:v>
                </c:pt>
                <c:pt idx="227">
                  <c:v>09/01/2025</c:v>
                </c:pt>
                <c:pt idx="228">
                  <c:v>09/02/2025</c:v>
                </c:pt>
                <c:pt idx="229">
                  <c:v>09/03/2025</c:v>
                </c:pt>
                <c:pt idx="230">
                  <c:v>09/04/2025</c:v>
                </c:pt>
                <c:pt idx="231">
                  <c:v>09/05/2025</c:v>
                </c:pt>
                <c:pt idx="232">
                  <c:v>09/08/2025</c:v>
                </c:pt>
                <c:pt idx="233">
                  <c:v>09/09/2025</c:v>
                </c:pt>
                <c:pt idx="234">
                  <c:v>09/10/2025</c:v>
                </c:pt>
                <c:pt idx="235">
                  <c:v>09/11/2025</c:v>
                </c:pt>
                <c:pt idx="236">
                  <c:v>09/12/2025</c:v>
                </c:pt>
                <c:pt idx="237">
                  <c:v>09/15/2025</c:v>
                </c:pt>
                <c:pt idx="238">
                  <c:v>09/16/2025</c:v>
                </c:pt>
                <c:pt idx="239">
                  <c:v>09/17/2025</c:v>
                </c:pt>
                <c:pt idx="240">
                  <c:v>09/18/2025</c:v>
                </c:pt>
                <c:pt idx="241">
                  <c:v>09/19/2025</c:v>
                </c:pt>
                <c:pt idx="242">
                  <c:v>09/22/2025</c:v>
                </c:pt>
                <c:pt idx="243">
                  <c:v>09/23/2025</c:v>
                </c:pt>
                <c:pt idx="244">
                  <c:v>09/24/2025</c:v>
                </c:pt>
                <c:pt idx="245">
                  <c:v>09/25/2025</c:v>
                </c:pt>
                <c:pt idx="246">
                  <c:v>09/26/2025</c:v>
                </c:pt>
                <c:pt idx="247">
                  <c:v>09/29/2025</c:v>
                </c:pt>
                <c:pt idx="248">
                  <c:v>09/30/2025</c:v>
                </c:pt>
                <c:pt idx="249">
                  <c:v>10/01/2025</c:v>
                </c:pt>
                <c:pt idx="250">
                  <c:v>10/02/2025</c:v>
                </c:pt>
                <c:pt idx="251">
                  <c:v>10/03/2025</c:v>
                </c:pt>
                <c:pt idx="252">
                  <c:v>10/06/2025</c:v>
                </c:pt>
                <c:pt idx="253">
                  <c:v>10/07/2025</c:v>
                </c:pt>
                <c:pt idx="254">
                  <c:v>10/08/2025</c:v>
                </c:pt>
                <c:pt idx="255">
                  <c:v>10/09/2025</c:v>
                </c:pt>
                <c:pt idx="256">
                  <c:v>10/10/2025</c:v>
                </c:pt>
              </c:strCache>
            </c:strRef>
          </c:cat>
          <c:val>
            <c:numRef>
              <c:f>'US Dollar Index Futures Histori'!$B$2:$B$258</c:f>
              <c:numCache>
                <c:formatCode>General</c:formatCode>
                <c:ptCount val="257"/>
                <c:pt idx="0">
                  <c:v>103.08199999999999</c:v>
                </c:pt>
                <c:pt idx="1">
                  <c:v>103.05500000000001</c:v>
                </c:pt>
                <c:pt idx="2">
                  <c:v>103.4</c:v>
                </c:pt>
                <c:pt idx="3">
                  <c:v>103.652</c:v>
                </c:pt>
                <c:pt idx="4">
                  <c:v>103.307</c:v>
                </c:pt>
                <c:pt idx="5">
                  <c:v>103.834</c:v>
                </c:pt>
                <c:pt idx="6">
                  <c:v>103.90900000000001</c:v>
                </c:pt>
                <c:pt idx="7">
                  <c:v>104.277</c:v>
                </c:pt>
                <c:pt idx="8">
                  <c:v>103.919</c:v>
                </c:pt>
                <c:pt idx="9">
                  <c:v>104.13200000000001</c:v>
                </c:pt>
                <c:pt idx="10">
                  <c:v>104.18300000000001</c:v>
                </c:pt>
                <c:pt idx="11">
                  <c:v>104.191</c:v>
                </c:pt>
                <c:pt idx="12">
                  <c:v>103.86199999999999</c:v>
                </c:pt>
                <c:pt idx="13">
                  <c:v>103.878</c:v>
                </c:pt>
                <c:pt idx="14">
                  <c:v>104.203</c:v>
                </c:pt>
                <c:pt idx="15">
                  <c:v>103.79</c:v>
                </c:pt>
                <c:pt idx="16">
                  <c:v>103.324</c:v>
                </c:pt>
                <c:pt idx="17">
                  <c:v>104.985</c:v>
                </c:pt>
                <c:pt idx="18">
                  <c:v>104.37</c:v>
                </c:pt>
                <c:pt idx="19">
                  <c:v>104.89</c:v>
                </c:pt>
                <c:pt idx="20">
                  <c:v>105.45699999999999</c:v>
                </c:pt>
                <c:pt idx="21">
                  <c:v>105.95</c:v>
                </c:pt>
                <c:pt idx="22">
                  <c:v>106.379</c:v>
                </c:pt>
                <c:pt idx="23">
                  <c:v>106.598</c:v>
                </c:pt>
                <c:pt idx="24">
                  <c:v>106.61499999999999</c:v>
                </c:pt>
                <c:pt idx="25">
                  <c:v>106.20099999999999</c:v>
                </c:pt>
                <c:pt idx="26">
                  <c:v>106.143</c:v>
                </c:pt>
                <c:pt idx="27">
                  <c:v>106.616</c:v>
                </c:pt>
                <c:pt idx="28">
                  <c:v>106.93</c:v>
                </c:pt>
                <c:pt idx="29">
                  <c:v>107.50700000000001</c:v>
                </c:pt>
                <c:pt idx="30">
                  <c:v>106.77</c:v>
                </c:pt>
                <c:pt idx="31">
                  <c:v>106.968</c:v>
                </c:pt>
                <c:pt idx="32">
                  <c:v>106.048</c:v>
                </c:pt>
                <c:pt idx="33">
                  <c:v>106.048</c:v>
                </c:pt>
                <c:pt idx="34">
                  <c:v>105.828</c:v>
                </c:pt>
                <c:pt idx="35">
                  <c:v>106.423</c:v>
                </c:pt>
                <c:pt idx="36">
                  <c:v>106.34</c:v>
                </c:pt>
                <c:pt idx="37">
                  <c:v>106.29</c:v>
                </c:pt>
                <c:pt idx="38">
                  <c:v>105.70099999999999</c:v>
                </c:pt>
                <c:pt idx="39">
                  <c:v>106.039</c:v>
                </c:pt>
                <c:pt idx="40">
                  <c:v>106.125</c:v>
                </c:pt>
                <c:pt idx="41">
                  <c:v>106.38200000000001</c:v>
                </c:pt>
                <c:pt idx="42">
                  <c:v>106.69499999999999</c:v>
                </c:pt>
                <c:pt idx="43">
                  <c:v>106.959</c:v>
                </c:pt>
                <c:pt idx="44">
                  <c:v>106.99299999999999</c:v>
                </c:pt>
                <c:pt idx="45">
                  <c:v>107.03</c:v>
                </c:pt>
                <c:pt idx="46">
                  <c:v>106.663</c:v>
                </c:pt>
                <c:pt idx="47">
                  <c:v>107.749</c:v>
                </c:pt>
                <c:pt idx="48">
                  <c:v>108.152</c:v>
                </c:pt>
                <c:pt idx="49">
                  <c:v>107.351</c:v>
                </c:pt>
                <c:pt idx="50">
                  <c:v>107.807</c:v>
                </c:pt>
                <c:pt idx="51">
                  <c:v>108.023</c:v>
                </c:pt>
                <c:pt idx="52">
                  <c:v>107.893</c:v>
                </c:pt>
                <c:pt idx="53">
                  <c:v>107.792</c:v>
                </c:pt>
                <c:pt idx="54">
                  <c:v>107.93300000000001</c:v>
                </c:pt>
                <c:pt idx="55">
                  <c:v>108.29600000000001</c:v>
                </c:pt>
                <c:pt idx="56">
                  <c:v>109.209</c:v>
                </c:pt>
                <c:pt idx="57">
                  <c:v>108.798</c:v>
                </c:pt>
                <c:pt idx="58">
                  <c:v>108.101</c:v>
                </c:pt>
                <c:pt idx="59">
                  <c:v>108.378</c:v>
                </c:pt>
                <c:pt idx="60">
                  <c:v>108.926</c:v>
                </c:pt>
                <c:pt idx="61">
                  <c:v>109.004</c:v>
                </c:pt>
                <c:pt idx="62">
                  <c:v>109.48699999999999</c:v>
                </c:pt>
                <c:pt idx="63">
                  <c:v>109.812</c:v>
                </c:pt>
                <c:pt idx="64">
                  <c:v>109.11</c:v>
                </c:pt>
                <c:pt idx="65">
                  <c:v>108.916</c:v>
                </c:pt>
                <c:pt idx="66">
                  <c:v>108.81699999999999</c:v>
                </c:pt>
                <c:pt idx="67">
                  <c:v>109.203</c:v>
                </c:pt>
                <c:pt idx="68">
                  <c:v>109.203</c:v>
                </c:pt>
                <c:pt idx="69">
                  <c:v>107.861</c:v>
                </c:pt>
                <c:pt idx="70">
                  <c:v>107.962</c:v>
                </c:pt>
                <c:pt idx="71">
                  <c:v>107.863</c:v>
                </c:pt>
                <c:pt idx="72">
                  <c:v>107.245</c:v>
                </c:pt>
                <c:pt idx="73">
                  <c:v>107.16</c:v>
                </c:pt>
                <c:pt idx="74">
                  <c:v>107.68300000000001</c:v>
                </c:pt>
                <c:pt idx="75">
                  <c:v>107.809</c:v>
                </c:pt>
                <c:pt idx="76">
                  <c:v>107.631</c:v>
                </c:pt>
                <c:pt idx="77">
                  <c:v>108.217</c:v>
                </c:pt>
                <c:pt idx="78">
                  <c:v>108.877</c:v>
                </c:pt>
                <c:pt idx="79">
                  <c:v>107.82299999999999</c:v>
                </c:pt>
                <c:pt idx="80">
                  <c:v>107.44199999999999</c:v>
                </c:pt>
                <c:pt idx="81">
                  <c:v>107.547</c:v>
                </c:pt>
                <c:pt idx="82">
                  <c:v>107.928</c:v>
                </c:pt>
                <c:pt idx="83">
                  <c:v>108.193</c:v>
                </c:pt>
                <c:pt idx="84">
                  <c:v>107.833</c:v>
                </c:pt>
                <c:pt idx="85">
                  <c:v>107.82299999999999</c:v>
                </c:pt>
                <c:pt idx="86">
                  <c:v>107.21599999999999</c:v>
                </c:pt>
                <c:pt idx="87">
                  <c:v>106.575</c:v>
                </c:pt>
                <c:pt idx="88">
                  <c:v>106.575</c:v>
                </c:pt>
                <c:pt idx="89">
                  <c:v>106.955</c:v>
                </c:pt>
                <c:pt idx="90">
                  <c:v>107.063</c:v>
                </c:pt>
                <c:pt idx="91">
                  <c:v>106.26900000000001</c:v>
                </c:pt>
                <c:pt idx="92">
                  <c:v>106.51900000000001</c:v>
                </c:pt>
                <c:pt idx="93">
                  <c:v>106.509</c:v>
                </c:pt>
                <c:pt idx="94">
                  <c:v>106.22799999999999</c:v>
                </c:pt>
                <c:pt idx="95">
                  <c:v>106.32899999999999</c:v>
                </c:pt>
                <c:pt idx="96">
                  <c:v>107.176</c:v>
                </c:pt>
                <c:pt idx="97">
                  <c:v>107.55800000000001</c:v>
                </c:pt>
                <c:pt idx="98">
                  <c:v>106.669</c:v>
                </c:pt>
                <c:pt idx="99">
                  <c:v>105.687</c:v>
                </c:pt>
                <c:pt idx="100">
                  <c:v>104.252</c:v>
                </c:pt>
                <c:pt idx="101">
                  <c:v>104.02800000000001</c:v>
                </c:pt>
                <c:pt idx="102">
                  <c:v>103.812</c:v>
                </c:pt>
                <c:pt idx="103">
                  <c:v>103.62</c:v>
                </c:pt>
                <c:pt idx="104">
                  <c:v>102.931</c:v>
                </c:pt>
                <c:pt idx="105">
                  <c:v>103.587</c:v>
                </c:pt>
                <c:pt idx="106">
                  <c:v>103.83</c:v>
                </c:pt>
                <c:pt idx="107">
                  <c:v>103.705</c:v>
                </c:pt>
                <c:pt idx="108">
                  <c:v>103.47</c:v>
                </c:pt>
                <c:pt idx="109">
                  <c:v>102.892</c:v>
                </c:pt>
                <c:pt idx="110">
                  <c:v>103.093</c:v>
                </c:pt>
                <c:pt idx="111">
                  <c:v>103.497</c:v>
                </c:pt>
                <c:pt idx="112">
                  <c:v>103.744</c:v>
                </c:pt>
                <c:pt idx="113">
                  <c:v>103.93600000000001</c:v>
                </c:pt>
                <c:pt idx="114">
                  <c:v>103.831</c:v>
                </c:pt>
                <c:pt idx="115">
                  <c:v>104.20699999999999</c:v>
                </c:pt>
                <c:pt idx="116">
                  <c:v>103.992</c:v>
                </c:pt>
                <c:pt idx="117">
                  <c:v>103.709</c:v>
                </c:pt>
                <c:pt idx="118">
                  <c:v>103.883</c:v>
                </c:pt>
                <c:pt idx="119">
                  <c:v>103.949</c:v>
                </c:pt>
                <c:pt idx="120">
                  <c:v>103.491</c:v>
                </c:pt>
                <c:pt idx="121">
                  <c:v>101.795</c:v>
                </c:pt>
                <c:pt idx="122">
                  <c:v>102.768</c:v>
                </c:pt>
                <c:pt idx="123">
                  <c:v>102.97199999999999</c:v>
                </c:pt>
                <c:pt idx="124">
                  <c:v>102.70099999999999</c:v>
                </c:pt>
                <c:pt idx="125">
                  <c:v>102.623</c:v>
                </c:pt>
                <c:pt idx="126">
                  <c:v>100.61</c:v>
                </c:pt>
                <c:pt idx="127">
                  <c:v>99.891999999999996</c:v>
                </c:pt>
                <c:pt idx="128">
                  <c:v>99.397000000000006</c:v>
                </c:pt>
                <c:pt idx="129">
                  <c:v>99.962000000000003</c:v>
                </c:pt>
                <c:pt idx="130">
                  <c:v>99.143000000000001</c:v>
                </c:pt>
                <c:pt idx="131">
                  <c:v>99.129000000000005</c:v>
                </c:pt>
                <c:pt idx="132">
                  <c:v>98.043999999999997</c:v>
                </c:pt>
                <c:pt idx="133">
                  <c:v>98.69</c:v>
                </c:pt>
                <c:pt idx="134">
                  <c:v>99.635999999999996</c:v>
                </c:pt>
                <c:pt idx="135">
                  <c:v>99.168000000000006</c:v>
                </c:pt>
                <c:pt idx="136">
                  <c:v>99.254000000000005</c:v>
                </c:pt>
                <c:pt idx="137">
                  <c:v>98.789000000000001</c:v>
                </c:pt>
                <c:pt idx="138">
                  <c:v>99.018000000000001</c:v>
                </c:pt>
                <c:pt idx="139">
                  <c:v>99.27</c:v>
                </c:pt>
                <c:pt idx="140">
                  <c:v>100.054</c:v>
                </c:pt>
                <c:pt idx="141">
                  <c:v>99.84</c:v>
                </c:pt>
                <c:pt idx="142">
                  <c:v>99.64</c:v>
                </c:pt>
                <c:pt idx="143">
                  <c:v>99.046999999999997</c:v>
                </c:pt>
                <c:pt idx="144">
                  <c:v>99.435000000000002</c:v>
                </c:pt>
                <c:pt idx="145">
                  <c:v>100.49</c:v>
                </c:pt>
                <c:pt idx="146">
                  <c:v>100.16800000000001</c:v>
                </c:pt>
                <c:pt idx="147">
                  <c:v>101.599</c:v>
                </c:pt>
                <c:pt idx="148">
                  <c:v>100.82599999999999</c:v>
                </c:pt>
                <c:pt idx="149">
                  <c:v>100.873</c:v>
                </c:pt>
                <c:pt idx="150">
                  <c:v>100.729</c:v>
                </c:pt>
                <c:pt idx="151">
                  <c:v>100.946</c:v>
                </c:pt>
                <c:pt idx="152">
                  <c:v>100.288</c:v>
                </c:pt>
                <c:pt idx="153">
                  <c:v>99.977000000000004</c:v>
                </c:pt>
                <c:pt idx="154">
                  <c:v>99.435000000000002</c:v>
                </c:pt>
                <c:pt idx="155">
                  <c:v>99.849000000000004</c:v>
                </c:pt>
                <c:pt idx="156">
                  <c:v>99.01</c:v>
                </c:pt>
                <c:pt idx="157">
                  <c:v>99.01</c:v>
                </c:pt>
                <c:pt idx="158">
                  <c:v>99.424999999999997</c:v>
                </c:pt>
                <c:pt idx="159">
                  <c:v>99.784999999999997</c:v>
                </c:pt>
                <c:pt idx="160">
                  <c:v>99.209000000000003</c:v>
                </c:pt>
                <c:pt idx="161">
                  <c:v>99.259</c:v>
                </c:pt>
                <c:pt idx="162">
                  <c:v>98.635000000000005</c:v>
                </c:pt>
                <c:pt idx="163">
                  <c:v>99.159000000000006</c:v>
                </c:pt>
                <c:pt idx="164">
                  <c:v>98.73</c:v>
                </c:pt>
                <c:pt idx="165">
                  <c:v>98.703999999999994</c:v>
                </c:pt>
                <c:pt idx="166">
                  <c:v>99.141999999999996</c:v>
                </c:pt>
                <c:pt idx="167">
                  <c:v>98.441999999999993</c:v>
                </c:pt>
                <c:pt idx="168">
                  <c:v>99.07</c:v>
                </c:pt>
                <c:pt idx="169">
                  <c:v>98.603999999999999</c:v>
                </c:pt>
                <c:pt idx="170">
                  <c:v>97.900999999999996</c:v>
                </c:pt>
                <c:pt idx="171">
                  <c:v>98.176000000000002</c:v>
                </c:pt>
                <c:pt idx="172">
                  <c:v>97.701999999999998</c:v>
                </c:pt>
                <c:pt idx="173">
                  <c:v>98.394000000000005</c:v>
                </c:pt>
                <c:pt idx="174">
                  <c:v>98.468000000000004</c:v>
                </c:pt>
                <c:pt idx="175">
                  <c:v>98.468000000000004</c:v>
                </c:pt>
                <c:pt idx="176">
                  <c:v>98.281999999999996</c:v>
                </c:pt>
                <c:pt idx="177">
                  <c:v>98.01</c:v>
                </c:pt>
                <c:pt idx="178">
                  <c:v>97.45</c:v>
                </c:pt>
                <c:pt idx="179">
                  <c:v>97.272999999999996</c:v>
                </c:pt>
                <c:pt idx="180">
                  <c:v>96.762</c:v>
                </c:pt>
                <c:pt idx="181">
                  <c:v>97.031000000000006</c:v>
                </c:pt>
                <c:pt idx="182">
                  <c:v>96.492999999999995</c:v>
                </c:pt>
                <c:pt idx="183">
                  <c:v>96.466999999999999</c:v>
                </c:pt>
                <c:pt idx="184">
                  <c:v>96.429000000000002</c:v>
                </c:pt>
                <c:pt idx="185">
                  <c:v>96.822000000000003</c:v>
                </c:pt>
                <c:pt idx="186">
                  <c:v>96.822000000000003</c:v>
                </c:pt>
                <c:pt idx="187">
                  <c:v>97.141000000000005</c:v>
                </c:pt>
                <c:pt idx="188">
                  <c:v>97.171999999999997</c:v>
                </c:pt>
                <c:pt idx="189">
                  <c:v>97.198999999999998</c:v>
                </c:pt>
                <c:pt idx="190">
                  <c:v>97.322000000000003</c:v>
                </c:pt>
                <c:pt idx="191">
                  <c:v>97.528999999999996</c:v>
                </c:pt>
                <c:pt idx="192">
                  <c:v>97.763000000000005</c:v>
                </c:pt>
                <c:pt idx="193">
                  <c:v>98.31</c:v>
                </c:pt>
                <c:pt idx="194">
                  <c:v>98.075000000000003</c:v>
                </c:pt>
                <c:pt idx="195">
                  <c:v>98.445999999999998</c:v>
                </c:pt>
                <c:pt idx="196">
                  <c:v>98.197999999999993</c:v>
                </c:pt>
                <c:pt idx="197">
                  <c:v>97.57</c:v>
                </c:pt>
                <c:pt idx="198">
                  <c:v>97.117000000000004</c:v>
                </c:pt>
                <c:pt idx="199">
                  <c:v>96.942999999999998</c:v>
                </c:pt>
                <c:pt idx="200">
                  <c:v>97.123999999999995</c:v>
                </c:pt>
                <c:pt idx="201">
                  <c:v>97.399000000000001</c:v>
                </c:pt>
                <c:pt idx="202">
                  <c:v>98.394999999999996</c:v>
                </c:pt>
                <c:pt idx="203">
                  <c:v>98.647000000000006</c:v>
                </c:pt>
                <c:pt idx="204">
                  <c:v>99.585999999999999</c:v>
                </c:pt>
                <c:pt idx="205">
                  <c:v>99.742999999999995</c:v>
                </c:pt>
                <c:pt idx="206">
                  <c:v>98.93</c:v>
                </c:pt>
                <c:pt idx="207">
                  <c:v>98.585999999999999</c:v>
                </c:pt>
                <c:pt idx="208">
                  <c:v>98.581000000000003</c:v>
                </c:pt>
                <c:pt idx="209">
                  <c:v>97.983000000000004</c:v>
                </c:pt>
                <c:pt idx="210">
                  <c:v>98.228999999999999</c:v>
                </c:pt>
                <c:pt idx="211">
                  <c:v>98.009</c:v>
                </c:pt>
                <c:pt idx="212">
                  <c:v>98.361000000000004</c:v>
                </c:pt>
                <c:pt idx="213">
                  <c:v>97.927000000000007</c:v>
                </c:pt>
                <c:pt idx="214">
                  <c:v>97.662000000000006</c:v>
                </c:pt>
                <c:pt idx="215">
                  <c:v>98.102999999999994</c:v>
                </c:pt>
                <c:pt idx="216">
                  <c:v>97.712000000000003</c:v>
                </c:pt>
                <c:pt idx="217">
                  <c:v>98.016999999999996</c:v>
                </c:pt>
                <c:pt idx="218">
                  <c:v>98.119</c:v>
                </c:pt>
                <c:pt idx="219">
                  <c:v>98.08</c:v>
                </c:pt>
                <c:pt idx="220">
                  <c:v>98.510999999999996</c:v>
                </c:pt>
                <c:pt idx="221">
                  <c:v>97.599000000000004</c:v>
                </c:pt>
                <c:pt idx="222">
                  <c:v>98.317999999999998</c:v>
                </c:pt>
                <c:pt idx="223">
                  <c:v>98.122</c:v>
                </c:pt>
                <c:pt idx="224">
                  <c:v>98.126999999999995</c:v>
                </c:pt>
                <c:pt idx="225">
                  <c:v>97.738</c:v>
                </c:pt>
                <c:pt idx="226">
                  <c:v>97.69</c:v>
                </c:pt>
                <c:pt idx="227">
                  <c:v>97.69</c:v>
                </c:pt>
                <c:pt idx="228">
                  <c:v>98.346999999999994</c:v>
                </c:pt>
                <c:pt idx="229">
                  <c:v>98.082999999999998</c:v>
                </c:pt>
                <c:pt idx="230">
                  <c:v>98.304000000000002</c:v>
                </c:pt>
                <c:pt idx="231">
                  <c:v>97.727999999999994</c:v>
                </c:pt>
                <c:pt idx="232">
                  <c:v>97.037000000000006</c:v>
                </c:pt>
                <c:pt idx="233">
                  <c:v>97.367000000000004</c:v>
                </c:pt>
                <c:pt idx="234">
                  <c:v>97.356999999999999</c:v>
                </c:pt>
                <c:pt idx="235">
                  <c:v>97.528000000000006</c:v>
                </c:pt>
                <c:pt idx="236">
                  <c:v>97.536000000000001</c:v>
                </c:pt>
                <c:pt idx="237">
                  <c:v>97.447999999999993</c:v>
                </c:pt>
                <c:pt idx="238">
                  <c:v>96.248000000000005</c:v>
                </c:pt>
                <c:pt idx="239">
                  <c:v>96.52</c:v>
                </c:pt>
                <c:pt idx="240">
                  <c:v>96.971000000000004</c:v>
                </c:pt>
                <c:pt idx="241">
                  <c:v>97.27</c:v>
                </c:pt>
                <c:pt idx="242">
                  <c:v>96.974999999999994</c:v>
                </c:pt>
                <c:pt idx="243">
                  <c:v>96.893000000000001</c:v>
                </c:pt>
                <c:pt idx="244">
                  <c:v>97.518000000000001</c:v>
                </c:pt>
                <c:pt idx="245">
                  <c:v>98.215000000000003</c:v>
                </c:pt>
                <c:pt idx="246">
                  <c:v>97.823999999999998</c:v>
                </c:pt>
                <c:pt idx="247">
                  <c:v>97.584000000000003</c:v>
                </c:pt>
                <c:pt idx="248">
                  <c:v>97.450999999999993</c:v>
                </c:pt>
                <c:pt idx="249">
                  <c:v>97.381</c:v>
                </c:pt>
                <c:pt idx="250">
                  <c:v>97.54</c:v>
                </c:pt>
                <c:pt idx="251">
                  <c:v>97.415000000000006</c:v>
                </c:pt>
                <c:pt idx="252">
                  <c:v>97.807000000000002</c:v>
                </c:pt>
                <c:pt idx="253">
                  <c:v>98.284000000000006</c:v>
                </c:pt>
                <c:pt idx="254">
                  <c:v>98.64</c:v>
                </c:pt>
                <c:pt idx="255">
                  <c:v>99.284999999999997</c:v>
                </c:pt>
                <c:pt idx="256">
                  <c:v>98.731999999999999</c:v>
                </c:pt>
              </c:numCache>
            </c:numRef>
          </c:val>
          <c:smooth val="0"/>
          <c:extLst>
            <c:ext xmlns:c16="http://schemas.microsoft.com/office/drawing/2014/chart" uri="{C3380CC4-5D6E-409C-BE32-E72D297353CC}">
              <c16:uniqueId val="{00000000-E4F3-4338-9811-1FF7ADE2380E}"/>
            </c:ext>
          </c:extLst>
        </c:ser>
        <c:dLbls>
          <c:showLegendKey val="0"/>
          <c:showVal val="0"/>
          <c:showCatName val="0"/>
          <c:showSerName val="0"/>
          <c:showPercent val="0"/>
          <c:showBubbleSize val="0"/>
        </c:dLbls>
        <c:smooth val="0"/>
        <c:axId val="860242928"/>
        <c:axId val="860245328"/>
      </c:lineChart>
      <c:catAx>
        <c:axId val="86024292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860245328"/>
        <c:crosses val="autoZero"/>
        <c:auto val="1"/>
        <c:lblAlgn val="ctr"/>
        <c:lblOffset val="100"/>
        <c:noMultiLvlLbl val="0"/>
      </c:catAx>
      <c:valAx>
        <c:axId val="860245328"/>
        <c:scaling>
          <c:orientation val="minMax"/>
          <c:max val="110"/>
          <c:min val="95"/>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0" spcFirstLastPara="1" vertOverflow="ellipsis"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860242928"/>
        <c:crosses val="autoZero"/>
        <c:crossBetween val="between"/>
      </c:valAx>
      <c:spPr>
        <a:noFill/>
        <a:ln>
          <a:solidFill>
            <a:schemeClr val="bg1"/>
          </a:solid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t" anchorCtr="0"/>
          <a:lstStyle/>
          <a:p>
            <a:pPr algn="ctr">
              <a:defRPr sz="1400" b="0" i="0" u="none" strike="noStrike" kern="1200" spc="0" baseline="0">
                <a:solidFill>
                  <a:schemeClr val="tx1">
                    <a:lumMod val="65000"/>
                    <a:lumOff val="35000"/>
                  </a:schemeClr>
                </a:solidFill>
                <a:latin typeface="+mn-lt"/>
                <a:ea typeface="+mn-ea"/>
                <a:cs typeface="+mn-cs"/>
              </a:defRPr>
            </a:pPr>
            <a:r>
              <a:rPr lang="en-US" altLang="zh-CN" sz="950"/>
              <a:t>A</a:t>
            </a:r>
            <a:r>
              <a:rPr lang="en-US" altLang="zh-CN" sz="950" baseline="0"/>
              <a:t> Comparison Graph Between U.S. Dollar Index and Gold Price in Percentage Change</a:t>
            </a:r>
            <a:endParaRPr lang="zh-CN" altLang="en-US" sz="950"/>
          </a:p>
        </c:rich>
      </c:tx>
      <c:layout>
        <c:manualLayout>
          <c:xMode val="edge"/>
          <c:yMode val="edge"/>
          <c:x val="0.11195236978915289"/>
          <c:y val="3.4643976409694292E-2"/>
        </c:manualLayout>
      </c:layout>
      <c:overlay val="0"/>
      <c:spPr>
        <a:noFill/>
        <a:ln>
          <a:noFill/>
        </a:ln>
        <a:effectLst/>
      </c:spPr>
      <c:txPr>
        <a:bodyPr rot="0" spcFirstLastPara="1" vertOverflow="ellipsis" vert="horz" wrap="square" anchor="t" anchorCtr="0"/>
        <a:lstStyle/>
        <a:p>
          <a:pPr algn="ctr">
            <a:defRPr sz="1400" b="0" i="0" u="none" strike="noStrike" kern="1200" spc="0" baseline="0">
              <a:solidFill>
                <a:schemeClr val="tx1">
                  <a:lumMod val="65000"/>
                  <a:lumOff val="35000"/>
                </a:schemeClr>
              </a:solidFill>
              <a:latin typeface="+mn-lt"/>
              <a:ea typeface="+mn-ea"/>
              <a:cs typeface="+mn-cs"/>
            </a:defRPr>
          </a:pPr>
          <a:endParaRPr lang="zh-CN" altLang="en-US"/>
        </a:p>
      </c:txPr>
    </c:title>
    <c:autoTitleDeleted val="0"/>
    <c:plotArea>
      <c:layout>
        <c:manualLayout>
          <c:layoutTarget val="inner"/>
          <c:xMode val="edge"/>
          <c:yMode val="edge"/>
          <c:x val="4.4154823634850522E-2"/>
          <c:y val="0.14163084877548202"/>
          <c:w val="0.86264675756993792"/>
          <c:h val="0.74620154188043564"/>
        </c:manualLayout>
      </c:layout>
      <c:lineChart>
        <c:grouping val="standard"/>
        <c:varyColors val="0"/>
        <c:ser>
          <c:idx val="0"/>
          <c:order val="0"/>
          <c:tx>
            <c:strRef>
              <c:f>'US Dollar Index Futures Histori'!$K$1</c:f>
              <c:strCache>
                <c:ptCount val="1"/>
                <c:pt idx="0">
                  <c:v>Percentage Change in U.S. Dollar Index</c:v>
                </c:pt>
              </c:strCache>
            </c:strRef>
          </c:tx>
          <c:spPr>
            <a:ln w="28575" cap="rnd">
              <a:solidFill>
                <a:schemeClr val="accent1"/>
              </a:solidFill>
              <a:round/>
            </a:ln>
            <a:effectLst/>
          </c:spPr>
          <c:marker>
            <c:symbol val="none"/>
          </c:marker>
          <c:cat>
            <c:strRef>
              <c:f>'US Dollar Index Futures Histori'!$J$2:$J$258</c:f>
              <c:strCache>
                <c:ptCount val="257"/>
                <c:pt idx="0">
                  <c:v>10/14/2024</c:v>
                </c:pt>
                <c:pt idx="1">
                  <c:v>10/15/2024</c:v>
                </c:pt>
                <c:pt idx="2">
                  <c:v>10/16/2024</c:v>
                </c:pt>
                <c:pt idx="3">
                  <c:v>10/17/2024</c:v>
                </c:pt>
                <c:pt idx="4">
                  <c:v>10/18/2024</c:v>
                </c:pt>
                <c:pt idx="5">
                  <c:v>10/21/2024</c:v>
                </c:pt>
                <c:pt idx="6">
                  <c:v>10/22/2024</c:v>
                </c:pt>
                <c:pt idx="7">
                  <c:v>10/23/2024</c:v>
                </c:pt>
                <c:pt idx="8">
                  <c:v>10/24/2024</c:v>
                </c:pt>
                <c:pt idx="9">
                  <c:v>10/25/2024</c:v>
                </c:pt>
                <c:pt idx="10">
                  <c:v>10/28/2024</c:v>
                </c:pt>
                <c:pt idx="11">
                  <c:v>10/29/2024</c:v>
                </c:pt>
                <c:pt idx="12">
                  <c:v>10/30/2024</c:v>
                </c:pt>
                <c:pt idx="13">
                  <c:v>10/31/2024</c:v>
                </c:pt>
                <c:pt idx="14">
                  <c:v>11/01/2024</c:v>
                </c:pt>
                <c:pt idx="15">
                  <c:v>11/04/2024</c:v>
                </c:pt>
                <c:pt idx="16">
                  <c:v>11/05/2024</c:v>
                </c:pt>
                <c:pt idx="17">
                  <c:v>11/06/2024</c:v>
                </c:pt>
                <c:pt idx="18">
                  <c:v>11/07/2024</c:v>
                </c:pt>
                <c:pt idx="19">
                  <c:v>11/08/2024</c:v>
                </c:pt>
                <c:pt idx="20">
                  <c:v>11/11/2024</c:v>
                </c:pt>
                <c:pt idx="21">
                  <c:v>11/12/2024</c:v>
                </c:pt>
                <c:pt idx="22">
                  <c:v>11/13/2024</c:v>
                </c:pt>
                <c:pt idx="23">
                  <c:v>11/14/2024</c:v>
                </c:pt>
                <c:pt idx="24">
                  <c:v>11/15/2024</c:v>
                </c:pt>
                <c:pt idx="25">
                  <c:v>11/18/2024</c:v>
                </c:pt>
                <c:pt idx="26">
                  <c:v>11/19/2024</c:v>
                </c:pt>
                <c:pt idx="27">
                  <c:v>11/20/2024</c:v>
                </c:pt>
                <c:pt idx="28">
                  <c:v>11/21/2024</c:v>
                </c:pt>
                <c:pt idx="29">
                  <c:v>11/22/2024</c:v>
                </c:pt>
                <c:pt idx="30">
                  <c:v>11/25/2024</c:v>
                </c:pt>
                <c:pt idx="31">
                  <c:v>11/26/2024</c:v>
                </c:pt>
                <c:pt idx="32">
                  <c:v>11/27/2024</c:v>
                </c:pt>
                <c:pt idx="33">
                  <c:v>11/28/2024</c:v>
                </c:pt>
                <c:pt idx="34">
                  <c:v>11/29/2024</c:v>
                </c:pt>
                <c:pt idx="35">
                  <c:v>12/02/2024</c:v>
                </c:pt>
                <c:pt idx="36">
                  <c:v>12/03/2024</c:v>
                </c:pt>
                <c:pt idx="37">
                  <c:v>12/04/2024</c:v>
                </c:pt>
                <c:pt idx="38">
                  <c:v>12/05/2024</c:v>
                </c:pt>
                <c:pt idx="39">
                  <c:v>12/06/2024</c:v>
                </c:pt>
                <c:pt idx="40">
                  <c:v>12/09/2024</c:v>
                </c:pt>
                <c:pt idx="41">
                  <c:v>12/10/2024</c:v>
                </c:pt>
                <c:pt idx="42">
                  <c:v>12/11/2024</c:v>
                </c:pt>
                <c:pt idx="43">
                  <c:v>12/12/2024</c:v>
                </c:pt>
                <c:pt idx="44">
                  <c:v>12/13/2024</c:v>
                </c:pt>
                <c:pt idx="45">
                  <c:v>12/16/2024</c:v>
                </c:pt>
                <c:pt idx="46">
                  <c:v>12/17/2024</c:v>
                </c:pt>
                <c:pt idx="47">
                  <c:v>12/18/2024</c:v>
                </c:pt>
                <c:pt idx="48">
                  <c:v>12/19/2024</c:v>
                </c:pt>
                <c:pt idx="49">
                  <c:v>12/20/2024</c:v>
                </c:pt>
                <c:pt idx="50">
                  <c:v>12/23/2024</c:v>
                </c:pt>
                <c:pt idx="51">
                  <c:v>12/24/2024</c:v>
                </c:pt>
                <c:pt idx="52">
                  <c:v>12/26/2024</c:v>
                </c:pt>
                <c:pt idx="53">
                  <c:v>12/27/2024</c:v>
                </c:pt>
                <c:pt idx="54">
                  <c:v>12/30/2024</c:v>
                </c:pt>
                <c:pt idx="55">
                  <c:v>12/31/2024</c:v>
                </c:pt>
                <c:pt idx="56">
                  <c:v>01/02/2025</c:v>
                </c:pt>
                <c:pt idx="57">
                  <c:v>01/03/2025</c:v>
                </c:pt>
                <c:pt idx="58">
                  <c:v>01/06/2025</c:v>
                </c:pt>
                <c:pt idx="59">
                  <c:v>01/07/2025</c:v>
                </c:pt>
                <c:pt idx="60">
                  <c:v>01/08/2025</c:v>
                </c:pt>
                <c:pt idx="61">
                  <c:v>01/09/2025</c:v>
                </c:pt>
                <c:pt idx="62">
                  <c:v>01/10/2025</c:v>
                </c:pt>
                <c:pt idx="63">
                  <c:v>01/13/2025</c:v>
                </c:pt>
                <c:pt idx="64">
                  <c:v>01/14/2025</c:v>
                </c:pt>
                <c:pt idx="65">
                  <c:v>01/15/2025</c:v>
                </c:pt>
                <c:pt idx="66">
                  <c:v>01/16/2025</c:v>
                </c:pt>
                <c:pt idx="67">
                  <c:v>01/17/2025</c:v>
                </c:pt>
                <c:pt idx="68">
                  <c:v>01/20/2025</c:v>
                </c:pt>
                <c:pt idx="69">
                  <c:v>01/21/2025</c:v>
                </c:pt>
                <c:pt idx="70">
                  <c:v>01/22/2025</c:v>
                </c:pt>
                <c:pt idx="71">
                  <c:v>01/23/2025</c:v>
                </c:pt>
                <c:pt idx="72">
                  <c:v>01/24/2025</c:v>
                </c:pt>
                <c:pt idx="73">
                  <c:v>01/27/2025</c:v>
                </c:pt>
                <c:pt idx="74">
                  <c:v>01/28/2025</c:v>
                </c:pt>
                <c:pt idx="75">
                  <c:v>01/29/2025</c:v>
                </c:pt>
                <c:pt idx="76">
                  <c:v>01/30/2025</c:v>
                </c:pt>
                <c:pt idx="77">
                  <c:v>01/31/2025</c:v>
                </c:pt>
                <c:pt idx="78">
                  <c:v>02/03/2025</c:v>
                </c:pt>
                <c:pt idx="79">
                  <c:v>02/04/2025</c:v>
                </c:pt>
                <c:pt idx="80">
                  <c:v>02/05/2025</c:v>
                </c:pt>
                <c:pt idx="81">
                  <c:v>02/06/2025</c:v>
                </c:pt>
                <c:pt idx="82">
                  <c:v>02/07/2025</c:v>
                </c:pt>
                <c:pt idx="83">
                  <c:v>02/10/2025</c:v>
                </c:pt>
                <c:pt idx="84">
                  <c:v>02/11/2025</c:v>
                </c:pt>
                <c:pt idx="85">
                  <c:v>02/12/2025</c:v>
                </c:pt>
                <c:pt idx="86">
                  <c:v>02/13/2025</c:v>
                </c:pt>
                <c:pt idx="87">
                  <c:v>02/14/2025</c:v>
                </c:pt>
                <c:pt idx="88">
                  <c:v>02/17/2025</c:v>
                </c:pt>
                <c:pt idx="89">
                  <c:v>02/18/2025</c:v>
                </c:pt>
                <c:pt idx="90">
                  <c:v>02/19/2025</c:v>
                </c:pt>
                <c:pt idx="91">
                  <c:v>02/20/2025</c:v>
                </c:pt>
                <c:pt idx="92">
                  <c:v>02/21/2025</c:v>
                </c:pt>
                <c:pt idx="93">
                  <c:v>02/24/2025</c:v>
                </c:pt>
                <c:pt idx="94">
                  <c:v>02/25/2025</c:v>
                </c:pt>
                <c:pt idx="95">
                  <c:v>02/26/2025</c:v>
                </c:pt>
                <c:pt idx="96">
                  <c:v>02/27/2025</c:v>
                </c:pt>
                <c:pt idx="97">
                  <c:v>02/28/2025</c:v>
                </c:pt>
                <c:pt idx="98">
                  <c:v>03/03/2025</c:v>
                </c:pt>
                <c:pt idx="99">
                  <c:v>03/04/2025</c:v>
                </c:pt>
                <c:pt idx="100">
                  <c:v>03/05/2025</c:v>
                </c:pt>
                <c:pt idx="101">
                  <c:v>03/06/2025</c:v>
                </c:pt>
                <c:pt idx="102">
                  <c:v>03/07/2025</c:v>
                </c:pt>
                <c:pt idx="103">
                  <c:v>03/10/2025</c:v>
                </c:pt>
                <c:pt idx="104">
                  <c:v>03/11/2025</c:v>
                </c:pt>
                <c:pt idx="105">
                  <c:v>03/12/2025</c:v>
                </c:pt>
                <c:pt idx="106">
                  <c:v>03/13/2025</c:v>
                </c:pt>
                <c:pt idx="107">
                  <c:v>03/14/2025</c:v>
                </c:pt>
                <c:pt idx="108">
                  <c:v>03/17/2025</c:v>
                </c:pt>
                <c:pt idx="109">
                  <c:v>03/18/2025</c:v>
                </c:pt>
                <c:pt idx="110">
                  <c:v>03/19/2025</c:v>
                </c:pt>
                <c:pt idx="111">
                  <c:v>03/20/2025</c:v>
                </c:pt>
                <c:pt idx="112">
                  <c:v>03/21/2025</c:v>
                </c:pt>
                <c:pt idx="113">
                  <c:v>03/24/2025</c:v>
                </c:pt>
                <c:pt idx="114">
                  <c:v>03/25/2025</c:v>
                </c:pt>
                <c:pt idx="115">
                  <c:v>03/26/2025</c:v>
                </c:pt>
                <c:pt idx="116">
                  <c:v>03/27/2025</c:v>
                </c:pt>
                <c:pt idx="117">
                  <c:v>03/28/2025</c:v>
                </c:pt>
                <c:pt idx="118">
                  <c:v>03/31/2025</c:v>
                </c:pt>
                <c:pt idx="119">
                  <c:v>04/01/2025</c:v>
                </c:pt>
                <c:pt idx="120">
                  <c:v>04/02/2025</c:v>
                </c:pt>
                <c:pt idx="121">
                  <c:v>04/03/2025</c:v>
                </c:pt>
                <c:pt idx="122">
                  <c:v>04/04/2025</c:v>
                </c:pt>
                <c:pt idx="123">
                  <c:v>04/07/2025</c:v>
                </c:pt>
                <c:pt idx="124">
                  <c:v>04/08/2025</c:v>
                </c:pt>
                <c:pt idx="125">
                  <c:v>04/09/2025</c:v>
                </c:pt>
                <c:pt idx="126">
                  <c:v>04/10/2025</c:v>
                </c:pt>
                <c:pt idx="127">
                  <c:v>04/11/2025</c:v>
                </c:pt>
                <c:pt idx="128">
                  <c:v>04/14/2025</c:v>
                </c:pt>
                <c:pt idx="129">
                  <c:v>04/15/2025</c:v>
                </c:pt>
                <c:pt idx="130">
                  <c:v>04/16/2025</c:v>
                </c:pt>
                <c:pt idx="131">
                  <c:v>04/17/2025</c:v>
                </c:pt>
                <c:pt idx="132">
                  <c:v>04/21/2025</c:v>
                </c:pt>
                <c:pt idx="133">
                  <c:v>04/22/2025</c:v>
                </c:pt>
                <c:pt idx="134">
                  <c:v>04/23/2025</c:v>
                </c:pt>
                <c:pt idx="135">
                  <c:v>04/24/2025</c:v>
                </c:pt>
                <c:pt idx="136">
                  <c:v>04/25/2025</c:v>
                </c:pt>
                <c:pt idx="137">
                  <c:v>04/28/2025</c:v>
                </c:pt>
                <c:pt idx="138">
                  <c:v>04/29/2025</c:v>
                </c:pt>
                <c:pt idx="139">
                  <c:v>04/30/2025</c:v>
                </c:pt>
                <c:pt idx="140">
                  <c:v>05/01/2025</c:v>
                </c:pt>
                <c:pt idx="141">
                  <c:v>05/02/2025</c:v>
                </c:pt>
                <c:pt idx="142">
                  <c:v>05/05/2025</c:v>
                </c:pt>
                <c:pt idx="143">
                  <c:v>05/06/2025</c:v>
                </c:pt>
                <c:pt idx="144">
                  <c:v>05/07/2025</c:v>
                </c:pt>
                <c:pt idx="145">
                  <c:v>05/08/2025</c:v>
                </c:pt>
                <c:pt idx="146">
                  <c:v>05/09/2025</c:v>
                </c:pt>
                <c:pt idx="147">
                  <c:v>05/12/2025</c:v>
                </c:pt>
                <c:pt idx="148">
                  <c:v>05/13/2025</c:v>
                </c:pt>
                <c:pt idx="149">
                  <c:v>05/14/2025</c:v>
                </c:pt>
                <c:pt idx="150">
                  <c:v>05/15/2025</c:v>
                </c:pt>
                <c:pt idx="151">
                  <c:v>05/16/2025</c:v>
                </c:pt>
                <c:pt idx="152">
                  <c:v>05/19/2025</c:v>
                </c:pt>
                <c:pt idx="153">
                  <c:v>05/20/2025</c:v>
                </c:pt>
                <c:pt idx="154">
                  <c:v>05/21/2025</c:v>
                </c:pt>
                <c:pt idx="155">
                  <c:v>05/22/2025</c:v>
                </c:pt>
                <c:pt idx="156">
                  <c:v>05/23/2025</c:v>
                </c:pt>
                <c:pt idx="157">
                  <c:v>05/26/2025</c:v>
                </c:pt>
                <c:pt idx="158">
                  <c:v>05/27/2025</c:v>
                </c:pt>
                <c:pt idx="159">
                  <c:v>05/28/2025</c:v>
                </c:pt>
                <c:pt idx="160">
                  <c:v>05/29/2025</c:v>
                </c:pt>
                <c:pt idx="161">
                  <c:v>05/30/2025</c:v>
                </c:pt>
                <c:pt idx="162">
                  <c:v>06/02/2025</c:v>
                </c:pt>
                <c:pt idx="163">
                  <c:v>06/03/2025</c:v>
                </c:pt>
                <c:pt idx="164">
                  <c:v>06/04/2025</c:v>
                </c:pt>
                <c:pt idx="165">
                  <c:v>06/05/2025</c:v>
                </c:pt>
                <c:pt idx="166">
                  <c:v>06/06/2025</c:v>
                </c:pt>
                <c:pt idx="167">
                  <c:v>06/09/2025</c:v>
                </c:pt>
                <c:pt idx="168">
                  <c:v>06/10/2025</c:v>
                </c:pt>
                <c:pt idx="169">
                  <c:v>06/11/2025</c:v>
                </c:pt>
                <c:pt idx="170">
                  <c:v>06/12/2025</c:v>
                </c:pt>
                <c:pt idx="171">
                  <c:v>06/13/2025</c:v>
                </c:pt>
                <c:pt idx="172">
                  <c:v>06/16/2025</c:v>
                </c:pt>
                <c:pt idx="173">
                  <c:v>06/17/2025</c:v>
                </c:pt>
                <c:pt idx="174">
                  <c:v>06/18/2025</c:v>
                </c:pt>
                <c:pt idx="175">
                  <c:v>06/19/2025</c:v>
                </c:pt>
                <c:pt idx="176">
                  <c:v>06/20/2025</c:v>
                </c:pt>
                <c:pt idx="177">
                  <c:v>06/23/2025</c:v>
                </c:pt>
                <c:pt idx="178">
                  <c:v>06/24/2025</c:v>
                </c:pt>
                <c:pt idx="179">
                  <c:v>06/25/2025</c:v>
                </c:pt>
                <c:pt idx="180">
                  <c:v>06/26/2025</c:v>
                </c:pt>
                <c:pt idx="181">
                  <c:v>06/27/2025</c:v>
                </c:pt>
                <c:pt idx="182">
                  <c:v>06/30/2025</c:v>
                </c:pt>
                <c:pt idx="183">
                  <c:v>07/01/2025</c:v>
                </c:pt>
                <c:pt idx="184">
                  <c:v>07/02/2025</c:v>
                </c:pt>
                <c:pt idx="185">
                  <c:v>07/03/2025</c:v>
                </c:pt>
                <c:pt idx="186">
                  <c:v>07/04/2025</c:v>
                </c:pt>
                <c:pt idx="187">
                  <c:v>07/07/2025</c:v>
                </c:pt>
                <c:pt idx="188">
                  <c:v>07/08/2025</c:v>
                </c:pt>
                <c:pt idx="189">
                  <c:v>07/09/2025</c:v>
                </c:pt>
                <c:pt idx="190">
                  <c:v>07/10/2025</c:v>
                </c:pt>
                <c:pt idx="191">
                  <c:v>07/11/2025</c:v>
                </c:pt>
                <c:pt idx="192">
                  <c:v>07/14/2025</c:v>
                </c:pt>
                <c:pt idx="193">
                  <c:v>07/15/2025</c:v>
                </c:pt>
                <c:pt idx="194">
                  <c:v>07/16/2025</c:v>
                </c:pt>
                <c:pt idx="195">
                  <c:v>07/17/2025</c:v>
                </c:pt>
                <c:pt idx="196">
                  <c:v>07/18/2025</c:v>
                </c:pt>
                <c:pt idx="197">
                  <c:v>07/21/2025</c:v>
                </c:pt>
                <c:pt idx="198">
                  <c:v>07/22/2025</c:v>
                </c:pt>
                <c:pt idx="199">
                  <c:v>07/23/2025</c:v>
                </c:pt>
                <c:pt idx="200">
                  <c:v>07/24/2025</c:v>
                </c:pt>
                <c:pt idx="201">
                  <c:v>07/25/2025</c:v>
                </c:pt>
                <c:pt idx="202">
                  <c:v>07/28/2025</c:v>
                </c:pt>
                <c:pt idx="203">
                  <c:v>07/29/2025</c:v>
                </c:pt>
                <c:pt idx="204">
                  <c:v>07/30/2025</c:v>
                </c:pt>
                <c:pt idx="205">
                  <c:v>07/31/2025</c:v>
                </c:pt>
                <c:pt idx="206">
                  <c:v>08/01/2025</c:v>
                </c:pt>
                <c:pt idx="207">
                  <c:v>08/04/2025</c:v>
                </c:pt>
                <c:pt idx="208">
                  <c:v>08/05/2025</c:v>
                </c:pt>
                <c:pt idx="209">
                  <c:v>08/06/2025</c:v>
                </c:pt>
                <c:pt idx="210">
                  <c:v>08/07/2025</c:v>
                </c:pt>
                <c:pt idx="211">
                  <c:v>08/08/2025</c:v>
                </c:pt>
                <c:pt idx="212">
                  <c:v>08/11/2025</c:v>
                </c:pt>
                <c:pt idx="213">
                  <c:v>08/12/2025</c:v>
                </c:pt>
                <c:pt idx="214">
                  <c:v>08/13/2025</c:v>
                </c:pt>
                <c:pt idx="215">
                  <c:v>08/14/2025</c:v>
                </c:pt>
                <c:pt idx="216">
                  <c:v>08/15/2025</c:v>
                </c:pt>
                <c:pt idx="217">
                  <c:v>08/18/2025</c:v>
                </c:pt>
                <c:pt idx="218">
                  <c:v>08/19/2025</c:v>
                </c:pt>
                <c:pt idx="219">
                  <c:v>08/20/2025</c:v>
                </c:pt>
                <c:pt idx="220">
                  <c:v>08/21/2025</c:v>
                </c:pt>
                <c:pt idx="221">
                  <c:v>08/22/2025</c:v>
                </c:pt>
                <c:pt idx="222">
                  <c:v>08/25/2025</c:v>
                </c:pt>
                <c:pt idx="223">
                  <c:v>08/26/2025</c:v>
                </c:pt>
                <c:pt idx="224">
                  <c:v>08/27/2025</c:v>
                </c:pt>
                <c:pt idx="225">
                  <c:v>08/28/2025</c:v>
                </c:pt>
                <c:pt idx="226">
                  <c:v>08/29/2025</c:v>
                </c:pt>
                <c:pt idx="227">
                  <c:v>09/01/2025</c:v>
                </c:pt>
                <c:pt idx="228">
                  <c:v>09/02/2025</c:v>
                </c:pt>
                <c:pt idx="229">
                  <c:v>09/03/2025</c:v>
                </c:pt>
                <c:pt idx="230">
                  <c:v>09/04/2025</c:v>
                </c:pt>
                <c:pt idx="231">
                  <c:v>09/05/2025</c:v>
                </c:pt>
                <c:pt idx="232">
                  <c:v>09/08/2025</c:v>
                </c:pt>
                <c:pt idx="233">
                  <c:v>09/09/2025</c:v>
                </c:pt>
                <c:pt idx="234">
                  <c:v>09/10/2025</c:v>
                </c:pt>
                <c:pt idx="235">
                  <c:v>09/11/2025</c:v>
                </c:pt>
                <c:pt idx="236">
                  <c:v>09/12/2025</c:v>
                </c:pt>
                <c:pt idx="237">
                  <c:v>09/15/2025</c:v>
                </c:pt>
                <c:pt idx="238">
                  <c:v>09/16/2025</c:v>
                </c:pt>
                <c:pt idx="239">
                  <c:v>09/17/2025</c:v>
                </c:pt>
                <c:pt idx="240">
                  <c:v>09/18/2025</c:v>
                </c:pt>
                <c:pt idx="241">
                  <c:v>09/19/2025</c:v>
                </c:pt>
                <c:pt idx="242">
                  <c:v>09/22/2025</c:v>
                </c:pt>
                <c:pt idx="243">
                  <c:v>09/23/2025</c:v>
                </c:pt>
                <c:pt idx="244">
                  <c:v>09/24/2025</c:v>
                </c:pt>
                <c:pt idx="245">
                  <c:v>09/25/2025</c:v>
                </c:pt>
                <c:pt idx="246">
                  <c:v>09/26/2025</c:v>
                </c:pt>
                <c:pt idx="247">
                  <c:v>09/29/2025</c:v>
                </c:pt>
                <c:pt idx="248">
                  <c:v>09/30/2025</c:v>
                </c:pt>
                <c:pt idx="249">
                  <c:v>10/01/2025</c:v>
                </c:pt>
                <c:pt idx="250">
                  <c:v>10/02/2025</c:v>
                </c:pt>
                <c:pt idx="251">
                  <c:v>10/03/2025</c:v>
                </c:pt>
                <c:pt idx="252">
                  <c:v>10/06/2025</c:v>
                </c:pt>
                <c:pt idx="253">
                  <c:v>10/07/2025</c:v>
                </c:pt>
                <c:pt idx="254">
                  <c:v>10/08/2025</c:v>
                </c:pt>
                <c:pt idx="255">
                  <c:v>10/09/2025</c:v>
                </c:pt>
                <c:pt idx="256">
                  <c:v>10/10/2025</c:v>
                </c:pt>
              </c:strCache>
            </c:strRef>
          </c:cat>
          <c:val>
            <c:numRef>
              <c:f>'US Dollar Index Futures Histori'!$K$2:$K$258</c:f>
              <c:numCache>
                <c:formatCode>General</c:formatCode>
                <c:ptCount val="257"/>
                <c:pt idx="0">
                  <c:v>0</c:v>
                </c:pt>
                <c:pt idx="1">
                  <c:v>-2.6192739760566575E-2</c:v>
                </c:pt>
                <c:pt idx="2">
                  <c:v>0.30849226829128273</c:v>
                </c:pt>
                <c:pt idx="3">
                  <c:v>0.55295783939000032</c:v>
                </c:pt>
                <c:pt idx="4">
                  <c:v>0.21827283133817321</c:v>
                </c:pt>
                <c:pt idx="5">
                  <c:v>0.72951630740576423</c:v>
                </c:pt>
                <c:pt idx="6">
                  <c:v>0.80227391785181457</c:v>
                </c:pt>
                <c:pt idx="7">
                  <c:v>1.1592712597737753</c:v>
                </c:pt>
                <c:pt idx="8">
                  <c:v>0.81197493257794129</c:v>
                </c:pt>
                <c:pt idx="9">
                  <c:v>1.0186065462447491</c:v>
                </c:pt>
                <c:pt idx="10">
                  <c:v>1.0680817213480687</c:v>
                </c:pt>
                <c:pt idx="11">
                  <c:v>1.0758425331289789</c:v>
                </c:pt>
                <c:pt idx="12">
                  <c:v>0.75667914863895014</c:v>
                </c:pt>
                <c:pt idx="13">
                  <c:v>0.77220077220077066</c:v>
                </c:pt>
                <c:pt idx="14">
                  <c:v>1.0874837508003443</c:v>
                </c:pt>
                <c:pt idx="15">
                  <c:v>0.6868318426107578</c:v>
                </c:pt>
                <c:pt idx="16">
                  <c:v>0.23476455637259086</c:v>
                </c:pt>
                <c:pt idx="17">
                  <c:v>1.8461031023845109</c:v>
                </c:pt>
                <c:pt idx="18">
                  <c:v>1.2494906967268848</c:v>
                </c:pt>
                <c:pt idx="19">
                  <c:v>1.7539434624861849</c:v>
                </c:pt>
                <c:pt idx="20">
                  <c:v>2.3039909974583273</c:v>
                </c:pt>
                <c:pt idx="21">
                  <c:v>2.7822510234570608</c:v>
                </c:pt>
                <c:pt idx="22">
                  <c:v>3.19842455520849</c:v>
                </c:pt>
                <c:pt idx="23">
                  <c:v>3.4108767777109472</c:v>
                </c:pt>
                <c:pt idx="24">
                  <c:v>3.4273685027453871</c:v>
                </c:pt>
                <c:pt idx="25">
                  <c:v>3.0257464930831812</c:v>
                </c:pt>
                <c:pt idx="26">
                  <c:v>2.9694806076715707</c:v>
                </c:pt>
                <c:pt idx="27">
                  <c:v>3.4283386042180064</c:v>
                </c:pt>
                <c:pt idx="28">
                  <c:v>3.7329504666188118</c:v>
                </c:pt>
                <c:pt idx="29">
                  <c:v>4.2926990163171252</c:v>
                </c:pt>
                <c:pt idx="30">
                  <c:v>3.5777342310005622</c:v>
                </c:pt>
                <c:pt idx="31">
                  <c:v>3.7698143225781466</c:v>
                </c:pt>
                <c:pt idx="32">
                  <c:v>2.8773209677732448</c:v>
                </c:pt>
                <c:pt idx="33">
                  <c:v>2.8773209677732448</c:v>
                </c:pt>
                <c:pt idx="34">
                  <c:v>2.663898643798146</c:v>
                </c:pt>
                <c:pt idx="35">
                  <c:v>3.2411090200034964</c:v>
                </c:pt>
                <c:pt idx="36">
                  <c:v>3.1605905977765358</c:v>
                </c:pt>
                <c:pt idx="37">
                  <c:v>3.1120855241458356</c:v>
                </c:pt>
                <c:pt idx="38">
                  <c:v>2.5406957567761568</c:v>
                </c:pt>
                <c:pt idx="39">
                  <c:v>2.8685900545197152</c:v>
                </c:pt>
                <c:pt idx="40">
                  <c:v>2.9520187811645116</c:v>
                </c:pt>
                <c:pt idx="41">
                  <c:v>3.2013348596263258</c:v>
                </c:pt>
                <c:pt idx="42">
                  <c:v>3.5049766205545119</c:v>
                </c:pt>
                <c:pt idx="43">
                  <c:v>3.761083409324617</c:v>
                </c:pt>
                <c:pt idx="44">
                  <c:v>3.7940668593934967</c:v>
                </c:pt>
                <c:pt idx="45">
                  <c:v>3.8299606138802123</c:v>
                </c:pt>
                <c:pt idx="46">
                  <c:v>3.4739333734308708</c:v>
                </c:pt>
                <c:pt idx="47">
                  <c:v>4.5274635726897161</c:v>
                </c:pt>
                <c:pt idx="48">
                  <c:v>4.9184144661531759</c:v>
                </c:pt>
                <c:pt idx="49">
                  <c:v>4.1413631865893308</c:v>
                </c:pt>
                <c:pt idx="50">
                  <c:v>4.5837294581013266</c:v>
                </c:pt>
                <c:pt idx="51">
                  <c:v>4.793271376185948</c:v>
                </c:pt>
                <c:pt idx="52">
                  <c:v>4.667158184746123</c:v>
                </c:pt>
                <c:pt idx="53">
                  <c:v>4.5691779360121254</c:v>
                </c:pt>
                <c:pt idx="54">
                  <c:v>4.7059622436506965</c:v>
                </c:pt>
                <c:pt idx="55">
                  <c:v>5.0581090782095828</c:v>
                </c:pt>
                <c:pt idx="56">
                  <c:v>5.9438117227061937</c:v>
                </c:pt>
                <c:pt idx="57">
                  <c:v>5.5451000174618237</c:v>
                </c:pt>
                <c:pt idx="58">
                  <c:v>4.8689392910498563</c:v>
                </c:pt>
                <c:pt idx="59">
                  <c:v>5.1376573989639462</c:v>
                </c:pt>
                <c:pt idx="60">
                  <c:v>5.6692730059564322</c:v>
                </c:pt>
                <c:pt idx="61">
                  <c:v>5.7449409208203184</c:v>
                </c:pt>
                <c:pt idx="62">
                  <c:v>6.213499932092903</c:v>
                </c:pt>
                <c:pt idx="63">
                  <c:v>6.5287829106924544</c:v>
                </c:pt>
                <c:pt idx="64">
                  <c:v>5.8477716769174126</c:v>
                </c:pt>
                <c:pt idx="65">
                  <c:v>5.6595719912302833</c:v>
                </c:pt>
                <c:pt idx="66">
                  <c:v>5.5635319454415022</c:v>
                </c:pt>
                <c:pt idx="67">
                  <c:v>5.9379911138705221</c:v>
                </c:pt>
                <c:pt idx="68">
                  <c:v>5.9379911138705221</c:v>
                </c:pt>
                <c:pt idx="69">
                  <c:v>4.6361149376224819</c:v>
                </c:pt>
                <c:pt idx="70">
                  <c:v>4.7340951863565017</c:v>
                </c:pt>
                <c:pt idx="71">
                  <c:v>4.6380551405676984</c:v>
                </c:pt>
                <c:pt idx="72">
                  <c:v>4.0385324304922365</c:v>
                </c:pt>
                <c:pt idx="73">
                  <c:v>3.9560738053200373</c:v>
                </c:pt>
                <c:pt idx="74">
                  <c:v>4.4634368754971954</c:v>
                </c:pt>
                <c:pt idx="75">
                  <c:v>4.5856696610465431</c:v>
                </c:pt>
                <c:pt idx="76">
                  <c:v>4.4129915989212565</c:v>
                </c:pt>
                <c:pt idx="77">
                  <c:v>4.9814710618730773</c:v>
                </c:pt>
                <c:pt idx="78">
                  <c:v>5.6217380337983291</c:v>
                </c:pt>
                <c:pt idx="79">
                  <c:v>4.5992510816631471</c:v>
                </c:pt>
                <c:pt idx="80">
                  <c:v>4.2296424205972016</c:v>
                </c:pt>
                <c:pt idx="81">
                  <c:v>4.3315030752216765</c:v>
                </c:pt>
                <c:pt idx="82">
                  <c:v>4.701111736287622</c:v>
                </c:pt>
                <c:pt idx="83">
                  <c:v>4.9581886265303465</c:v>
                </c:pt>
                <c:pt idx="84">
                  <c:v>4.608952096389296</c:v>
                </c:pt>
                <c:pt idx="85">
                  <c:v>4.5992510816631471</c:v>
                </c:pt>
                <c:pt idx="86">
                  <c:v>4.0103994877864313</c:v>
                </c:pt>
                <c:pt idx="87">
                  <c:v>3.3885644438408358</c:v>
                </c:pt>
                <c:pt idx="88">
                  <c:v>3.3885644438408358</c:v>
                </c:pt>
                <c:pt idx="89">
                  <c:v>3.7572030034341619</c:v>
                </c:pt>
                <c:pt idx="90">
                  <c:v>3.8619739624764948</c:v>
                </c:pt>
                <c:pt idx="91">
                  <c:v>3.0917133932209406</c:v>
                </c:pt>
                <c:pt idx="92">
                  <c:v>3.3342387613744418</c:v>
                </c:pt>
                <c:pt idx="93">
                  <c:v>3.324537746648315</c:v>
                </c:pt>
                <c:pt idx="94">
                  <c:v>3.0519392328437478</c:v>
                </c:pt>
                <c:pt idx="95">
                  <c:v>3.1499194815777676</c:v>
                </c:pt>
                <c:pt idx="96">
                  <c:v>3.97159542888188</c:v>
                </c:pt>
                <c:pt idx="97">
                  <c:v>4.3421741914204448</c:v>
                </c:pt>
                <c:pt idx="98">
                  <c:v>3.4797539822665424</c:v>
                </c:pt>
                <c:pt idx="99">
                  <c:v>2.5271143361595749</c:v>
                </c:pt>
                <c:pt idx="100">
                  <c:v>1.1350187229584252</c:v>
                </c:pt>
                <c:pt idx="101">
                  <c:v>0.91771599309289353</c:v>
                </c:pt>
                <c:pt idx="102">
                  <c:v>0.70817407500824991</c:v>
                </c:pt>
                <c:pt idx="103">
                  <c:v>0.52191459226635928</c:v>
                </c:pt>
                <c:pt idx="104">
                  <c:v>-0.14648532236472001</c:v>
                </c:pt>
                <c:pt idx="105">
                  <c:v>0.48990124367009891</c:v>
                </c:pt>
                <c:pt idx="106">
                  <c:v>0.7256359015153091</c:v>
                </c:pt>
                <c:pt idx="107">
                  <c:v>0.60437321743855854</c:v>
                </c:pt>
                <c:pt idx="108">
                  <c:v>0.37639937137425861</c:v>
                </c:pt>
                <c:pt idx="109">
                  <c:v>-0.18431927979666307</c:v>
                </c:pt>
                <c:pt idx="110">
                  <c:v>1.067111619876826E-2</c:v>
                </c:pt>
                <c:pt idx="111">
                  <c:v>0.40259211113482518</c:v>
                </c:pt>
                <c:pt idx="112">
                  <c:v>0.6422071748704905</c:v>
                </c:pt>
                <c:pt idx="113">
                  <c:v>0.82846665761240335</c:v>
                </c:pt>
                <c:pt idx="114">
                  <c:v>0.72660600298792843</c:v>
                </c:pt>
                <c:pt idx="115">
                  <c:v>1.0913641566907994</c:v>
                </c:pt>
                <c:pt idx="116">
                  <c:v>0.88279234007877516</c:v>
                </c:pt>
                <c:pt idx="117">
                  <c:v>0.60825362332901367</c:v>
                </c:pt>
                <c:pt idx="118">
                  <c:v>0.77705127956384512</c:v>
                </c:pt>
                <c:pt idx="119">
                  <c:v>0.84107797675636586</c:v>
                </c:pt>
                <c:pt idx="120">
                  <c:v>0.39677150229915359</c:v>
                </c:pt>
                <c:pt idx="121">
                  <c:v>-1.2485205952542544</c:v>
                </c:pt>
                <c:pt idx="122">
                  <c:v>-0.3046118624008054</c:v>
                </c:pt>
                <c:pt idx="123">
                  <c:v>-0.10671116198753827</c:v>
                </c:pt>
                <c:pt idx="124">
                  <c:v>-0.36960866106594548</c:v>
                </c:pt>
                <c:pt idx="125">
                  <c:v>-0.44527657592983161</c:v>
                </c:pt>
                <c:pt idx="126">
                  <c:v>-2.3980908403018919</c:v>
                </c:pt>
                <c:pt idx="127">
                  <c:v>-3.0946236976387764</c:v>
                </c:pt>
                <c:pt idx="128">
                  <c:v>-3.5748239265827042</c:v>
                </c:pt>
                <c:pt idx="129">
                  <c:v>-3.0267165945557784</c:v>
                </c:pt>
                <c:pt idx="130">
                  <c:v>-3.8212297006266827</c:v>
                </c:pt>
                <c:pt idx="131">
                  <c:v>-3.8348111212432756</c:v>
                </c:pt>
                <c:pt idx="132">
                  <c:v>-4.8873712190295127</c:v>
                </c:pt>
                <c:pt idx="133">
                  <c:v>-4.2606856677208427</c:v>
                </c:pt>
                <c:pt idx="134">
                  <c:v>-3.3429696746279602</c:v>
                </c:pt>
                <c:pt idx="135">
                  <c:v>-3.7969771638113214</c:v>
                </c:pt>
                <c:pt idx="136">
                  <c:v>-3.7135484371665139</c:v>
                </c:pt>
                <c:pt idx="137">
                  <c:v>-4.1646456219320509</c:v>
                </c:pt>
                <c:pt idx="138">
                  <c:v>-3.9424923847034332</c:v>
                </c:pt>
                <c:pt idx="139">
                  <c:v>-3.6980268136047045</c:v>
                </c:pt>
                <c:pt idx="140">
                  <c:v>-2.9374672590752882</c:v>
                </c:pt>
                <c:pt idx="141">
                  <c:v>-3.1450689742146931</c:v>
                </c:pt>
                <c:pt idx="142">
                  <c:v>-3.3390892687375051</c:v>
                </c:pt>
                <c:pt idx="143">
                  <c:v>-3.914359441997628</c:v>
                </c:pt>
                <c:pt idx="144">
                  <c:v>-3.5379600706233805</c:v>
                </c:pt>
                <c:pt idx="145">
                  <c:v>-2.5145030170155791</c:v>
                </c:pt>
                <c:pt idx="146">
                  <c:v>-2.8268756911972837</c:v>
                </c:pt>
                <c:pt idx="147">
                  <c:v>-1.4386604838866002</c:v>
                </c:pt>
                <c:pt idx="148">
                  <c:v>-2.1885489222172594</c:v>
                </c:pt>
                <c:pt idx="149">
                  <c:v>-2.142954153004395</c:v>
                </c:pt>
                <c:pt idx="150">
                  <c:v>-2.282648765060824</c:v>
                </c:pt>
                <c:pt idx="151">
                  <c:v>-2.0721367455035722</c:v>
                </c:pt>
                <c:pt idx="152">
                  <c:v>-2.7104635144836076</c:v>
                </c:pt>
                <c:pt idx="153">
                  <c:v>-3.0121650724665661</c:v>
                </c:pt>
                <c:pt idx="154">
                  <c:v>-3.5379600706233805</c:v>
                </c:pt>
                <c:pt idx="155">
                  <c:v>-3.1363380609611635</c:v>
                </c:pt>
                <c:pt idx="156">
                  <c:v>-3.9502531964843435</c:v>
                </c:pt>
                <c:pt idx="157">
                  <c:v>-3.9502531964843435</c:v>
                </c:pt>
                <c:pt idx="158">
                  <c:v>-3.5476610853495294</c:v>
                </c:pt>
                <c:pt idx="159">
                  <c:v>-3.1984245552084678</c:v>
                </c:pt>
                <c:pt idx="160">
                  <c:v>-3.7572030034341508</c:v>
                </c:pt>
                <c:pt idx="161">
                  <c:v>-3.7086979298034506</c:v>
                </c:pt>
                <c:pt idx="162">
                  <c:v>-4.3140412487146058</c:v>
                </c:pt>
                <c:pt idx="163">
                  <c:v>-3.805708077064851</c:v>
                </c:pt>
                <c:pt idx="164">
                  <c:v>-4.2218816088162692</c:v>
                </c:pt>
                <c:pt idx="165">
                  <c:v>-4.2471042471042502</c:v>
                </c:pt>
                <c:pt idx="166">
                  <c:v>-3.822199802099302</c:v>
                </c:pt>
                <c:pt idx="167">
                  <c:v>-4.5012708329291273</c:v>
                </c:pt>
                <c:pt idx="168">
                  <c:v>-3.8920471081275054</c:v>
                </c:pt>
                <c:pt idx="169">
                  <c:v>-4.3441143943656506</c:v>
                </c:pt>
                <c:pt idx="170">
                  <c:v>-5.0260957296133117</c:v>
                </c:pt>
                <c:pt idx="171">
                  <c:v>-4.759317824644449</c:v>
                </c:pt>
                <c:pt idx="172">
                  <c:v>-5.219145922663504</c:v>
                </c:pt>
                <c:pt idx="173">
                  <c:v>-4.5478357036145889</c:v>
                </c:pt>
                <c:pt idx="174">
                  <c:v>-4.4760481946411463</c:v>
                </c:pt>
                <c:pt idx="175">
                  <c:v>-4.4760481946411463</c:v>
                </c:pt>
                <c:pt idx="176">
                  <c:v>-4.6564870685473654</c:v>
                </c:pt>
                <c:pt idx="177">
                  <c:v>-4.9203546690983817</c:v>
                </c:pt>
                <c:pt idx="178">
                  <c:v>-5.4636114937622438</c:v>
                </c:pt>
                <c:pt idx="179">
                  <c:v>-5.6353194544149332</c:v>
                </c:pt>
                <c:pt idx="180">
                  <c:v>-6.131041306920693</c:v>
                </c:pt>
                <c:pt idx="181">
                  <c:v>-5.8700840107875134</c:v>
                </c:pt>
                <c:pt idx="182">
                  <c:v>-6.3919986030538833</c:v>
                </c:pt>
                <c:pt idx="183">
                  <c:v>-6.4172212413418421</c:v>
                </c:pt>
                <c:pt idx="184">
                  <c:v>-6.4540850973011654</c:v>
                </c:pt>
                <c:pt idx="185">
                  <c:v>-6.0728352185638546</c:v>
                </c:pt>
                <c:pt idx="186">
                  <c:v>-6.0728352185638546</c:v>
                </c:pt>
                <c:pt idx="187">
                  <c:v>-5.7633728487999747</c:v>
                </c:pt>
                <c:pt idx="188">
                  <c:v>-5.7332997031489423</c:v>
                </c:pt>
                <c:pt idx="189">
                  <c:v>-5.7071069633883642</c:v>
                </c:pt>
                <c:pt idx="190">
                  <c:v>-5.5877844822568301</c:v>
                </c:pt>
                <c:pt idx="191">
                  <c:v>-5.3869734774257383</c:v>
                </c:pt>
                <c:pt idx="192">
                  <c:v>-5.1599697328340461</c:v>
                </c:pt>
                <c:pt idx="193">
                  <c:v>-4.6293242273141688</c:v>
                </c:pt>
                <c:pt idx="194">
                  <c:v>-4.8572980733784688</c:v>
                </c:pt>
                <c:pt idx="195">
                  <c:v>-4.4973904270386615</c:v>
                </c:pt>
                <c:pt idx="196">
                  <c:v>-4.7379755922469453</c:v>
                </c:pt>
                <c:pt idx="197">
                  <c:v>-5.3471993170485677</c:v>
                </c:pt>
                <c:pt idx="198">
                  <c:v>-5.7866552841427161</c:v>
                </c:pt>
                <c:pt idx="199">
                  <c:v>-5.9554529403775591</c:v>
                </c:pt>
                <c:pt idx="200">
                  <c:v>-5.7798645738344252</c:v>
                </c:pt>
                <c:pt idx="201">
                  <c:v>-5.5130866688655527</c:v>
                </c:pt>
                <c:pt idx="202">
                  <c:v>-4.5468656021419811</c:v>
                </c:pt>
                <c:pt idx="203">
                  <c:v>-4.3024000310432413</c:v>
                </c:pt>
                <c:pt idx="204">
                  <c:v>-3.3914747482586605</c:v>
                </c:pt>
                <c:pt idx="205">
                  <c:v>-3.2391688170582578</c:v>
                </c:pt>
                <c:pt idx="206">
                  <c:v>-4.0278613142934567</c:v>
                </c:pt>
                <c:pt idx="207">
                  <c:v>-4.3615762208726983</c:v>
                </c:pt>
                <c:pt idx="208">
                  <c:v>-4.3664267282357621</c:v>
                </c:pt>
                <c:pt idx="209">
                  <c:v>-4.9465474088589589</c:v>
                </c:pt>
                <c:pt idx="210">
                  <c:v>-4.7079024465959129</c:v>
                </c:pt>
                <c:pt idx="211">
                  <c:v>-4.921324770571001</c:v>
                </c:pt>
                <c:pt idx="212">
                  <c:v>-4.5798490522108493</c:v>
                </c:pt>
                <c:pt idx="213">
                  <c:v>-5.0008730913253423</c:v>
                </c:pt>
                <c:pt idx="214">
                  <c:v>-5.2579499815680553</c:v>
                </c:pt>
                <c:pt idx="215">
                  <c:v>-4.8301352321452828</c:v>
                </c:pt>
                <c:pt idx="216">
                  <c:v>-5.2094449079373657</c:v>
                </c:pt>
                <c:pt idx="217">
                  <c:v>-4.9135639587900908</c:v>
                </c:pt>
                <c:pt idx="218">
                  <c:v>-4.8146136085834517</c:v>
                </c:pt>
                <c:pt idx="219">
                  <c:v>-4.8524475660154049</c:v>
                </c:pt>
                <c:pt idx="220">
                  <c:v>-4.4343338313187601</c:v>
                </c:pt>
                <c:pt idx="221">
                  <c:v>-5.3190663743427518</c:v>
                </c:pt>
                <c:pt idx="222">
                  <c:v>-4.6215634155332586</c:v>
                </c:pt>
                <c:pt idx="223">
                  <c:v>-4.811703304165615</c:v>
                </c:pt>
                <c:pt idx="224">
                  <c:v>-4.8068527968025414</c:v>
                </c:pt>
                <c:pt idx="225">
                  <c:v>-5.1842222696493963</c:v>
                </c:pt>
                <c:pt idx="226">
                  <c:v>-5.2307871403348809</c:v>
                </c:pt>
                <c:pt idx="227">
                  <c:v>-5.2307871403348809</c:v>
                </c:pt>
                <c:pt idx="228">
                  <c:v>-4.5934304728274533</c:v>
                </c:pt>
                <c:pt idx="229">
                  <c:v>-4.8495372615975585</c:v>
                </c:pt>
                <c:pt idx="230">
                  <c:v>-4.635144836149852</c:v>
                </c:pt>
                <c:pt idx="231">
                  <c:v>-5.1939232843755452</c:v>
                </c:pt>
                <c:pt idx="232">
                  <c:v>-5.8642634019518303</c:v>
                </c:pt>
                <c:pt idx="233">
                  <c:v>-5.5441299159892043</c:v>
                </c:pt>
                <c:pt idx="234">
                  <c:v>-5.5538309307153426</c:v>
                </c:pt>
                <c:pt idx="235">
                  <c:v>-5.3879435788983461</c:v>
                </c:pt>
                <c:pt idx="236">
                  <c:v>-5.3801827671174358</c:v>
                </c:pt>
                <c:pt idx="237">
                  <c:v>-5.4655516967074718</c:v>
                </c:pt>
                <c:pt idx="238">
                  <c:v>-6.62967346384431</c:v>
                </c:pt>
                <c:pt idx="239">
                  <c:v>-6.3658058632932946</c:v>
                </c:pt>
                <c:pt idx="240">
                  <c:v>-5.9282900991443626</c:v>
                </c:pt>
                <c:pt idx="241">
                  <c:v>-5.638229758832769</c:v>
                </c:pt>
                <c:pt idx="242">
                  <c:v>-5.9244096932539181</c:v>
                </c:pt>
                <c:pt idx="243">
                  <c:v>-6.0039580140082593</c:v>
                </c:pt>
                <c:pt idx="244">
                  <c:v>-5.3976445936244843</c:v>
                </c:pt>
                <c:pt idx="245">
                  <c:v>-4.7214838672125055</c:v>
                </c:pt>
                <c:pt idx="246">
                  <c:v>-5.1007935430045892</c:v>
                </c:pt>
                <c:pt idx="247">
                  <c:v>-5.3336178964319529</c:v>
                </c:pt>
                <c:pt idx="248">
                  <c:v>-5.4626413922896351</c:v>
                </c:pt>
                <c:pt idx="249">
                  <c:v>-5.5305484953726118</c:v>
                </c:pt>
                <c:pt idx="250">
                  <c:v>-5.37630236122697</c:v>
                </c:pt>
                <c:pt idx="251">
                  <c:v>-5.4975650453037321</c:v>
                </c:pt>
                <c:pt idx="252">
                  <c:v>-5.1172852680390291</c:v>
                </c:pt>
                <c:pt idx="253">
                  <c:v>-4.6545468656021267</c:v>
                </c:pt>
                <c:pt idx="254">
                  <c:v>-4.3091907413515429</c:v>
                </c:pt>
                <c:pt idx="255">
                  <c:v>-3.6834752915154922</c:v>
                </c:pt>
                <c:pt idx="256">
                  <c:v>-4.2199414058710527</c:v>
                </c:pt>
              </c:numCache>
            </c:numRef>
          </c:val>
          <c:smooth val="0"/>
          <c:extLst>
            <c:ext xmlns:c16="http://schemas.microsoft.com/office/drawing/2014/chart" uri="{C3380CC4-5D6E-409C-BE32-E72D297353CC}">
              <c16:uniqueId val="{00000000-B157-4F44-8912-482BCBFF03F6}"/>
            </c:ext>
          </c:extLst>
        </c:ser>
        <c:ser>
          <c:idx val="1"/>
          <c:order val="1"/>
          <c:tx>
            <c:strRef>
              <c:f>'US Dollar Index Futures Histori'!$L$1</c:f>
              <c:strCache>
                <c:ptCount val="1"/>
                <c:pt idx="0">
                  <c:v>Percentage Change in Gold Price</c:v>
                </c:pt>
              </c:strCache>
            </c:strRef>
          </c:tx>
          <c:spPr>
            <a:ln w="28575" cap="rnd">
              <a:solidFill>
                <a:schemeClr val="accent2"/>
              </a:solidFill>
              <a:round/>
            </a:ln>
            <a:effectLst/>
          </c:spPr>
          <c:marker>
            <c:symbol val="none"/>
          </c:marker>
          <c:cat>
            <c:strRef>
              <c:f>'US Dollar Index Futures Histori'!$J$2:$J$258</c:f>
              <c:strCache>
                <c:ptCount val="257"/>
                <c:pt idx="0">
                  <c:v>10/14/2024</c:v>
                </c:pt>
                <c:pt idx="1">
                  <c:v>10/15/2024</c:v>
                </c:pt>
                <c:pt idx="2">
                  <c:v>10/16/2024</c:v>
                </c:pt>
                <c:pt idx="3">
                  <c:v>10/17/2024</c:v>
                </c:pt>
                <c:pt idx="4">
                  <c:v>10/18/2024</c:v>
                </c:pt>
                <c:pt idx="5">
                  <c:v>10/21/2024</c:v>
                </c:pt>
                <c:pt idx="6">
                  <c:v>10/22/2024</c:v>
                </c:pt>
                <c:pt idx="7">
                  <c:v>10/23/2024</c:v>
                </c:pt>
                <c:pt idx="8">
                  <c:v>10/24/2024</c:v>
                </c:pt>
                <c:pt idx="9">
                  <c:v>10/25/2024</c:v>
                </c:pt>
                <c:pt idx="10">
                  <c:v>10/28/2024</c:v>
                </c:pt>
                <c:pt idx="11">
                  <c:v>10/29/2024</c:v>
                </c:pt>
                <c:pt idx="12">
                  <c:v>10/30/2024</c:v>
                </c:pt>
                <c:pt idx="13">
                  <c:v>10/31/2024</c:v>
                </c:pt>
                <c:pt idx="14">
                  <c:v>11/01/2024</c:v>
                </c:pt>
                <c:pt idx="15">
                  <c:v>11/04/2024</c:v>
                </c:pt>
                <c:pt idx="16">
                  <c:v>11/05/2024</c:v>
                </c:pt>
                <c:pt idx="17">
                  <c:v>11/06/2024</c:v>
                </c:pt>
                <c:pt idx="18">
                  <c:v>11/07/2024</c:v>
                </c:pt>
                <c:pt idx="19">
                  <c:v>11/08/2024</c:v>
                </c:pt>
                <c:pt idx="20">
                  <c:v>11/11/2024</c:v>
                </c:pt>
                <c:pt idx="21">
                  <c:v>11/12/2024</c:v>
                </c:pt>
                <c:pt idx="22">
                  <c:v>11/13/2024</c:v>
                </c:pt>
                <c:pt idx="23">
                  <c:v>11/14/2024</c:v>
                </c:pt>
                <c:pt idx="24">
                  <c:v>11/15/2024</c:v>
                </c:pt>
                <c:pt idx="25">
                  <c:v>11/18/2024</c:v>
                </c:pt>
                <c:pt idx="26">
                  <c:v>11/19/2024</c:v>
                </c:pt>
                <c:pt idx="27">
                  <c:v>11/20/2024</c:v>
                </c:pt>
                <c:pt idx="28">
                  <c:v>11/21/2024</c:v>
                </c:pt>
                <c:pt idx="29">
                  <c:v>11/22/2024</c:v>
                </c:pt>
                <c:pt idx="30">
                  <c:v>11/25/2024</c:v>
                </c:pt>
                <c:pt idx="31">
                  <c:v>11/26/2024</c:v>
                </c:pt>
                <c:pt idx="32">
                  <c:v>11/27/2024</c:v>
                </c:pt>
                <c:pt idx="33">
                  <c:v>11/28/2024</c:v>
                </c:pt>
                <c:pt idx="34">
                  <c:v>11/29/2024</c:v>
                </c:pt>
                <c:pt idx="35">
                  <c:v>12/02/2024</c:v>
                </c:pt>
                <c:pt idx="36">
                  <c:v>12/03/2024</c:v>
                </c:pt>
                <c:pt idx="37">
                  <c:v>12/04/2024</c:v>
                </c:pt>
                <c:pt idx="38">
                  <c:v>12/05/2024</c:v>
                </c:pt>
                <c:pt idx="39">
                  <c:v>12/06/2024</c:v>
                </c:pt>
                <c:pt idx="40">
                  <c:v>12/09/2024</c:v>
                </c:pt>
                <c:pt idx="41">
                  <c:v>12/10/2024</c:v>
                </c:pt>
                <c:pt idx="42">
                  <c:v>12/11/2024</c:v>
                </c:pt>
                <c:pt idx="43">
                  <c:v>12/12/2024</c:v>
                </c:pt>
                <c:pt idx="44">
                  <c:v>12/13/2024</c:v>
                </c:pt>
                <c:pt idx="45">
                  <c:v>12/16/2024</c:v>
                </c:pt>
                <c:pt idx="46">
                  <c:v>12/17/2024</c:v>
                </c:pt>
                <c:pt idx="47">
                  <c:v>12/18/2024</c:v>
                </c:pt>
                <c:pt idx="48">
                  <c:v>12/19/2024</c:v>
                </c:pt>
                <c:pt idx="49">
                  <c:v>12/20/2024</c:v>
                </c:pt>
                <c:pt idx="50">
                  <c:v>12/23/2024</c:v>
                </c:pt>
                <c:pt idx="51">
                  <c:v>12/24/2024</c:v>
                </c:pt>
                <c:pt idx="52">
                  <c:v>12/26/2024</c:v>
                </c:pt>
                <c:pt idx="53">
                  <c:v>12/27/2024</c:v>
                </c:pt>
                <c:pt idx="54">
                  <c:v>12/30/2024</c:v>
                </c:pt>
                <c:pt idx="55">
                  <c:v>12/31/2024</c:v>
                </c:pt>
                <c:pt idx="56">
                  <c:v>01/02/2025</c:v>
                </c:pt>
                <c:pt idx="57">
                  <c:v>01/03/2025</c:v>
                </c:pt>
                <c:pt idx="58">
                  <c:v>01/06/2025</c:v>
                </c:pt>
                <c:pt idx="59">
                  <c:v>01/07/2025</c:v>
                </c:pt>
                <c:pt idx="60">
                  <c:v>01/08/2025</c:v>
                </c:pt>
                <c:pt idx="61">
                  <c:v>01/09/2025</c:v>
                </c:pt>
                <c:pt idx="62">
                  <c:v>01/10/2025</c:v>
                </c:pt>
                <c:pt idx="63">
                  <c:v>01/13/2025</c:v>
                </c:pt>
                <c:pt idx="64">
                  <c:v>01/14/2025</c:v>
                </c:pt>
                <c:pt idx="65">
                  <c:v>01/15/2025</c:v>
                </c:pt>
                <c:pt idx="66">
                  <c:v>01/16/2025</c:v>
                </c:pt>
                <c:pt idx="67">
                  <c:v>01/17/2025</c:v>
                </c:pt>
                <c:pt idx="68">
                  <c:v>01/20/2025</c:v>
                </c:pt>
                <c:pt idx="69">
                  <c:v>01/21/2025</c:v>
                </c:pt>
                <c:pt idx="70">
                  <c:v>01/22/2025</c:v>
                </c:pt>
                <c:pt idx="71">
                  <c:v>01/23/2025</c:v>
                </c:pt>
                <c:pt idx="72">
                  <c:v>01/24/2025</c:v>
                </c:pt>
                <c:pt idx="73">
                  <c:v>01/27/2025</c:v>
                </c:pt>
                <c:pt idx="74">
                  <c:v>01/28/2025</c:v>
                </c:pt>
                <c:pt idx="75">
                  <c:v>01/29/2025</c:v>
                </c:pt>
                <c:pt idx="76">
                  <c:v>01/30/2025</c:v>
                </c:pt>
                <c:pt idx="77">
                  <c:v>01/31/2025</c:v>
                </c:pt>
                <c:pt idx="78">
                  <c:v>02/03/2025</c:v>
                </c:pt>
                <c:pt idx="79">
                  <c:v>02/04/2025</c:v>
                </c:pt>
                <c:pt idx="80">
                  <c:v>02/05/2025</c:v>
                </c:pt>
                <c:pt idx="81">
                  <c:v>02/06/2025</c:v>
                </c:pt>
                <c:pt idx="82">
                  <c:v>02/07/2025</c:v>
                </c:pt>
                <c:pt idx="83">
                  <c:v>02/10/2025</c:v>
                </c:pt>
                <c:pt idx="84">
                  <c:v>02/11/2025</c:v>
                </c:pt>
                <c:pt idx="85">
                  <c:v>02/12/2025</c:v>
                </c:pt>
                <c:pt idx="86">
                  <c:v>02/13/2025</c:v>
                </c:pt>
                <c:pt idx="87">
                  <c:v>02/14/2025</c:v>
                </c:pt>
                <c:pt idx="88">
                  <c:v>02/17/2025</c:v>
                </c:pt>
                <c:pt idx="89">
                  <c:v>02/18/2025</c:v>
                </c:pt>
                <c:pt idx="90">
                  <c:v>02/19/2025</c:v>
                </c:pt>
                <c:pt idx="91">
                  <c:v>02/20/2025</c:v>
                </c:pt>
                <c:pt idx="92">
                  <c:v>02/21/2025</c:v>
                </c:pt>
                <c:pt idx="93">
                  <c:v>02/24/2025</c:v>
                </c:pt>
                <c:pt idx="94">
                  <c:v>02/25/2025</c:v>
                </c:pt>
                <c:pt idx="95">
                  <c:v>02/26/2025</c:v>
                </c:pt>
                <c:pt idx="96">
                  <c:v>02/27/2025</c:v>
                </c:pt>
                <c:pt idx="97">
                  <c:v>02/28/2025</c:v>
                </c:pt>
                <c:pt idx="98">
                  <c:v>03/03/2025</c:v>
                </c:pt>
                <c:pt idx="99">
                  <c:v>03/04/2025</c:v>
                </c:pt>
                <c:pt idx="100">
                  <c:v>03/05/2025</c:v>
                </c:pt>
                <c:pt idx="101">
                  <c:v>03/06/2025</c:v>
                </c:pt>
                <c:pt idx="102">
                  <c:v>03/07/2025</c:v>
                </c:pt>
                <c:pt idx="103">
                  <c:v>03/10/2025</c:v>
                </c:pt>
                <c:pt idx="104">
                  <c:v>03/11/2025</c:v>
                </c:pt>
                <c:pt idx="105">
                  <c:v>03/12/2025</c:v>
                </c:pt>
                <c:pt idx="106">
                  <c:v>03/13/2025</c:v>
                </c:pt>
                <c:pt idx="107">
                  <c:v>03/14/2025</c:v>
                </c:pt>
                <c:pt idx="108">
                  <c:v>03/17/2025</c:v>
                </c:pt>
                <c:pt idx="109">
                  <c:v>03/18/2025</c:v>
                </c:pt>
                <c:pt idx="110">
                  <c:v>03/19/2025</c:v>
                </c:pt>
                <c:pt idx="111">
                  <c:v>03/20/2025</c:v>
                </c:pt>
                <c:pt idx="112">
                  <c:v>03/21/2025</c:v>
                </c:pt>
                <c:pt idx="113">
                  <c:v>03/24/2025</c:v>
                </c:pt>
                <c:pt idx="114">
                  <c:v>03/25/2025</c:v>
                </c:pt>
                <c:pt idx="115">
                  <c:v>03/26/2025</c:v>
                </c:pt>
                <c:pt idx="116">
                  <c:v>03/27/2025</c:v>
                </c:pt>
                <c:pt idx="117">
                  <c:v>03/28/2025</c:v>
                </c:pt>
                <c:pt idx="118">
                  <c:v>03/31/2025</c:v>
                </c:pt>
                <c:pt idx="119">
                  <c:v>04/01/2025</c:v>
                </c:pt>
                <c:pt idx="120">
                  <c:v>04/02/2025</c:v>
                </c:pt>
                <c:pt idx="121">
                  <c:v>04/03/2025</c:v>
                </c:pt>
                <c:pt idx="122">
                  <c:v>04/04/2025</c:v>
                </c:pt>
                <c:pt idx="123">
                  <c:v>04/07/2025</c:v>
                </c:pt>
                <c:pt idx="124">
                  <c:v>04/08/2025</c:v>
                </c:pt>
                <c:pt idx="125">
                  <c:v>04/09/2025</c:v>
                </c:pt>
                <c:pt idx="126">
                  <c:v>04/10/2025</c:v>
                </c:pt>
                <c:pt idx="127">
                  <c:v>04/11/2025</c:v>
                </c:pt>
                <c:pt idx="128">
                  <c:v>04/14/2025</c:v>
                </c:pt>
                <c:pt idx="129">
                  <c:v>04/15/2025</c:v>
                </c:pt>
                <c:pt idx="130">
                  <c:v>04/16/2025</c:v>
                </c:pt>
                <c:pt idx="131">
                  <c:v>04/17/2025</c:v>
                </c:pt>
                <c:pt idx="132">
                  <c:v>04/21/2025</c:v>
                </c:pt>
                <c:pt idx="133">
                  <c:v>04/22/2025</c:v>
                </c:pt>
                <c:pt idx="134">
                  <c:v>04/23/2025</c:v>
                </c:pt>
                <c:pt idx="135">
                  <c:v>04/24/2025</c:v>
                </c:pt>
                <c:pt idx="136">
                  <c:v>04/25/2025</c:v>
                </c:pt>
                <c:pt idx="137">
                  <c:v>04/28/2025</c:v>
                </c:pt>
                <c:pt idx="138">
                  <c:v>04/29/2025</c:v>
                </c:pt>
                <c:pt idx="139">
                  <c:v>04/30/2025</c:v>
                </c:pt>
                <c:pt idx="140">
                  <c:v>05/01/2025</c:v>
                </c:pt>
                <c:pt idx="141">
                  <c:v>05/02/2025</c:v>
                </c:pt>
                <c:pt idx="142">
                  <c:v>05/05/2025</c:v>
                </c:pt>
                <c:pt idx="143">
                  <c:v>05/06/2025</c:v>
                </c:pt>
                <c:pt idx="144">
                  <c:v>05/07/2025</c:v>
                </c:pt>
                <c:pt idx="145">
                  <c:v>05/08/2025</c:v>
                </c:pt>
                <c:pt idx="146">
                  <c:v>05/09/2025</c:v>
                </c:pt>
                <c:pt idx="147">
                  <c:v>05/12/2025</c:v>
                </c:pt>
                <c:pt idx="148">
                  <c:v>05/13/2025</c:v>
                </c:pt>
                <c:pt idx="149">
                  <c:v>05/14/2025</c:v>
                </c:pt>
                <c:pt idx="150">
                  <c:v>05/15/2025</c:v>
                </c:pt>
                <c:pt idx="151">
                  <c:v>05/16/2025</c:v>
                </c:pt>
                <c:pt idx="152">
                  <c:v>05/19/2025</c:v>
                </c:pt>
                <c:pt idx="153">
                  <c:v>05/20/2025</c:v>
                </c:pt>
                <c:pt idx="154">
                  <c:v>05/21/2025</c:v>
                </c:pt>
                <c:pt idx="155">
                  <c:v>05/22/2025</c:v>
                </c:pt>
                <c:pt idx="156">
                  <c:v>05/23/2025</c:v>
                </c:pt>
                <c:pt idx="157">
                  <c:v>05/26/2025</c:v>
                </c:pt>
                <c:pt idx="158">
                  <c:v>05/27/2025</c:v>
                </c:pt>
                <c:pt idx="159">
                  <c:v>05/28/2025</c:v>
                </c:pt>
                <c:pt idx="160">
                  <c:v>05/29/2025</c:v>
                </c:pt>
                <c:pt idx="161">
                  <c:v>05/30/2025</c:v>
                </c:pt>
                <c:pt idx="162">
                  <c:v>06/02/2025</c:v>
                </c:pt>
                <c:pt idx="163">
                  <c:v>06/03/2025</c:v>
                </c:pt>
                <c:pt idx="164">
                  <c:v>06/04/2025</c:v>
                </c:pt>
                <c:pt idx="165">
                  <c:v>06/05/2025</c:v>
                </c:pt>
                <c:pt idx="166">
                  <c:v>06/06/2025</c:v>
                </c:pt>
                <c:pt idx="167">
                  <c:v>06/09/2025</c:v>
                </c:pt>
                <c:pt idx="168">
                  <c:v>06/10/2025</c:v>
                </c:pt>
                <c:pt idx="169">
                  <c:v>06/11/2025</c:v>
                </c:pt>
                <c:pt idx="170">
                  <c:v>06/12/2025</c:v>
                </c:pt>
                <c:pt idx="171">
                  <c:v>06/13/2025</c:v>
                </c:pt>
                <c:pt idx="172">
                  <c:v>06/16/2025</c:v>
                </c:pt>
                <c:pt idx="173">
                  <c:v>06/17/2025</c:v>
                </c:pt>
                <c:pt idx="174">
                  <c:v>06/18/2025</c:v>
                </c:pt>
                <c:pt idx="175">
                  <c:v>06/19/2025</c:v>
                </c:pt>
                <c:pt idx="176">
                  <c:v>06/20/2025</c:v>
                </c:pt>
                <c:pt idx="177">
                  <c:v>06/23/2025</c:v>
                </c:pt>
                <c:pt idx="178">
                  <c:v>06/24/2025</c:v>
                </c:pt>
                <c:pt idx="179">
                  <c:v>06/25/2025</c:v>
                </c:pt>
                <c:pt idx="180">
                  <c:v>06/26/2025</c:v>
                </c:pt>
                <c:pt idx="181">
                  <c:v>06/27/2025</c:v>
                </c:pt>
                <c:pt idx="182">
                  <c:v>06/30/2025</c:v>
                </c:pt>
                <c:pt idx="183">
                  <c:v>07/01/2025</c:v>
                </c:pt>
                <c:pt idx="184">
                  <c:v>07/02/2025</c:v>
                </c:pt>
                <c:pt idx="185">
                  <c:v>07/03/2025</c:v>
                </c:pt>
                <c:pt idx="186">
                  <c:v>07/04/2025</c:v>
                </c:pt>
                <c:pt idx="187">
                  <c:v>07/07/2025</c:v>
                </c:pt>
                <c:pt idx="188">
                  <c:v>07/08/2025</c:v>
                </c:pt>
                <c:pt idx="189">
                  <c:v>07/09/2025</c:v>
                </c:pt>
                <c:pt idx="190">
                  <c:v>07/10/2025</c:v>
                </c:pt>
                <c:pt idx="191">
                  <c:v>07/11/2025</c:v>
                </c:pt>
                <c:pt idx="192">
                  <c:v>07/14/2025</c:v>
                </c:pt>
                <c:pt idx="193">
                  <c:v>07/15/2025</c:v>
                </c:pt>
                <c:pt idx="194">
                  <c:v>07/16/2025</c:v>
                </c:pt>
                <c:pt idx="195">
                  <c:v>07/17/2025</c:v>
                </c:pt>
                <c:pt idx="196">
                  <c:v>07/18/2025</c:v>
                </c:pt>
                <c:pt idx="197">
                  <c:v>07/21/2025</c:v>
                </c:pt>
                <c:pt idx="198">
                  <c:v>07/22/2025</c:v>
                </c:pt>
                <c:pt idx="199">
                  <c:v>07/23/2025</c:v>
                </c:pt>
                <c:pt idx="200">
                  <c:v>07/24/2025</c:v>
                </c:pt>
                <c:pt idx="201">
                  <c:v>07/25/2025</c:v>
                </c:pt>
                <c:pt idx="202">
                  <c:v>07/28/2025</c:v>
                </c:pt>
                <c:pt idx="203">
                  <c:v>07/29/2025</c:v>
                </c:pt>
                <c:pt idx="204">
                  <c:v>07/30/2025</c:v>
                </c:pt>
                <c:pt idx="205">
                  <c:v>07/31/2025</c:v>
                </c:pt>
                <c:pt idx="206">
                  <c:v>08/01/2025</c:v>
                </c:pt>
                <c:pt idx="207">
                  <c:v>08/04/2025</c:v>
                </c:pt>
                <c:pt idx="208">
                  <c:v>08/05/2025</c:v>
                </c:pt>
                <c:pt idx="209">
                  <c:v>08/06/2025</c:v>
                </c:pt>
                <c:pt idx="210">
                  <c:v>08/07/2025</c:v>
                </c:pt>
                <c:pt idx="211">
                  <c:v>08/08/2025</c:v>
                </c:pt>
                <c:pt idx="212">
                  <c:v>08/11/2025</c:v>
                </c:pt>
                <c:pt idx="213">
                  <c:v>08/12/2025</c:v>
                </c:pt>
                <c:pt idx="214">
                  <c:v>08/13/2025</c:v>
                </c:pt>
                <c:pt idx="215">
                  <c:v>08/14/2025</c:v>
                </c:pt>
                <c:pt idx="216">
                  <c:v>08/15/2025</c:v>
                </c:pt>
                <c:pt idx="217">
                  <c:v>08/18/2025</c:v>
                </c:pt>
                <c:pt idx="218">
                  <c:v>08/19/2025</c:v>
                </c:pt>
                <c:pt idx="219">
                  <c:v>08/20/2025</c:v>
                </c:pt>
                <c:pt idx="220">
                  <c:v>08/21/2025</c:v>
                </c:pt>
                <c:pt idx="221">
                  <c:v>08/22/2025</c:v>
                </c:pt>
                <c:pt idx="222">
                  <c:v>08/25/2025</c:v>
                </c:pt>
                <c:pt idx="223">
                  <c:v>08/26/2025</c:v>
                </c:pt>
                <c:pt idx="224">
                  <c:v>08/27/2025</c:v>
                </c:pt>
                <c:pt idx="225">
                  <c:v>08/28/2025</c:v>
                </c:pt>
                <c:pt idx="226">
                  <c:v>08/29/2025</c:v>
                </c:pt>
                <c:pt idx="227">
                  <c:v>09/01/2025</c:v>
                </c:pt>
                <c:pt idx="228">
                  <c:v>09/02/2025</c:v>
                </c:pt>
                <c:pt idx="229">
                  <c:v>09/03/2025</c:v>
                </c:pt>
                <c:pt idx="230">
                  <c:v>09/04/2025</c:v>
                </c:pt>
                <c:pt idx="231">
                  <c:v>09/05/2025</c:v>
                </c:pt>
                <c:pt idx="232">
                  <c:v>09/08/2025</c:v>
                </c:pt>
                <c:pt idx="233">
                  <c:v>09/09/2025</c:v>
                </c:pt>
                <c:pt idx="234">
                  <c:v>09/10/2025</c:v>
                </c:pt>
                <c:pt idx="235">
                  <c:v>09/11/2025</c:v>
                </c:pt>
                <c:pt idx="236">
                  <c:v>09/12/2025</c:v>
                </c:pt>
                <c:pt idx="237">
                  <c:v>09/15/2025</c:v>
                </c:pt>
                <c:pt idx="238">
                  <c:v>09/16/2025</c:v>
                </c:pt>
                <c:pt idx="239">
                  <c:v>09/17/2025</c:v>
                </c:pt>
                <c:pt idx="240">
                  <c:v>09/18/2025</c:v>
                </c:pt>
                <c:pt idx="241">
                  <c:v>09/19/2025</c:v>
                </c:pt>
                <c:pt idx="242">
                  <c:v>09/22/2025</c:v>
                </c:pt>
                <c:pt idx="243">
                  <c:v>09/23/2025</c:v>
                </c:pt>
                <c:pt idx="244">
                  <c:v>09/24/2025</c:v>
                </c:pt>
                <c:pt idx="245">
                  <c:v>09/25/2025</c:v>
                </c:pt>
                <c:pt idx="246">
                  <c:v>09/26/2025</c:v>
                </c:pt>
                <c:pt idx="247">
                  <c:v>09/29/2025</c:v>
                </c:pt>
                <c:pt idx="248">
                  <c:v>09/30/2025</c:v>
                </c:pt>
                <c:pt idx="249">
                  <c:v>10/01/2025</c:v>
                </c:pt>
                <c:pt idx="250">
                  <c:v>10/02/2025</c:v>
                </c:pt>
                <c:pt idx="251">
                  <c:v>10/03/2025</c:v>
                </c:pt>
                <c:pt idx="252">
                  <c:v>10/06/2025</c:v>
                </c:pt>
                <c:pt idx="253">
                  <c:v>10/07/2025</c:v>
                </c:pt>
                <c:pt idx="254">
                  <c:v>10/08/2025</c:v>
                </c:pt>
                <c:pt idx="255">
                  <c:v>10/09/2025</c:v>
                </c:pt>
                <c:pt idx="256">
                  <c:v>10/10/2025</c:v>
                </c:pt>
              </c:strCache>
            </c:strRef>
          </c:cat>
          <c:val>
            <c:numRef>
              <c:f>'US Dollar Index Futures Histori'!$L$2:$L$258</c:f>
              <c:numCache>
                <c:formatCode>General</c:formatCode>
                <c:ptCount val="257"/>
                <c:pt idx="0">
                  <c:v>0</c:v>
                </c:pt>
                <c:pt idx="1">
                  <c:v>0.37494577620187375</c:v>
                </c:pt>
                <c:pt idx="2">
                  <c:v>0.83702683842250547</c:v>
                </c:pt>
                <c:pt idx="3">
                  <c:v>1.5654174760943773</c:v>
                </c:pt>
                <c:pt idx="4">
                  <c:v>2.6102864902585621</c:v>
                </c:pt>
                <c:pt idx="5">
                  <c:v>2.5876539484355199</c:v>
                </c:pt>
                <c:pt idx="6">
                  <c:v>3.6713754927292896</c:v>
                </c:pt>
                <c:pt idx="7">
                  <c:v>2.50806284302445</c:v>
                </c:pt>
                <c:pt idx="8">
                  <c:v>3.1930744422021373</c:v>
                </c:pt>
                <c:pt idx="9">
                  <c:v>3.6453480696327922</c:v>
                </c:pt>
                <c:pt idx="10">
                  <c:v>3.4299617132834026</c:v>
                </c:pt>
                <c:pt idx="11">
                  <c:v>4.6804096490070002</c:v>
                </c:pt>
                <c:pt idx="12">
                  <c:v>5.0976028366119142</c:v>
                </c:pt>
                <c:pt idx="13">
                  <c:v>3.4986137568133291</c:v>
                </c:pt>
                <c:pt idx="14">
                  <c:v>3.1727051545613838</c:v>
                </c:pt>
                <c:pt idx="15">
                  <c:v>3.2191018652986347</c:v>
                </c:pt>
                <c:pt idx="16">
                  <c:v>3.4906923671752743</c:v>
                </c:pt>
                <c:pt idx="17">
                  <c:v>0.30893419588462478</c:v>
                </c:pt>
                <c:pt idx="18">
                  <c:v>2.110107315969123</c:v>
                </c:pt>
                <c:pt idx="19">
                  <c:v>1.2342279474170548</c:v>
                </c:pt>
                <c:pt idx="20">
                  <c:v>-1.1636898587352285</c:v>
                </c:pt>
                <c:pt idx="21">
                  <c:v>-2.0286301654061645</c:v>
                </c:pt>
                <c:pt idx="22">
                  <c:v>-2.9146941777786206</c:v>
                </c:pt>
                <c:pt idx="23">
                  <c:v>-3.2009958318402143</c:v>
                </c:pt>
                <c:pt idx="24">
                  <c:v>-3.3877143018804068</c:v>
                </c:pt>
                <c:pt idx="25">
                  <c:v>-1.4654570830425762</c:v>
                </c:pt>
                <c:pt idx="26">
                  <c:v>-0.73065389185418272</c:v>
                </c:pt>
                <c:pt idx="27">
                  <c:v>-3.7720903038418463E-2</c:v>
                </c:pt>
                <c:pt idx="28">
                  <c:v>0.70311763263612992</c:v>
                </c:pt>
                <c:pt idx="29">
                  <c:v>2.3198355368627466</c:v>
                </c:pt>
                <c:pt idx="30">
                  <c:v>-0.97282208936081416</c:v>
                </c:pt>
                <c:pt idx="31">
                  <c:v>-0.72273250221611685</c:v>
                </c:pt>
                <c:pt idx="32">
                  <c:v>-0.58618283321703046</c:v>
                </c:pt>
                <c:pt idx="33">
                  <c:v>-0.38060391165765095</c:v>
                </c:pt>
                <c:pt idx="34">
                  <c:v>9.430225759605726E-2</c:v>
                </c:pt>
                <c:pt idx="35">
                  <c:v>-0.45717734482564332</c:v>
                </c:pt>
                <c:pt idx="36">
                  <c:v>-0.28705607212237139</c:v>
                </c:pt>
                <c:pt idx="37">
                  <c:v>-4.7528337828417477E-2</c:v>
                </c:pt>
                <c:pt idx="38">
                  <c:v>-0.7166971577299508</c:v>
                </c:pt>
                <c:pt idx="39">
                  <c:v>-0.68425718111693179</c:v>
                </c:pt>
                <c:pt idx="40">
                  <c:v>0.29158258048698205</c:v>
                </c:pt>
                <c:pt idx="41">
                  <c:v>1.606533260406251</c:v>
                </c:pt>
                <c:pt idx="42">
                  <c:v>2.5227739952094375</c:v>
                </c:pt>
                <c:pt idx="43">
                  <c:v>1.1421889440033084</c:v>
                </c:pt>
                <c:pt idx="44">
                  <c:v>-0.1003376020822011</c:v>
                </c:pt>
                <c:pt idx="45">
                  <c:v>5.4695309405694559E-2</c:v>
                </c:pt>
                <c:pt idx="46">
                  <c:v>-0.20784217574169039</c:v>
                </c:pt>
                <c:pt idx="47">
                  <c:v>-2.3922596706965171</c:v>
                </c:pt>
                <c:pt idx="48">
                  <c:v>-2.1576356537975627</c:v>
                </c:pt>
                <c:pt idx="49">
                  <c:v>-1.1421889440033306</c:v>
                </c:pt>
                <c:pt idx="50">
                  <c:v>-1.4379208238245345</c:v>
                </c:pt>
                <c:pt idx="51">
                  <c:v>-1.4277361800041577</c:v>
                </c:pt>
                <c:pt idx="52">
                  <c:v>-0.6269214084985375</c:v>
                </c:pt>
                <c:pt idx="53">
                  <c:v>-1.1712340393429055</c:v>
                </c:pt>
                <c:pt idx="54">
                  <c:v>-1.7223364327342061</c:v>
                </c:pt>
                <c:pt idx="55">
                  <c:v>-1.0275173987665309</c:v>
                </c:pt>
                <c:pt idx="56">
                  <c:v>0.23047471756472149</c:v>
                </c:pt>
                <c:pt idx="57">
                  <c:v>-0.45001037324834403</c:v>
                </c:pt>
                <c:pt idx="58">
                  <c:v>-0.592972595763952</c:v>
                </c:pt>
                <c:pt idx="59">
                  <c:v>-5.8844608739949678E-2</c:v>
                </c:pt>
                <c:pt idx="60">
                  <c:v>0.41530714245299194</c:v>
                </c:pt>
                <c:pt idx="61">
                  <c:v>0.72197808415532805</c:v>
                </c:pt>
                <c:pt idx="62">
                  <c:v>1.4552724392221883</c:v>
                </c:pt>
                <c:pt idx="63">
                  <c:v>0.41757039663528062</c:v>
                </c:pt>
                <c:pt idx="64">
                  <c:v>0.98489277833309075</c:v>
                </c:pt>
                <c:pt idx="65">
                  <c:v>1.6887648290299984</c:v>
                </c:pt>
                <c:pt idx="66">
                  <c:v>2.3658550385696087</c:v>
                </c:pt>
                <c:pt idx="67">
                  <c:v>1.9049056034401435</c:v>
                </c:pt>
                <c:pt idx="68">
                  <c:v>2.1504686822202412</c:v>
                </c:pt>
                <c:pt idx="69">
                  <c:v>3.5208690896059824</c:v>
                </c:pt>
                <c:pt idx="70">
                  <c:v>3.921842288904398</c:v>
                </c:pt>
                <c:pt idx="71">
                  <c:v>3.871673487863303</c:v>
                </c:pt>
                <c:pt idx="72">
                  <c:v>4.5359385903698479</c:v>
                </c:pt>
                <c:pt idx="73">
                  <c:v>3.3967673186096059</c:v>
                </c:pt>
                <c:pt idx="74">
                  <c:v>4.2270043944852009</c:v>
                </c:pt>
                <c:pt idx="75">
                  <c:v>4.0233115180777324</c:v>
                </c:pt>
                <c:pt idx="76">
                  <c:v>5.3876765809773408</c:v>
                </c:pt>
                <c:pt idx="77">
                  <c:v>5.6562494106108918</c:v>
                </c:pt>
                <c:pt idx="78">
                  <c:v>6.1273834895607227</c:v>
                </c:pt>
                <c:pt idx="79">
                  <c:v>7.2005431810037379</c:v>
                </c:pt>
                <c:pt idx="80">
                  <c:v>8.0737820863431509</c:v>
                </c:pt>
                <c:pt idx="81">
                  <c:v>7.7497595292431276</c:v>
                </c:pt>
                <c:pt idx="82">
                  <c:v>7.8964938420625685</c:v>
                </c:pt>
                <c:pt idx="83">
                  <c:v>9.6674902397163365</c:v>
                </c:pt>
                <c:pt idx="84">
                  <c:v>9.3280021123705694</c:v>
                </c:pt>
                <c:pt idx="85">
                  <c:v>9.5286773165349494</c:v>
                </c:pt>
                <c:pt idx="86">
                  <c:v>10.485656626619644</c:v>
                </c:pt>
                <c:pt idx="87">
                  <c:v>8.7561532223081393</c:v>
                </c:pt>
                <c:pt idx="88">
                  <c:v>9.3023518983044404</c:v>
                </c:pt>
                <c:pt idx="89">
                  <c:v>10.732728541521276</c:v>
                </c:pt>
                <c:pt idx="90">
                  <c:v>10.621829086588331</c:v>
                </c:pt>
                <c:pt idx="91">
                  <c:v>10.850417759001129</c:v>
                </c:pt>
                <c:pt idx="92">
                  <c:v>10.749702947888572</c:v>
                </c:pt>
                <c:pt idx="93">
                  <c:v>11.321551837951006</c:v>
                </c:pt>
                <c:pt idx="94">
                  <c:v>9.9609588653552184</c:v>
                </c:pt>
                <c:pt idx="95">
                  <c:v>10.001320231606336</c:v>
                </c:pt>
                <c:pt idx="96">
                  <c:v>8.4924841100695971</c:v>
                </c:pt>
                <c:pt idx="97">
                  <c:v>7.8289734256238086</c:v>
                </c:pt>
                <c:pt idx="98">
                  <c:v>9.1533543313026868</c:v>
                </c:pt>
                <c:pt idx="99">
                  <c:v>10.050357405556266</c:v>
                </c:pt>
                <c:pt idx="100">
                  <c:v>10.101280624658159</c:v>
                </c:pt>
                <c:pt idx="101">
                  <c:v>9.7674506327681385</c:v>
                </c:pt>
                <c:pt idx="102">
                  <c:v>9.797627355198868</c:v>
                </c:pt>
                <c:pt idx="103">
                  <c:v>8.9907772392070928</c:v>
                </c:pt>
                <c:pt idx="104">
                  <c:v>9.9956620961505713</c:v>
                </c:pt>
                <c:pt idx="105">
                  <c:v>10.599950962826043</c:v>
                </c:pt>
                <c:pt idx="106">
                  <c:v>12.70062805303558</c:v>
                </c:pt>
                <c:pt idx="107">
                  <c:v>12.575017445917647</c:v>
                </c:pt>
                <c:pt idx="108">
                  <c:v>13.218158842722683</c:v>
                </c:pt>
                <c:pt idx="109">
                  <c:v>14.443333773410515</c:v>
                </c:pt>
                <c:pt idx="110">
                  <c:v>14.94238132060881</c:v>
                </c:pt>
                <c:pt idx="111">
                  <c:v>14.837894419192388</c:v>
                </c:pt>
                <c:pt idx="112">
                  <c:v>14.054054054054044</c:v>
                </c:pt>
                <c:pt idx="113">
                  <c:v>13.625544595537619</c:v>
                </c:pt>
                <c:pt idx="114">
                  <c:v>13.911469040568814</c:v>
                </c:pt>
                <c:pt idx="115">
                  <c:v>13.890345334867305</c:v>
                </c:pt>
                <c:pt idx="116">
                  <c:v>15.278851775711487</c:v>
                </c:pt>
                <c:pt idx="117">
                  <c:v>16.332396597574551</c:v>
                </c:pt>
                <c:pt idx="118">
                  <c:v>17.80426623413365</c:v>
                </c:pt>
                <c:pt idx="119">
                  <c:v>17.332754946153408</c:v>
                </c:pt>
                <c:pt idx="120">
                  <c:v>18.201090134097807</c:v>
                </c:pt>
                <c:pt idx="121">
                  <c:v>17.418758605080995</c:v>
                </c:pt>
                <c:pt idx="122">
                  <c:v>14.571962052771536</c:v>
                </c:pt>
                <c:pt idx="123">
                  <c:v>12.504102148205408</c:v>
                </c:pt>
                <c:pt idx="124">
                  <c:v>12.550876067973071</c:v>
                </c:pt>
                <c:pt idx="125">
                  <c:v>16.262612926953459</c:v>
                </c:pt>
                <c:pt idx="126">
                  <c:v>19.723128571698002</c:v>
                </c:pt>
                <c:pt idx="127">
                  <c:v>22.072763621961112</c:v>
                </c:pt>
                <c:pt idx="128">
                  <c:v>21.056939703136489</c:v>
                </c:pt>
                <c:pt idx="129">
                  <c:v>21.74798664680031</c:v>
                </c:pt>
                <c:pt idx="130">
                  <c:v>26.109277456102276</c:v>
                </c:pt>
                <c:pt idx="131">
                  <c:v>25.517813696459889</c:v>
                </c:pt>
                <c:pt idx="132">
                  <c:v>29.167688274457284</c:v>
                </c:pt>
                <c:pt idx="133">
                  <c:v>27.592463363572904</c:v>
                </c:pt>
                <c:pt idx="134">
                  <c:v>24.036136625110814</c:v>
                </c:pt>
                <c:pt idx="135">
                  <c:v>26.331076365968187</c:v>
                </c:pt>
                <c:pt idx="136">
                  <c:v>25.212651590879066</c:v>
                </c:pt>
                <c:pt idx="137">
                  <c:v>26.050810056392738</c:v>
                </c:pt>
                <c:pt idx="138">
                  <c:v>25.127025140981864</c:v>
                </c:pt>
                <c:pt idx="139">
                  <c:v>24.048584523113469</c:v>
                </c:pt>
                <c:pt idx="140">
                  <c:v>22.253446747515127</c:v>
                </c:pt>
                <c:pt idx="141">
                  <c:v>22.248920239150529</c:v>
                </c:pt>
                <c:pt idx="142">
                  <c:v>25.780351181607287</c:v>
                </c:pt>
                <c:pt idx="143">
                  <c:v>29.390618811414338</c:v>
                </c:pt>
                <c:pt idx="144">
                  <c:v>26.938760113917116</c:v>
                </c:pt>
                <c:pt idx="145">
                  <c:v>24.687199411553905</c:v>
                </c:pt>
                <c:pt idx="146">
                  <c:v>25.408045868618089</c:v>
                </c:pt>
                <c:pt idx="147">
                  <c:v>22.015805058373083</c:v>
                </c:pt>
                <c:pt idx="148">
                  <c:v>22.53522189321211</c:v>
                </c:pt>
                <c:pt idx="149">
                  <c:v>19.905320533373573</c:v>
                </c:pt>
                <c:pt idx="150">
                  <c:v>22.248543030120139</c:v>
                </c:pt>
                <c:pt idx="151">
                  <c:v>20.81137662435637</c:v>
                </c:pt>
                <c:pt idx="152">
                  <c:v>21.832858678636757</c:v>
                </c:pt>
                <c:pt idx="153">
                  <c:v>24.106297504762253</c:v>
                </c:pt>
                <c:pt idx="154">
                  <c:v>25.044416363327727</c:v>
                </c:pt>
                <c:pt idx="155">
                  <c:v>24.290375511589744</c:v>
                </c:pt>
                <c:pt idx="156">
                  <c:v>26.644914279247843</c:v>
                </c:pt>
                <c:pt idx="157">
                  <c:v>26.098715603251541</c:v>
                </c:pt>
                <c:pt idx="158">
                  <c:v>24.504630240847945</c:v>
                </c:pt>
                <c:pt idx="159">
                  <c:v>24.092717979668432</c:v>
                </c:pt>
                <c:pt idx="160">
                  <c:v>25.120989796495728</c:v>
                </c:pt>
                <c:pt idx="161">
                  <c:v>24.07913845457459</c:v>
                </c:pt>
                <c:pt idx="162">
                  <c:v>27.504573659493392</c:v>
                </c:pt>
                <c:pt idx="163">
                  <c:v>26.449897210539209</c:v>
                </c:pt>
                <c:pt idx="164">
                  <c:v>27.366137945342395</c:v>
                </c:pt>
                <c:pt idx="165">
                  <c:v>26.52194413534259</c:v>
                </c:pt>
                <c:pt idx="166">
                  <c:v>24.862601610682546</c:v>
                </c:pt>
                <c:pt idx="167">
                  <c:v>25.547613209860231</c:v>
                </c:pt>
                <c:pt idx="168">
                  <c:v>25.34731521472624</c:v>
                </c:pt>
                <c:pt idx="169">
                  <c:v>26.509873446370303</c:v>
                </c:pt>
                <c:pt idx="170">
                  <c:v>27.696195846928575</c:v>
                </c:pt>
                <c:pt idx="171">
                  <c:v>29.482280605797694</c:v>
                </c:pt>
                <c:pt idx="172">
                  <c:v>27.617359159578257</c:v>
                </c:pt>
                <c:pt idx="173">
                  <c:v>27.826332962411104</c:v>
                </c:pt>
                <c:pt idx="174">
                  <c:v>27.085117217706191</c:v>
                </c:pt>
                <c:pt idx="175">
                  <c:v>27.14773391674996</c:v>
                </c:pt>
                <c:pt idx="176">
                  <c:v>27.05267724109315</c:v>
                </c:pt>
                <c:pt idx="177">
                  <c:v>27.077195828068113</c:v>
                </c:pt>
                <c:pt idx="178">
                  <c:v>25.391825880311568</c:v>
                </c:pt>
                <c:pt idx="179">
                  <c:v>25.703400539408918</c:v>
                </c:pt>
                <c:pt idx="180">
                  <c:v>25.537428566039864</c:v>
                </c:pt>
                <c:pt idx="181">
                  <c:v>23.507666773542546</c:v>
                </c:pt>
                <c:pt idx="182">
                  <c:v>24.618170158993593</c:v>
                </c:pt>
                <c:pt idx="183">
                  <c:v>25.958016634918234</c:v>
                </c:pt>
                <c:pt idx="184">
                  <c:v>26.642651025065533</c:v>
                </c:pt>
                <c:pt idx="185">
                  <c:v>25.481224420512618</c:v>
                </c:pt>
                <c:pt idx="186">
                  <c:v>25.8610739141095</c:v>
                </c:pt>
                <c:pt idx="187">
                  <c:v>25.822221383979937</c:v>
                </c:pt>
                <c:pt idx="188">
                  <c:v>24.505384658908724</c:v>
                </c:pt>
                <c:pt idx="189">
                  <c:v>24.99651081646892</c:v>
                </c:pt>
                <c:pt idx="190">
                  <c:v>25.349201259878164</c:v>
                </c:pt>
                <c:pt idx="191">
                  <c:v>26.587955715659817</c:v>
                </c:pt>
                <c:pt idx="192">
                  <c:v>26.131155579864583</c:v>
                </c:pt>
                <c:pt idx="193">
                  <c:v>25.332604062541254</c:v>
                </c:pt>
                <c:pt idx="194">
                  <c:v>26.236019690311373</c:v>
                </c:pt>
                <c:pt idx="195">
                  <c:v>25.948209200128236</c:v>
                </c:pt>
                <c:pt idx="196">
                  <c:v>26.380113539918138</c:v>
                </c:pt>
                <c:pt idx="197">
                  <c:v>28.092642537862346</c:v>
                </c:pt>
                <c:pt idx="198">
                  <c:v>29.4392787763339</c:v>
                </c:pt>
                <c:pt idx="199">
                  <c:v>27.79012089549424</c:v>
                </c:pt>
                <c:pt idx="200">
                  <c:v>27.049659568850082</c:v>
                </c:pt>
                <c:pt idx="201">
                  <c:v>25.88144320175023</c:v>
                </c:pt>
                <c:pt idx="202">
                  <c:v>25.031214047264271</c:v>
                </c:pt>
                <c:pt idx="203">
                  <c:v>25.491409064333006</c:v>
                </c:pt>
                <c:pt idx="204">
                  <c:v>23.545387676580965</c:v>
                </c:pt>
                <c:pt idx="205">
                  <c:v>24.113841685369941</c:v>
                </c:pt>
                <c:pt idx="206">
                  <c:v>26.850870409837601</c:v>
                </c:pt>
                <c:pt idx="207">
                  <c:v>27.246562682710618</c:v>
                </c:pt>
                <c:pt idx="208">
                  <c:v>27.544557816714121</c:v>
                </c:pt>
                <c:pt idx="209">
                  <c:v>27.083231172554267</c:v>
                </c:pt>
                <c:pt idx="210">
                  <c:v>28.149601101450351</c:v>
                </c:pt>
                <c:pt idx="211">
                  <c:v>28.205050828916846</c:v>
                </c:pt>
                <c:pt idx="212">
                  <c:v>26.170008109994146</c:v>
                </c:pt>
                <c:pt idx="213">
                  <c:v>26.221685747156776</c:v>
                </c:pt>
                <c:pt idx="214">
                  <c:v>26.543445050074489</c:v>
                </c:pt>
                <c:pt idx="215">
                  <c:v>25.855792987684122</c:v>
                </c:pt>
                <c:pt idx="216">
                  <c:v>25.813922785311473</c:v>
                </c:pt>
                <c:pt idx="217">
                  <c:v>25.631353614605533</c:v>
                </c:pt>
                <c:pt idx="218">
                  <c:v>25.062145187755782</c:v>
                </c:pt>
                <c:pt idx="219">
                  <c:v>26.256011768921738</c:v>
                </c:pt>
                <c:pt idx="220">
                  <c:v>25.942928273702858</c:v>
                </c:pt>
                <c:pt idx="221">
                  <c:v>27.199034344882222</c:v>
                </c:pt>
                <c:pt idx="222">
                  <c:v>26.99835914071782</c:v>
                </c:pt>
                <c:pt idx="223">
                  <c:v>27.982497500990178</c:v>
                </c:pt>
                <c:pt idx="224">
                  <c:v>28.153750400784581</c:v>
                </c:pt>
                <c:pt idx="225">
                  <c:v>28.899869862884508</c:v>
                </c:pt>
                <c:pt idx="226">
                  <c:v>30.061673676467816</c:v>
                </c:pt>
                <c:pt idx="227">
                  <c:v>31.135587785971587</c:v>
                </c:pt>
                <c:pt idx="228">
                  <c:v>33.295486693951439</c:v>
                </c:pt>
                <c:pt idx="229">
                  <c:v>34.264913902038806</c:v>
                </c:pt>
                <c:pt idx="230">
                  <c:v>33.764734727749371</c:v>
                </c:pt>
                <c:pt idx="231">
                  <c:v>35.297712227230704</c:v>
                </c:pt>
                <c:pt idx="232">
                  <c:v>37.1471681032044</c:v>
                </c:pt>
                <c:pt idx="233">
                  <c:v>36.794100450764788</c:v>
                </c:pt>
                <c:pt idx="234">
                  <c:v>37.332000528092621</c:v>
                </c:pt>
                <c:pt idx="235">
                  <c:v>37.081156522887149</c:v>
                </c:pt>
                <c:pt idx="236">
                  <c:v>37.422153486354446</c:v>
                </c:pt>
                <c:pt idx="237">
                  <c:v>38.780105995737536</c:v>
                </c:pt>
                <c:pt idx="238">
                  <c:v>39.182588031157465</c:v>
                </c:pt>
                <c:pt idx="239">
                  <c:v>38.06001395673411</c:v>
                </c:pt>
                <c:pt idx="240">
                  <c:v>37.468550197091723</c:v>
                </c:pt>
                <c:pt idx="241">
                  <c:v>39.000773278512277</c:v>
                </c:pt>
                <c:pt idx="242">
                  <c:v>41.320231606344635</c:v>
                </c:pt>
                <c:pt idx="243">
                  <c:v>41.988646008185441</c:v>
                </c:pt>
                <c:pt idx="244">
                  <c:v>40.93623281341354</c:v>
                </c:pt>
                <c:pt idx="245">
                  <c:v>41.429622225156052</c:v>
                </c:pt>
                <c:pt idx="246">
                  <c:v>41.839648441183662</c:v>
                </c:pt>
                <c:pt idx="247">
                  <c:v>44.619301786084755</c:v>
                </c:pt>
                <c:pt idx="248">
                  <c:v>45.546481582769083</c:v>
                </c:pt>
                <c:pt idx="249">
                  <c:v>45.821466965919157</c:v>
                </c:pt>
                <c:pt idx="250">
                  <c:v>45.471794194753024</c:v>
                </c:pt>
                <c:pt idx="251">
                  <c:v>46.61473755681709</c:v>
                </c:pt>
                <c:pt idx="252">
                  <c:v>49.415891816450078</c:v>
                </c:pt>
                <c:pt idx="253">
                  <c:v>50.273287942513335</c:v>
                </c:pt>
                <c:pt idx="254">
                  <c:v>52.350955281869439</c:v>
                </c:pt>
                <c:pt idx="255">
                  <c:v>49.989249542634042</c:v>
                </c:pt>
                <c:pt idx="256">
                  <c:v>51.57390467927803</c:v>
                </c:pt>
              </c:numCache>
            </c:numRef>
          </c:val>
          <c:smooth val="0"/>
          <c:extLst>
            <c:ext xmlns:c16="http://schemas.microsoft.com/office/drawing/2014/chart" uri="{C3380CC4-5D6E-409C-BE32-E72D297353CC}">
              <c16:uniqueId val="{00000001-B157-4F44-8912-482BCBFF03F6}"/>
            </c:ext>
          </c:extLst>
        </c:ser>
        <c:dLbls>
          <c:showLegendKey val="0"/>
          <c:showVal val="0"/>
          <c:showCatName val="0"/>
          <c:showSerName val="0"/>
          <c:showPercent val="0"/>
          <c:showBubbleSize val="0"/>
        </c:dLbls>
        <c:smooth val="0"/>
        <c:axId val="71202416"/>
        <c:axId val="71199536"/>
      </c:lineChart>
      <c:dateAx>
        <c:axId val="71202416"/>
        <c:scaling>
          <c:orientation val="minMax"/>
        </c:scaling>
        <c:delete val="0"/>
        <c:axPos val="b"/>
        <c:numFmt formatCode="General" sourceLinked="1"/>
        <c:majorTickMark val="none"/>
        <c:minorTickMark val="none"/>
        <c:tickLblPos val="nextTo"/>
        <c:spPr>
          <a:noFill/>
          <a:ln w="9525" cap="flat" cmpd="sng" algn="ctr">
            <a:solidFill>
              <a:schemeClr val="bg1"/>
            </a:solidFill>
            <a:round/>
          </a:ln>
          <a:effectLst>
            <a:glow rad="12700">
              <a:schemeClr val="accent1">
                <a:alpha val="40000"/>
              </a:schemeClr>
            </a:glow>
          </a:effectLst>
        </c:spPr>
        <c:txPr>
          <a:bodyPr rot="-5400000" spcFirstLastPara="1" vertOverflow="ellipsis" wrap="square" anchor="t"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71199536"/>
        <c:crosses val="autoZero"/>
        <c:auto val="0"/>
        <c:lblOffset val="1000"/>
        <c:baseTimeUnit val="days"/>
        <c:majorUnit val="10"/>
      </c:dateAx>
      <c:valAx>
        <c:axId val="71199536"/>
        <c:scaling>
          <c:orientation val="minMax"/>
          <c:min val="-20"/>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71202416"/>
        <c:crosses val="autoZero"/>
        <c:crossBetween val="between"/>
      </c:valAx>
      <c:spPr>
        <a:noFill/>
        <a:ln>
          <a:noFill/>
        </a:ln>
        <a:effectLst>
          <a:outerShdw blurRad="50800" dist="50800" dir="5400000" sx="1000" sy="1000" algn="ctr" rotWithShape="0">
            <a:srgbClr val="000000">
              <a:alpha val="43137"/>
            </a:srgbClr>
          </a:outerShdw>
          <a:softEdge rad="50800"/>
        </a:effectLst>
      </c:spPr>
    </c:plotArea>
    <c:legend>
      <c:legendPos val="b"/>
      <c:layout>
        <c:manualLayout>
          <c:xMode val="edge"/>
          <c:yMode val="edge"/>
          <c:x val="0"/>
          <c:y val="0.89688497463033345"/>
          <c:w val="1"/>
          <c:h val="0.10117746073107768"/>
        </c:manualLayout>
      </c:layout>
      <c:overlay val="0"/>
      <c:spPr>
        <a:noFill/>
        <a:ln>
          <a:noFill/>
        </a:ln>
        <a:effectLst/>
      </c:spPr>
      <c:txPr>
        <a:bodyPr rot="0" spcFirstLastPara="1" vertOverflow="ellipsis" vert="horz" wrap="square" anchor="ctr" anchorCtr="1"/>
        <a:lstStyle/>
        <a:p>
          <a:pPr>
            <a:defRPr sz="1050" b="0"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18490</TotalTime>
  <Pages>15</Pages>
  <Words>12047</Words>
  <Characters>12169</Characters>
  <Application>Microsoft Office Word</Application>
  <DocSecurity>0</DocSecurity>
  <Lines>553</Lines>
  <Paragraphs>291</Paragraphs>
  <ScaleCrop>false</ScaleCrop>
  <Company/>
  <LinksUpToDate>false</LinksUpToDate>
  <CharactersWithSpaces>23925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子睿 黄</dc:creator>
  <cp:keywords/>
  <dc:description/>
  <cp:lastModifiedBy>子睿 黄</cp:lastModifiedBy>
  <cp:revision>50</cp:revision>
  <dcterms:created xsi:type="dcterms:W3CDTF">2025-10-12T14:43:00Z</dcterms:created>
  <dcterms:modified xsi:type="dcterms:W3CDTF">2026-03-15T21:04:00Z</dcterms:modified>
</cp:coreProperties>
</file>