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Wichtige Lektionen f��r die allgemeine Ummah in der ��Aq��dah</w:t>
      </w:r>
    </w:p>
    <w:p>
      <w:pPr>
        <w:pStyle w:val="Author"/>
      </w:pPr>
      <w:r>
        <w:t xml:space="preserve">��aykh A���mad ibn Mu���ammad ibn a���-�����diq an-Na������r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دروس-مهمة-لعامة-الأمة-في-العقيدة"/>
    <w:p>
      <w:pPr>
        <w:pStyle w:val="Heading1"/>
      </w:pPr>
      <w:r>
        <w:t xml:space="preserve">دروس مهمة لعامة الأمة في العقيدة</w:t>
      </w:r>
    </w:p>
    <w:bookmarkEnd w:id="20"/>
    <w:bookmarkStart w:id="78" w:name="X0b430909c116ca7f0285db9486e0bc6c23819a0"/>
    <w:p>
      <w:pPr>
        <w:pStyle w:val="Heading1"/>
      </w:pPr>
      <w:r>
        <w:t xml:space="preserve">Wichtige Lektionen für die allgemeine Ummah in der ʿAqīdah</w:t>
      </w:r>
    </w:p>
    <w:p>
      <w:pPr>
        <w:pStyle w:val="FirstParagraph"/>
      </w:pPr>
      <w:r>
        <w:rPr>
          <w:bCs/>
          <w:b/>
        </w:rPr>
        <w:t xml:space="preserve">Verfasser:</w:t>
      </w:r>
      <w:r>
        <w:t xml:space="preserve"> </w:t>
      </w:r>
      <w:r>
        <w:t xml:space="preserve">Aḥmad ibn Muḥammad ibn aṣ-Ṣādiq an-Naǧǧār</w:t>
      </w:r>
      <w:r>
        <w:br/>
      </w:r>
      <w:r>
        <w:rPr>
          <w:bCs/>
          <w:b/>
        </w:rPr>
        <w:t xml:space="preserve">Übersetzung:</w:t>
      </w:r>
      <w:r>
        <w:t xml:space="preserve"> </w:t>
      </w:r>
      <w:r>
        <w:t xml:space="preserve">Aus dem Arabischen ins Deutsche</w:t>
      </w:r>
      <w:r>
        <w:br/>
      </w:r>
      <w:r>
        <w:rPr>
          <w:bCs/>
          <w:b/>
        </w:rPr>
        <w:t xml:space="preserve">Übersetzungssprache:</w:t>
      </w:r>
      <w:r>
        <w:t xml:space="preserve"> </w:t>
      </w:r>
      <w:r>
        <w:t xml:space="preserve">Islamisch-akademisches Deutsch</w:t>
      </w:r>
    </w:p>
    <w:p>
      <w:r>
        <w:pict>
          <v:rect style="width:0;height:1.5pt" o:hralign="center" o:hrstd="t" o:hr="t"/>
        </w:pict>
      </w:r>
    </w:p>
    <w:bookmarkStart w:id="22" w:name="über-den-autor"/>
    <w:p>
      <w:pPr>
        <w:pStyle w:val="Heading2"/>
      </w:pPr>
      <w:r>
        <w:t xml:space="preserve">Über den Autor</w:t>
      </w:r>
    </w:p>
    <w:bookmarkStart w:id="21" w:name="šaykh-aḥmad-an-naǧǧār"/>
    <w:p>
      <w:pPr>
        <w:pStyle w:val="Heading3"/>
      </w:pPr>
      <w:r>
        <w:t xml:space="preserve">Šaykh Aḥmad an-Naǧǧār</w:t>
      </w:r>
    </w:p>
    <w:p>
      <w:pPr>
        <w:pStyle w:val="FirstParagraph"/>
      </w:pPr>
      <w:r>
        <w:rPr>
          <w:bCs/>
          <w:b/>
        </w:rPr>
        <w:t xml:space="preserve">Name:</w:t>
      </w:r>
      <w:r>
        <w:br/>
      </w:r>
      <w:r>
        <w:t xml:space="preserve">Abū Asmā Aḥmad ibn Muḥammad ibn aṣ-Ṣādiq an-Naǧǧār</w:t>
      </w:r>
    </w:p>
    <w:p>
      <w:pPr>
        <w:pStyle w:val="BodyText"/>
      </w:pPr>
      <w:r>
        <w:rPr>
          <w:bCs/>
          <w:b/>
        </w:rPr>
        <w:t xml:space="preserve">Geburt:</w:t>
      </w:r>
      <w:r>
        <w:br/>
      </w:r>
      <w:r>
        <w:t xml:space="preserve">In Tripolis, der Hauptstadt Libyens – 1400 n. H. (entsprechend dem 1. September 1980 n. Chr.)</w:t>
      </w:r>
    </w:p>
    <w:p>
      <w:pPr>
        <w:pStyle w:val="BodyText"/>
      </w:pPr>
      <w:r>
        <w:rPr>
          <w:bCs/>
          <w:b/>
        </w:rPr>
        <w:t xml:space="preserve">Akademische Qualifikationen:</w:t>
      </w:r>
    </w:p>
    <w:p>
      <w:pPr>
        <w:pStyle w:val="BodyText"/>
      </w:pPr>
      <w:r>
        <w:t xml:space="preserve">Der Šaykh erwarb seinen Bachelor-Abschluss an der Islamischen Universität von Madīnah, Fakultät für Ḥadīṯ und Islamische Studien, im Jahre 1425–1426 n. H. (entsprechend 2004–2005 n. Chr.) mit Auszeichnung und höchster Note (first-class honors). Anschließend erwarb er seinen Master-Abschluss an der Islamischen Universität von Madīnah, Fakultät für Daʿwah und Grundlagen der Religion, am 6.3.1431 n. H. (entsprechend dem 20.2.2010 n. Chr.) – mit Auszeichnung, höchster Note und einer Empfehlung zur Veröffentlichung der Abschlussarbeit. Auch seinen Doktortitel (Ph.D.) erlangte er an der Islamischen Universität von Madīnah, Fakultät für Daʿwah und Grundlagen der Religion. Die Dissertation wurde am 2.12.1436 n. H. verteidigt – mit Auszeichnung, höchster Note und einer Empfehlung zur Veröffentlichung.</w:t>
      </w:r>
    </w:p>
    <w:p>
      <w:pPr>
        <w:pStyle w:val="BodyText"/>
      </w:pPr>
      <w:r>
        <w:rPr>
          <w:bCs/>
          <w:b/>
        </w:rPr>
        <w:t xml:space="preserve">Veröffentlichte Werke:</w:t>
      </w:r>
    </w:p>
    <w:p>
      <w:pPr>
        <w:pStyle w:val="BodyText"/>
      </w:pPr>
      <w:r>
        <w:t xml:space="preserve">Trotz seines jungen Alters hat Šaykh Aḥmad an-Naǧǧār zahlreiche Bücher und Abhandlungen verfasst. Diese Werke umfassen Bücher zur allgemeinen ʿAqīdah (wie das vorliegende Buch), Bücher zur detaillierten ʿAqīdah, Bücher zur Verteidigung des Weges (Manhaǧ) der Salaf sowie Bücher zu Uṣūl al-Fiqh.</w:t>
      </w:r>
    </w:p>
    <w:p>
      <w:pPr>
        <w:pStyle w:val="BodyText"/>
      </w:pPr>
      <w:r>
        <w:rPr>
          <w:iCs/>
          <w:i/>
        </w:rPr>
        <w:t xml:space="preserve">1. Allgemeine Glaubenslehre (ʿAqīdah):</w:t>
      </w:r>
    </w:p>
    <w:p>
      <w:pPr>
        <w:numPr>
          <w:ilvl w:val="0"/>
          <w:numId w:val="1001"/>
        </w:numPr>
        <w:pStyle w:val="Compact"/>
      </w:pPr>
      <w:r>
        <w:t xml:space="preserve">Wichtige Lektionen für die allgemeine Ummah in der ʿAqīdah (dieses Buch)</w:t>
      </w:r>
    </w:p>
    <w:p>
      <w:pPr>
        <w:numPr>
          <w:ilvl w:val="0"/>
          <w:numId w:val="1001"/>
        </w:numPr>
        <w:pStyle w:val="Compact"/>
      </w:pPr>
      <w:r>
        <w:t xml:space="preserve">Grundregeln im Bereich der ʿAqīdah (Qawāʿid Bāb al-Iʿtiqād)</w:t>
      </w:r>
    </w:p>
    <w:p>
      <w:pPr>
        <w:pStyle w:val="FirstParagraph"/>
      </w:pPr>
      <w:r>
        <w:rPr>
          <w:iCs/>
          <w:i/>
        </w:rPr>
        <w:t xml:space="preserve">2. Glaube an Allah (al-Īmān billāh):</w:t>
      </w:r>
    </w:p>
    <w:p>
      <w:pPr>
        <w:numPr>
          <w:ilvl w:val="0"/>
          <w:numId w:val="1002"/>
        </w:numPr>
        <w:pStyle w:val="Compact"/>
      </w:pPr>
      <w:r>
        <w:t xml:space="preserve">Klärung der Regeln (Aḥkām) bezüglich des Besuchs von Gräbern und Schreinen</w:t>
      </w:r>
    </w:p>
    <w:p>
      <w:pPr>
        <w:numPr>
          <w:ilvl w:val="0"/>
          <w:numId w:val="1002"/>
        </w:numPr>
        <w:pStyle w:val="Compact"/>
      </w:pPr>
      <w:r>
        <w:t xml:space="preserve">Das Urteil über das Gebet auf dem Friedhof ohne die Absicht der Verehrung</w:t>
      </w:r>
    </w:p>
    <w:p>
      <w:pPr>
        <w:numPr>
          <w:ilvl w:val="0"/>
          <w:numId w:val="1002"/>
        </w:numPr>
        <w:pStyle w:val="Compact"/>
      </w:pPr>
      <w:r>
        <w:t xml:space="preserve">Wichtige Fragen und Antworten zum kleinen Širk (Širk al-Aṣghar)</w:t>
      </w:r>
    </w:p>
    <w:p>
      <w:pPr>
        <w:numPr>
          <w:ilvl w:val="0"/>
          <w:numId w:val="1002"/>
        </w:numPr>
        <w:pStyle w:val="Compact"/>
      </w:pPr>
      <w:r>
        <w:t xml:space="preserve">Die salafitischen Regeln und Maßstäbe bei den Namen und Eigenschaften des Herrn der Geschöpfe</w:t>
      </w:r>
    </w:p>
    <w:p>
      <w:pPr>
        <w:numPr>
          <w:ilvl w:val="0"/>
          <w:numId w:val="1002"/>
        </w:numPr>
        <w:pStyle w:val="Compact"/>
      </w:pPr>
      <w:r>
        <w:t xml:space="preserve">Die Übereinstimmung Ibn Taymiyyahs mit den Imāmen der Salaf bei der Festlegung der Regeln und Maßstäbe im Bereich der Namen und Eigenschaften</w:t>
      </w:r>
    </w:p>
    <w:p>
      <w:pPr>
        <w:numPr>
          <w:ilvl w:val="0"/>
          <w:numId w:val="1002"/>
        </w:numPr>
        <w:pStyle w:val="Compact"/>
      </w:pPr>
      <w:r>
        <w:t xml:space="preserve">Erläuterung der Regeln der Namen und Eigenschaften (Qawāʿid al-Asmāʾ waṣ-Ṣifāt)</w:t>
      </w:r>
    </w:p>
    <w:p>
      <w:pPr>
        <w:numPr>
          <w:ilvl w:val="0"/>
          <w:numId w:val="1002"/>
        </w:numPr>
        <w:pStyle w:val="Compact"/>
      </w:pPr>
      <w:r>
        <w:t xml:space="preserve">Erläuterung der Maßstäbe der Eigenschaften (Ḍawābiṭ aṣ-Ṣifāt)</w:t>
      </w:r>
    </w:p>
    <w:p>
      <w:pPr>
        <w:numPr>
          <w:ilvl w:val="0"/>
          <w:numId w:val="1002"/>
        </w:numPr>
        <w:pStyle w:val="Compact"/>
      </w:pPr>
      <w:r>
        <w:t xml:space="preserve">Die Klärung der Bedeutung von „aṣ-Ṣūrah" im Ausspruch des Propheten ﷺ: „Allah erschuf Ādam nach Seiner Gestalt"</w:t>
      </w:r>
    </w:p>
    <w:p>
      <w:pPr>
        <w:numPr>
          <w:ilvl w:val="0"/>
          <w:numId w:val="1002"/>
        </w:numPr>
        <w:pStyle w:val="Compact"/>
      </w:pPr>
      <w:r>
        <w:t xml:space="preserve">Die Auswirkung des Glaubens an die Eigenschaften Allahs auf das Verhalten des Dieners</w:t>
      </w:r>
    </w:p>
    <w:p>
      <w:pPr>
        <w:pStyle w:val="FirstParagraph"/>
      </w:pPr>
      <w:r>
        <w:rPr>
          <w:iCs/>
          <w:i/>
        </w:rPr>
        <w:t xml:space="preserve">3. Die übrigen Säulen des Īmān:</w:t>
      </w:r>
    </w:p>
    <w:p>
      <w:pPr>
        <w:numPr>
          <w:ilvl w:val="0"/>
          <w:numId w:val="1003"/>
        </w:numPr>
        <w:pStyle w:val="Compact"/>
      </w:pPr>
      <w:r>
        <w:t xml:space="preserve">Die Wirklichkeit der Engel (Ḥaqīqat al-Malāʾikah)</w:t>
      </w:r>
    </w:p>
    <w:p>
      <w:pPr>
        <w:numPr>
          <w:ilvl w:val="0"/>
          <w:numId w:val="1003"/>
        </w:numPr>
        <w:pStyle w:val="Compact"/>
      </w:pPr>
      <w:r>
        <w:t xml:space="preserve">Der Glaube an die Bücher zwischen der Bejahung der Salaf und der Verneinung der Ahl al-Kalām</w:t>
      </w:r>
    </w:p>
    <w:p>
      <w:pPr>
        <w:numPr>
          <w:ilvl w:val="0"/>
          <w:numId w:val="1003"/>
        </w:numPr>
        <w:pStyle w:val="Compact"/>
      </w:pPr>
      <w:r>
        <w:t xml:space="preserve">Die glaubensbezogenen Untersuchungen zum Glauben an die Gesandten</w:t>
      </w:r>
    </w:p>
    <w:p>
      <w:pPr>
        <w:numPr>
          <w:ilvl w:val="0"/>
          <w:numId w:val="1003"/>
        </w:numPr>
        <w:pStyle w:val="Compact"/>
      </w:pPr>
      <w:r>
        <w:t xml:space="preserve">Der Glaube an das, was nach dem Tod kommt (Fragen und Belege)</w:t>
      </w:r>
    </w:p>
    <w:p>
      <w:pPr>
        <w:numPr>
          <w:ilvl w:val="0"/>
          <w:numId w:val="1003"/>
        </w:numPr>
        <w:pStyle w:val="Compact"/>
      </w:pPr>
      <w:r>
        <w:t xml:space="preserve">Die Grundregeln der Ahl al-Aṯar im Glauben an den Qadar</w:t>
      </w:r>
    </w:p>
    <w:p>
      <w:pPr>
        <w:pStyle w:val="FirstParagraph"/>
      </w:pPr>
      <w:r>
        <w:rPr>
          <w:iCs/>
          <w:i/>
        </w:rPr>
        <w:t xml:space="preserve">4. Verteidigung des Weges der Salaf und Erläuterung ihrer Schriften:</w:t>
      </w:r>
    </w:p>
    <w:p>
      <w:pPr>
        <w:numPr>
          <w:ilvl w:val="0"/>
          <w:numId w:val="1004"/>
        </w:numPr>
        <w:pStyle w:val="Compact"/>
      </w:pPr>
      <w:r>
        <w:t xml:space="preserve">Faṣl al-Maqāl über die Pflicht der Nachfolge der ehrwürdigen Salaf</w:t>
      </w:r>
    </w:p>
    <w:p>
      <w:pPr>
        <w:numPr>
          <w:ilvl w:val="0"/>
          <w:numId w:val="1004"/>
        </w:numPr>
        <w:pStyle w:val="Compact"/>
      </w:pPr>
      <w:r>
        <w:t xml:space="preserve">Das Urteil über das gemeinschaftliche Dhikr bei den Imāmen der Salaf</w:t>
      </w:r>
    </w:p>
    <w:p>
      <w:pPr>
        <w:numPr>
          <w:ilvl w:val="0"/>
          <w:numId w:val="1004"/>
        </w:numPr>
        <w:pStyle w:val="Compact"/>
      </w:pPr>
      <w:r>
        <w:t xml:space="preserve">Aufklärung der Nachfolgenden (Khalaf) über die Maßstäbe der Grundlagen, von denen diejenigen abwichen, die den Weg der Salaf verließen</w:t>
      </w:r>
    </w:p>
    <w:p>
      <w:pPr>
        <w:numPr>
          <w:ilvl w:val="0"/>
          <w:numId w:val="1004"/>
        </w:numPr>
        <w:pStyle w:val="Compact"/>
      </w:pPr>
      <w:r>
        <w:t xml:space="preserve">Aufklärung der Vernünftigen über die wahre Lehre der Ašāʿirah bei der Beweisführung mit dem Wort Allahs und Seines Gesandten ﷺ</w:t>
      </w:r>
    </w:p>
    <w:p>
      <w:pPr>
        <w:numPr>
          <w:ilvl w:val="0"/>
          <w:numId w:val="1004"/>
        </w:numPr>
        <w:pStyle w:val="Compact"/>
      </w:pPr>
      <w:r>
        <w:t xml:space="preserve">Die Lossprechung der Imāme der Salaf vom Tafwīḍ (dem Unbestimmtlassen) bei den Eigenschaften Allahs</w:t>
      </w:r>
    </w:p>
    <w:p>
      <w:pPr>
        <w:numPr>
          <w:ilvl w:val="0"/>
          <w:numId w:val="1004"/>
        </w:numPr>
        <w:pStyle w:val="Compact"/>
      </w:pPr>
      <w:r>
        <w:t xml:space="preserve">Die sunnitischen Antworten auf die Erfindungen des Ašʿariten Saʿīd Fawdah in seiner Kritik an „at-Tadmuriyyah"</w:t>
      </w:r>
    </w:p>
    <w:p>
      <w:pPr>
        <w:numPr>
          <w:ilvl w:val="0"/>
          <w:numId w:val="1004"/>
        </w:numPr>
        <w:pStyle w:val="Compact"/>
      </w:pPr>
      <w:r>
        <w:t xml:space="preserve">Erläuterung der Einleitung zur Glaubenslehre von Ibn Abī Zayd al-Qayrawānī</w:t>
      </w:r>
    </w:p>
    <w:p>
      <w:pPr>
        <w:numPr>
          <w:ilvl w:val="0"/>
          <w:numId w:val="1004"/>
        </w:numPr>
        <w:pStyle w:val="Compact"/>
      </w:pPr>
      <w:r>
        <w:t xml:space="preserve">Die sunnitischen Anmerkungen zur Glaubenseinleitung von Ibn ʿĀšir (zugleich ein Kommentar zur kleinen sanūsitischen ʿAqīdah „Umm al-Barāhīn")</w:t>
      </w:r>
    </w:p>
    <w:p>
      <w:pPr>
        <w:pStyle w:val="FirstParagraph"/>
      </w:pPr>
      <w:r>
        <w:rPr>
          <w:iCs/>
          <w:i/>
        </w:rPr>
        <w:t xml:space="preserve">5. Uṣūl al-Fiqh (Grundlagen der islamischen Rechtswissenschaft):</w:t>
      </w:r>
    </w:p>
    <w:p>
      <w:pPr>
        <w:numPr>
          <w:ilvl w:val="0"/>
          <w:numId w:val="1005"/>
        </w:numPr>
        <w:pStyle w:val="Compact"/>
      </w:pPr>
      <w:r>
        <w:t xml:space="preserve">Lektionen in Uṣūl al-Fiqh für Anfänger</w:t>
      </w:r>
    </w:p>
    <w:p>
      <w:pPr>
        <w:numPr>
          <w:ilvl w:val="0"/>
          <w:numId w:val="1005"/>
        </w:numPr>
        <w:pStyle w:val="Compact"/>
      </w:pPr>
      <w:r>
        <w:t xml:space="preserve">Ein Grundtext in Uṣūl al-Fiqh nach der Glaubensüberzeugung der Imāme der Salaf</w:t>
      </w:r>
    </w:p>
    <w:p>
      <w:pPr>
        <w:numPr>
          <w:ilvl w:val="0"/>
          <w:numId w:val="1005"/>
        </w:numPr>
        <w:pStyle w:val="Compact"/>
      </w:pPr>
      <w:r>
        <w:t xml:space="preserve">Die uṣūlitischen Regeln, auf denen ein praktischer Ertrag aufbaut</w:t>
      </w:r>
    </w:p>
    <w:p>
      <w:pPr>
        <w:numPr>
          <w:ilvl w:val="0"/>
          <w:numId w:val="1005"/>
        </w:numPr>
        <w:pStyle w:val="Compact"/>
      </w:pPr>
      <w:r>
        <w:t xml:space="preserve">Erläuterung von „al-Waraqāt" in Uṣūl al-Fiqh (mit Hinweisen auf die kalām-theologischen Fragen)</w:t>
      </w:r>
    </w:p>
    <w:p>
      <w:pPr>
        <w:numPr>
          <w:ilvl w:val="0"/>
          <w:numId w:val="1005"/>
        </w:numPr>
        <w:pStyle w:val="Compact"/>
      </w:pPr>
      <w:r>
        <w:t xml:space="preserve">Erläuterung von „Minhāǧ al-Wuṣūl ilā ʿIlm al-Uṣūl" von al-Bayḍāwī (mit Hinweisen auf die kalām-theologischen Fragen)</w:t>
      </w:r>
    </w:p>
    <w:p>
      <w:pPr>
        <w:pStyle w:val="FirstParagraph"/>
      </w:pPr>
      <w:r>
        <w:rPr>
          <w:iCs/>
          <w:i/>
        </w:rPr>
        <w:t xml:space="preserve">6. Arabische Sprache:</w:t>
      </w:r>
    </w:p>
    <w:p>
      <w:pPr>
        <w:numPr>
          <w:ilvl w:val="0"/>
          <w:numId w:val="1006"/>
        </w:numPr>
        <w:pStyle w:val="Compact"/>
      </w:pPr>
      <w:r>
        <w:t xml:space="preserve">Die figurative Sprache (al-Maǧāz) im Arabischen (eine gedanklich-imaginäre Frage)</w:t>
      </w:r>
    </w:p>
    <w:p>
      <w:pPr>
        <w:pStyle w:val="BlockText"/>
      </w:pPr>
      <w:r>
        <w:rPr>
          <w:iCs/>
          <w:i/>
        </w:rPr>
        <w:t xml:space="preserve">اللَّهُمَّ اجْعَلْ ذَلِكَ خَالِصًا لِوَجْهِكَ الْكَرِيمِ وَانْفَعْ بِهِ الْمُسْلِمِينَ</w:t>
      </w:r>
    </w:p>
    <w:p>
      <w:pPr>
        <w:pStyle w:val="BlockText"/>
      </w:pPr>
      <w:r>
        <w:t xml:space="preserve">„O Allah, mache dies aufrichtig für Dein edles Antlitz und lass die Muslime davon profitieren."</w:t>
      </w:r>
    </w:p>
    <w:p>
      <w:pPr>
        <w:pStyle w:val="FirstParagraph"/>
      </w:pPr>
      <w:r>
        <w:rPr>
          <w:bCs/>
          <w:b/>
        </w:rPr>
        <w:t xml:space="preserve">Akademische Tätigkeiten:</w:t>
      </w:r>
    </w:p>
    <w:p>
      <w:pPr>
        <w:numPr>
          <w:ilvl w:val="0"/>
          <w:numId w:val="1007"/>
        </w:numPr>
        <w:pStyle w:val="Compact"/>
      </w:pPr>
      <w:r>
        <w:t xml:space="preserve">Der Šaykh lehrte an der Islamischen Universität von Madīnah neun akademische Semester lang, von 1430/1431 n. H. bis 1434/1435 n. H.</w:t>
      </w:r>
    </w:p>
    <w:p>
      <w:pPr>
        <w:numPr>
          <w:ilvl w:val="0"/>
          <w:numId w:val="1007"/>
        </w:numPr>
        <w:pStyle w:val="Compact"/>
      </w:pPr>
      <w:r>
        <w:t xml:space="preserve">Neben dem Erhalt eines Zertifikats für Lehrerfahrung von der Fakultät für Daʿwah und Grundlagen der Religion der Islamischen Universität von Madīnah nahm er an verschiedenen Programmen der Saudischen Vereinigung für Glaubenslehre, Religionen, Sekten und Denkschulen teil.</w:t>
      </w:r>
    </w:p>
    <w:p>
      <w:pPr>
        <w:numPr>
          <w:ilvl w:val="0"/>
          <w:numId w:val="1007"/>
        </w:numPr>
        <w:pStyle w:val="Compact"/>
      </w:pPr>
      <w:r>
        <w:t xml:space="preserve">Der Šaykh nahm an einem WhatsApp-gestützten Programm zur Erläuterung der Grundlagen des Glaubenskapitels teil und beteiligte sich am Programm „Fragen der Glaubenslehre", das im Radiosender des Heiligen Qurʾān in Riyāḍ ausgestrahlt wurde.</w:t>
      </w:r>
    </w:p>
    <w:p>
      <w:pPr>
        <w:pStyle w:val="FirstParagraph"/>
      </w:pPr>
      <w:r>
        <w:rPr>
          <w:bCs/>
          <w:b/>
        </w:rPr>
        <w:t xml:space="preserve">Verwaltungstätigkeit:</w:t>
      </w:r>
    </w:p>
    <w:p>
      <w:pPr>
        <w:pStyle w:val="BodyText"/>
      </w:pPr>
      <w:r>
        <w:t xml:space="preserve">Der Šaykh war im Jahre 1427 n. H. als Sekretär der Saudischen Vereinigung für Glaubenslehre, Religionen, Sekten und Denkschulen tätig.</w:t>
      </w:r>
    </w:p>
    <w:p>
      <w:pPr>
        <w:pStyle w:val="BodyText"/>
      </w:pPr>
      <w:r>
        <w:rPr>
          <w:bCs/>
          <w:b/>
        </w:rPr>
        <w:t xml:space="preserve">Lob der Gelehrten über ihn:</w:t>
      </w:r>
    </w:p>
    <w:p>
      <w:pPr>
        <w:pStyle w:val="BodyText"/>
      </w:pPr>
      <w:r>
        <w:t xml:space="preserve">Der Muftī von Madīnah, Šaykh Ṣāliḥ as-Suhaymī, sagte über den Šaykh:</w:t>
      </w:r>
    </w:p>
    <w:p>
      <w:pPr>
        <w:pStyle w:val="BlockText"/>
      </w:pPr>
      <w:r>
        <w:t xml:space="preserve">„Wahrlich, unser Bruder, Šaykh Aḥmad ibn Muḥammad an-Naǧǧār, der derzeit seine Doktorarbeit (Ph.D.) an der Islamischen Universität von Madīnah im Fachbereich ʿAqīdah verfasst, ist einer der besten Studenten des Wissens, die ich kenne – ein Verifizierer (muḥaqqiq) mit gesundem und korrektem Manhaǧ … Allah ist mein Zeuge, dass ich ihn um Allahs willen liebe …"</w:t>
      </w:r>
    </w:p>
    <w:p>
      <w:pPr>
        <w:pStyle w:val="BlockText"/>
      </w:pPr>
      <w:r>
        <w:t xml:space="preserve">[Quelle: youtu.be/oo09d8yHcL8 – Zeitangabe: 4bWgg3d5jve.3CP]</w:t>
      </w:r>
    </w:p>
    <w:p>
      <w:r>
        <w:pict>
          <v:rect style="width:0;height:1.5pt" o:hralign="center" o:hrstd="t" o:hr="t"/>
        </w:pict>
      </w:r>
    </w:p>
    <w:bookmarkEnd w:id="21"/>
    <w:bookmarkEnd w:id="22"/>
    <w:bookmarkStart w:id="23" w:name="inhaltsverzeichnis"/>
    <w:p>
      <w:pPr>
        <w:pStyle w:val="Heading2"/>
      </w:pPr>
      <w:r>
        <w:t xml:space="preserve">Inhaltsverzeichnis</w:t>
      </w:r>
    </w:p>
    <w:p>
      <w:pPr>
        <w:numPr>
          <w:ilvl w:val="0"/>
          <w:numId w:val="1008"/>
        </w:numPr>
        <w:pStyle w:val="Compact"/>
      </w:pPr>
      <w:hyperlink w:anchor="über-der-autor">
        <w:r>
          <w:rPr>
            <w:rStyle w:val="Hyperlink"/>
          </w:rPr>
          <w:t xml:space="preserve">Über den Autor</w:t>
        </w:r>
      </w:hyperlink>
    </w:p>
    <w:p>
      <w:pPr>
        <w:numPr>
          <w:ilvl w:val="0"/>
          <w:numId w:val="1008"/>
        </w:numPr>
        <w:pStyle w:val="Compact"/>
      </w:pPr>
      <w:hyperlink w:anchor="einleitung">
        <w:r>
          <w:rPr>
            <w:rStyle w:val="Hyperlink"/>
          </w:rPr>
          <w:t xml:space="preserve">Einleitung (al-Muqaddimah)</w:t>
        </w:r>
      </w:hyperlink>
    </w:p>
    <w:p>
      <w:pPr>
        <w:numPr>
          <w:ilvl w:val="0"/>
          <w:numId w:val="1008"/>
        </w:numPr>
        <w:pStyle w:val="Compact"/>
      </w:pPr>
      <w:hyperlink w:anchor="quellen">
        <w:r>
          <w:rPr>
            <w:rStyle w:val="Hyperlink"/>
          </w:rPr>
          <w:t xml:space="preserve">Quellen der ʿAqīdah</w:t>
        </w:r>
      </w:hyperlink>
    </w:p>
    <w:p>
      <w:pPr>
        <w:numPr>
          <w:ilvl w:val="0"/>
          <w:numId w:val="1008"/>
        </w:numPr>
        <w:pStyle w:val="Compact"/>
      </w:pPr>
      <w:hyperlink w:anchor="tor-1">
        <w:r>
          <w:rPr>
            <w:rStyle w:val="Hyperlink"/>
          </w:rPr>
          <w:t xml:space="preserve">Tor 1 – Die sechs Säulen des Īmān</w:t>
        </w:r>
      </w:hyperlink>
    </w:p>
    <w:p>
      <w:pPr>
        <w:numPr>
          <w:ilvl w:val="1"/>
          <w:numId w:val="1009"/>
        </w:numPr>
        <w:pStyle w:val="Compact"/>
      </w:pPr>
      <w:hyperlink w:anchor="pillar-1">
        <w:r>
          <w:rPr>
            <w:rStyle w:val="Hyperlink"/>
          </w:rPr>
          <w:t xml:space="preserve">1. Säule: Īmān billāh (Glaube an Allah)</w:t>
        </w:r>
      </w:hyperlink>
    </w:p>
    <w:p>
      <w:pPr>
        <w:numPr>
          <w:ilvl w:val="2"/>
          <w:numId w:val="1010"/>
        </w:numPr>
        <w:pStyle w:val="Compact"/>
      </w:pPr>
      <w:hyperlink w:anchor="tawhid-rububiyyah">
        <w:r>
          <w:rPr>
            <w:rStyle w:val="Hyperlink"/>
          </w:rPr>
          <w:t xml:space="preserve">Tawḥīd ar-Rubūbiyyah</w:t>
        </w:r>
      </w:hyperlink>
    </w:p>
    <w:p>
      <w:pPr>
        <w:numPr>
          <w:ilvl w:val="2"/>
          <w:numId w:val="1010"/>
        </w:numPr>
        <w:pStyle w:val="Compact"/>
      </w:pPr>
      <w:hyperlink w:anchor="tawhid-asma">
        <w:r>
          <w:rPr>
            <w:rStyle w:val="Hyperlink"/>
          </w:rPr>
          <w:t xml:space="preserve">Tawḥīd al-Asmāʾ waṣ-Ṣifāt</w:t>
        </w:r>
      </w:hyperlink>
    </w:p>
    <w:p>
      <w:pPr>
        <w:numPr>
          <w:ilvl w:val="2"/>
          <w:numId w:val="1010"/>
        </w:numPr>
        <w:pStyle w:val="Compact"/>
      </w:pPr>
      <w:hyperlink w:anchor="tawhid-uluhiyyah">
        <w:r>
          <w:rPr>
            <w:rStyle w:val="Hyperlink"/>
          </w:rPr>
          <w:t xml:space="preserve">Tawḥīd al-Ulūhiyyah</w:t>
        </w:r>
      </w:hyperlink>
    </w:p>
    <w:p>
      <w:pPr>
        <w:numPr>
          <w:ilvl w:val="1"/>
          <w:numId w:val="1009"/>
        </w:numPr>
        <w:pStyle w:val="Compact"/>
      </w:pPr>
      <w:hyperlink w:anchor="pillar-2">
        <w:r>
          <w:rPr>
            <w:rStyle w:val="Hyperlink"/>
          </w:rPr>
          <w:t xml:space="preserve">2. Säule: Īmān bil-Malāʾikah (Glaube an die Engel)</w:t>
        </w:r>
      </w:hyperlink>
    </w:p>
    <w:p>
      <w:pPr>
        <w:numPr>
          <w:ilvl w:val="1"/>
          <w:numId w:val="1009"/>
        </w:numPr>
        <w:pStyle w:val="Compact"/>
      </w:pPr>
      <w:hyperlink w:anchor="pillar-3">
        <w:r>
          <w:rPr>
            <w:rStyle w:val="Hyperlink"/>
          </w:rPr>
          <w:t xml:space="preserve">3. Säule: Īmān bil-Kutub (Glaube an die Bücher)</w:t>
        </w:r>
      </w:hyperlink>
    </w:p>
    <w:p>
      <w:pPr>
        <w:numPr>
          <w:ilvl w:val="1"/>
          <w:numId w:val="1009"/>
        </w:numPr>
        <w:pStyle w:val="Compact"/>
      </w:pPr>
      <w:hyperlink w:anchor="pillar-4">
        <w:r>
          <w:rPr>
            <w:rStyle w:val="Hyperlink"/>
          </w:rPr>
          <w:t xml:space="preserve">4. Säule: Īmān bil-Rusul (Glaube an die Gesandten)</w:t>
        </w:r>
      </w:hyperlink>
    </w:p>
    <w:p>
      <w:pPr>
        <w:numPr>
          <w:ilvl w:val="1"/>
          <w:numId w:val="1009"/>
        </w:numPr>
        <w:pStyle w:val="Compact"/>
      </w:pPr>
      <w:hyperlink w:anchor="pillar-5">
        <w:r>
          <w:rPr>
            <w:rStyle w:val="Hyperlink"/>
          </w:rPr>
          <w:t xml:space="preserve">5. Säule: Īmān bil-Yawm al-Ākhir (Glaube an den Jüngsten Tag)</w:t>
        </w:r>
      </w:hyperlink>
    </w:p>
    <w:p>
      <w:pPr>
        <w:numPr>
          <w:ilvl w:val="1"/>
          <w:numId w:val="1009"/>
        </w:numPr>
        <w:pStyle w:val="Compact"/>
      </w:pPr>
      <w:hyperlink w:anchor="pillar-6">
        <w:r>
          <w:rPr>
            <w:rStyle w:val="Hyperlink"/>
          </w:rPr>
          <w:t xml:space="preserve">6. Säule: Īmān bil-Qadar (Glaube an die göttliche Vorherbestimmung)</w:t>
        </w:r>
      </w:hyperlink>
    </w:p>
    <w:p>
      <w:pPr>
        <w:numPr>
          <w:ilvl w:val="0"/>
          <w:numId w:val="1008"/>
        </w:numPr>
        <w:pStyle w:val="Compact"/>
      </w:pPr>
      <w:hyperlink w:anchor="tor-2">
        <w:r>
          <w:rPr>
            <w:rStyle w:val="Hyperlink"/>
          </w:rPr>
          <w:t xml:space="preserve">Tor 2 – Der Musammā des Īmān</w:t>
        </w:r>
      </w:hyperlink>
    </w:p>
    <w:p>
      <w:pPr>
        <w:numPr>
          <w:ilvl w:val="1"/>
          <w:numId w:val="1011"/>
        </w:numPr>
        <w:pStyle w:val="Compact"/>
      </w:pPr>
      <w:hyperlink w:anchor="masala-1">
        <w:r>
          <w:rPr>
            <w:rStyle w:val="Hyperlink"/>
          </w:rPr>
          <w:t xml:space="preserve">Erste Frage: Īmān ist Wort und Tat</w:t>
        </w:r>
      </w:hyperlink>
    </w:p>
    <w:p>
      <w:pPr>
        <w:numPr>
          <w:ilvl w:val="1"/>
          <w:numId w:val="1011"/>
        </w:numPr>
        <w:pStyle w:val="Compact"/>
      </w:pPr>
      <w:hyperlink w:anchor="masala-2">
        <w:r>
          <w:rPr>
            <w:rStyle w:val="Hyperlink"/>
          </w:rPr>
          <w:t xml:space="preserve">Zweite Frage: Īmān nimmt zu und ab</w:t>
        </w:r>
      </w:hyperlink>
    </w:p>
    <w:p>
      <w:pPr>
        <w:numPr>
          <w:ilvl w:val="1"/>
          <w:numId w:val="1011"/>
        </w:numPr>
        <w:pStyle w:val="Compact"/>
      </w:pPr>
      <w:hyperlink w:anchor="masala-3">
        <w:r>
          <w:rPr>
            <w:rStyle w:val="Hyperlink"/>
          </w:rPr>
          <w:t xml:space="preserve">Dritte Frage: Die Ausnahme im Īmān</w:t>
        </w:r>
      </w:hyperlink>
    </w:p>
    <w:p>
      <w:pPr>
        <w:numPr>
          <w:ilvl w:val="1"/>
          <w:numId w:val="1011"/>
        </w:numPr>
        <w:pStyle w:val="Compact"/>
      </w:pPr>
      <w:hyperlink w:anchor="kufr">
        <w:r>
          <w:rPr>
            <w:rStyle w:val="Hyperlink"/>
          </w:rPr>
          <w:t xml:space="preserve">Al-Kufr (der Unglaube)</w:t>
        </w:r>
      </w:hyperlink>
    </w:p>
    <w:p>
      <w:pPr>
        <w:numPr>
          <w:ilvl w:val="0"/>
          <w:numId w:val="1008"/>
        </w:numPr>
        <w:pStyle w:val="Compact"/>
      </w:pPr>
      <w:hyperlink w:anchor="sahaba">
        <w:r>
          <w:rPr>
            <w:rStyle w:val="Hyperlink"/>
          </w:rPr>
          <w:t xml:space="preserve">Aṣ-Ṣaḥābah (Die Gefährten)</w:t>
        </w:r>
      </w:hyperlink>
    </w:p>
    <w:p>
      <w:pPr>
        <w:numPr>
          <w:ilvl w:val="0"/>
          <w:numId w:val="1008"/>
        </w:numPr>
        <w:pStyle w:val="Compact"/>
      </w:pPr>
      <w:hyperlink w:anchor="imama">
        <w:r>
          <w:rPr>
            <w:rStyle w:val="Hyperlink"/>
          </w:rPr>
          <w:t xml:space="preserve">Al-Imāmah (Die Herrschaft)</w:t>
        </w:r>
      </w:hyperlink>
    </w:p>
    <w:p>
      <w:pPr>
        <w:numPr>
          <w:ilvl w:val="0"/>
          <w:numId w:val="1008"/>
        </w:numPr>
        <w:pStyle w:val="Compact"/>
      </w:pPr>
      <w:hyperlink w:anchor="schluss">
        <w:r>
          <w:rPr>
            <w:rStyle w:val="Hyperlink"/>
          </w:rPr>
          <w:t xml:space="preserve">Schlussworte</w:t>
        </w:r>
      </w:hyperlink>
    </w:p>
    <w:p>
      <w:r>
        <w:pict>
          <v:rect style="width:0;height:1.5pt" o:hralign="center" o:hrstd="t" o:hr="t"/>
        </w:pict>
      </w:r>
    </w:p>
    <w:bookmarkEnd w:id="23"/>
    <w:bookmarkStart w:id="25" w:name="einleitung"/>
    <w:p>
      <w:pPr>
        <w:pStyle w:val="Heading2"/>
      </w:pPr>
      <w:r>
        <w:t xml:space="preserve">Einleitung</w:t>
      </w:r>
    </w:p>
    <w:p>
      <w:pPr>
        <w:pStyle w:val="FirstParagraph"/>
      </w:pPr>
      <w:r>
        <w:t xml:space="preserve">Der Verfasser – möge Allah ihn behüten – schreibt:</w:t>
      </w:r>
    </w:p>
    <w:p>
      <w:pPr>
        <w:pStyle w:val="BodyText"/>
      </w:pPr>
      <w:r>
        <w:t xml:space="preserve">Diese Lektionen behandeln die Grundlagen der islamischen ʿAqīdah (Glaubenslehre) und richten sich an die allgemeine Gemeinschaft der Muslime. Die ʿAqīdah ist das Fundament, auf dem das gesamte religiöse Leben aufgebaut ist. Ohne eine korrekte ʿAqīdah werden keine Werke angenommen, und kein Mensch kann Heil finden außer durch das Festhalten an der ʿAqīdah der Ṣaḥābah (Gefährten) des Gesandten Allahs ﷺ.</w:t>
      </w:r>
    </w:p>
    <w:bookmarkStart w:id="24" w:name="übersicht-kapitel-der-ʿaqīdah"/>
    <w:p>
      <w:pPr>
        <w:pStyle w:val="Heading3"/>
      </w:pPr>
      <w:r>
        <w:t xml:space="preserve">Übersicht: Kapitel der ʿAqīdah</w:t>
      </w:r>
    </w:p>
    <w:p>
      <w:pPr>
        <w:pStyle w:val="SourceCode"/>
      </w:pPr>
      <w:r>
        <w:rPr>
          <w:rStyle w:val="VerbatimChar"/>
        </w:rPr>
        <w:t xml:space="preserve">                    ʿAqīdah</w:t>
      </w:r>
      <w:r>
        <w:br/>
      </w:r>
      <w:r>
        <w:rPr>
          <w:rStyle w:val="VerbatimChar"/>
        </w:rPr>
        <w:t xml:space="preserve">                       │</w:t>
      </w:r>
      <w:r>
        <w:br/>
      </w:r>
      <w:r>
        <w:rPr>
          <w:rStyle w:val="VerbatimChar"/>
        </w:rPr>
        <w:t xml:space="preserve">        ┌──────────────┴──────────────┐</w:t>
      </w:r>
      <w:r>
        <w:br/>
      </w:r>
      <w:r>
        <w:rPr>
          <w:rStyle w:val="VerbatimChar"/>
        </w:rPr>
        <w:t xml:space="preserve">      Tor 1                         Tor 2</w:t>
      </w:r>
      <w:r>
        <w:br/>
      </w:r>
      <w:r>
        <w:rPr>
          <w:rStyle w:val="VerbatimChar"/>
        </w:rPr>
        <w:t xml:space="preserve">  Sechs Säulen                 Musammā al-Īmān</w:t>
      </w:r>
      <w:r>
        <w:br/>
      </w:r>
      <w:r>
        <w:rPr>
          <w:rStyle w:val="VerbatimChar"/>
        </w:rPr>
        <w:t xml:space="preserve">    des Īmān                  (Was Īmān umfasst)</w:t>
      </w:r>
      <w:r>
        <w:br/>
      </w:r>
      <w:r>
        <w:rPr>
          <w:rStyle w:val="VerbatimChar"/>
        </w:rPr>
        <w:t xml:space="preserve">       │                             │</w:t>
      </w:r>
      <w:r>
        <w:br/>
      </w:r>
      <w:r>
        <w:rPr>
          <w:rStyle w:val="VerbatimChar"/>
        </w:rPr>
        <w:t xml:space="preserve">  ┌────┴────┐                   ┌────┴────┐</w:t>
      </w:r>
      <w:r>
        <w:br/>
      </w:r>
      <w:r>
        <w:rPr>
          <w:rStyle w:val="VerbatimChar"/>
        </w:rPr>
        <w:t xml:space="preserve">  │         │              Ṣaḥābah     al-Imāmah</w:t>
      </w:r>
      <w:r>
        <w:br/>
      </w:r>
      <w:r>
        <w:rPr>
          <w:rStyle w:val="VerbatimChar"/>
        </w:rPr>
        <w:t xml:space="preserve">  6 Säulen  │</w:t>
      </w:r>
      <w:r>
        <w:br/>
      </w:r>
      <w:r>
        <w:rPr>
          <w:rStyle w:val="VerbatimChar"/>
        </w:rPr>
        <w:t xml:space="preserve">  (Arkān    │</w:t>
      </w:r>
      <w:r>
        <w:br/>
      </w:r>
      <w:r>
        <w:rPr>
          <w:rStyle w:val="VerbatimChar"/>
        </w:rPr>
        <w:t xml:space="preserve">  al-Īmān)  │</w:t>
      </w:r>
    </w:p>
    <w:p>
      <w:pPr>
        <w:pStyle w:val="FirstParagraph"/>
      </w:pPr>
      <w:r>
        <w:t xml:space="preserve">Die vorliegenden Lektionen behandeln zwei übergeordnete Tore:</w:t>
      </w:r>
    </w:p>
    <w:p>
      <w:pPr>
        <w:numPr>
          <w:ilvl w:val="0"/>
          <w:numId w:val="1012"/>
        </w:numPr>
        <w:pStyle w:val="Compact"/>
      </w:pPr>
      <w:r>
        <w:rPr>
          <w:bCs/>
          <w:b/>
        </w:rPr>
        <w:t xml:space="preserve">Tor 1</w:t>
      </w:r>
      <w:r>
        <w:t xml:space="preserve">: Die sechs Säulen des Īmān</w:t>
      </w:r>
    </w:p>
    <w:p>
      <w:pPr>
        <w:numPr>
          <w:ilvl w:val="0"/>
          <w:numId w:val="1012"/>
        </w:numPr>
        <w:pStyle w:val="Compact"/>
      </w:pPr>
      <w:r>
        <w:rPr>
          <w:bCs/>
          <w:b/>
        </w:rPr>
        <w:t xml:space="preserve">Tor 2</w:t>
      </w:r>
      <w:r>
        <w:t xml:space="preserve">: Den Musammā al-Īmān (Definition und Eigenschaften des Īmān), die Ṣaḥābah und die Imāmah</w:t>
      </w:r>
    </w:p>
    <w:p>
      <w:r>
        <w:pict>
          <v:rect style="width:0;height:1.5pt" o:hralign="center" o:hrstd="t" o:hr="t"/>
        </w:pict>
      </w:r>
    </w:p>
    <w:bookmarkEnd w:id="24"/>
    <w:bookmarkEnd w:id="25"/>
    <w:bookmarkStart w:id="27" w:name="quellen-der-ʿaqīdah"/>
    <w:p>
      <w:pPr>
        <w:pStyle w:val="Heading2"/>
      </w:pPr>
      <w:r>
        <w:t xml:space="preserve">Quellen der ʿAqīdah</w:t>
      </w:r>
    </w:p>
    <w:bookmarkStart w:id="26" w:name="übersicht-erkenntnisquellen"/>
    <w:p>
      <w:pPr>
        <w:pStyle w:val="Heading3"/>
      </w:pPr>
      <w:r>
        <w:t xml:space="preserve">Übersicht: Erkenntnisquellen</w:t>
      </w:r>
    </w:p>
    <w:p>
      <w:pPr>
        <w:pStyle w:val="SourceCode"/>
      </w:pPr>
      <w:r>
        <w:rPr>
          <w:rStyle w:val="VerbatimChar"/>
        </w:rPr>
        <w:t xml:space="preserve">          Quellen der ʿAqīdah-Erkenntnis</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al-Qurʾān      as-Sunnah       al-Ijmāʿ</w:t>
      </w:r>
      <w:r>
        <w:br/>
      </w:r>
      <w:r>
        <w:rPr>
          <w:rStyle w:val="VerbatimChar"/>
        </w:rPr>
        <w:t xml:space="preserve">  (Der Koran)    (Die Sunna)    (Der Konsens)</w:t>
      </w:r>
      <w:r>
        <w:br/>
      </w:r>
      <w:r>
        <w:rPr>
          <w:rStyle w:val="VerbatimChar"/>
        </w:rPr>
        <w:t xml:space="preserve">        │              │              │</w:t>
      </w:r>
      <w:r>
        <w:br/>
      </w:r>
      <w:r>
        <w:rPr>
          <w:rStyle w:val="VerbatimChar"/>
        </w:rPr>
        <w:t xml:space="preserve">   Maṣdar        Maṣdar         Maṣdar</w:t>
      </w:r>
      <w:r>
        <w:br/>
      </w:r>
      <w:r>
        <w:rPr>
          <w:rStyle w:val="VerbatimChar"/>
        </w:rPr>
        <w:t xml:space="preserve">   Aṣlī          Aṣlī           Tabaʿī</w:t>
      </w:r>
      <w:r>
        <w:br/>
      </w:r>
      <w:r>
        <w:rPr>
          <w:rStyle w:val="VerbatimChar"/>
        </w:rPr>
        <w:t xml:space="preserve">(Primärquelle) (Primärquelle) (Sekundärquelle)</w:t>
      </w:r>
    </w:p>
    <w:p>
      <w:pPr>
        <w:pStyle w:val="FirstParagraph"/>
      </w:pPr>
      <w:r>
        <w:t xml:space="preserve">Die ʿAqīdah wird ausschließlich aus drei Quellen entnommen:</w:t>
      </w:r>
    </w:p>
    <w:p>
      <w:pPr>
        <w:pStyle w:val="BodyText"/>
      </w:pPr>
      <w:r>
        <w:rPr>
          <w:bCs/>
          <w:b/>
        </w:rPr>
        <w:t xml:space="preserve">1. Al-Qurʾān al-Karīm</w:t>
      </w:r>
      <w:r>
        <w:t xml:space="preserve">: Er ist der erste und wichtigste Erkenntnisgrund. Keine ʿAqīdah-Frage kann als gültig gelten, wenn sie dem Qurʾān widerspricht.</w:t>
      </w:r>
    </w:p>
    <w:p>
      <w:pPr>
        <w:pStyle w:val="BodyText"/>
      </w:pPr>
      <w:r>
        <w:rPr>
          <w:bCs/>
          <w:b/>
        </w:rPr>
        <w:t xml:space="preserve">2. As-Sunnah an-Nabawiyyah</w:t>
      </w:r>
      <w:r>
        <w:t xml:space="preserve">: Die Sunnah des Propheten ﷺ. Sie erklärt den Qurʾān und fügt hinzu, was der Qurʾān nicht explizit erwähnt. Dabei ist es Pflicht, nur authentisch überlieferte Hadithe zu verwenden.</w:t>
      </w:r>
    </w:p>
    <w:p>
      <w:pPr>
        <w:pStyle w:val="BodyText"/>
      </w:pPr>
      <w:r>
        <w:rPr>
          <w:bCs/>
          <w:b/>
        </w:rPr>
        <w:t xml:space="preserve">3. Al-Ijmāʿ (Der Konsens)</w:t>
      </w:r>
      <w:r>
        <w:t xml:space="preserve">: Der einhellige Konsens der Gelehrten der Ummah ist eine bindende Quelle in der ʿAqīdah. Er stützt sich stets auf Qurʾān und Sunnah.</w:t>
      </w:r>
    </w:p>
    <w:p>
      <w:r>
        <w:pict>
          <v:rect style="width:0;height:1.5pt" o:hralign="center" o:hrstd="t" o:hr="t"/>
        </w:pict>
      </w:r>
    </w:p>
    <w:bookmarkEnd w:id="26"/>
    <w:bookmarkEnd w:id="27"/>
    <w:bookmarkStart w:id="28" w:name="tor-1--die-sechs-säulen-des-īmān"/>
    <w:p>
      <w:pPr>
        <w:pStyle w:val="Heading2"/>
      </w:pPr>
      <w:r>
        <w:t xml:space="preserve">Tor 1 – Die sechs Säulen des Īmān</w:t>
      </w:r>
    </w:p>
    <w:p>
      <w:pPr>
        <w:pStyle w:val="FirstParagraph"/>
      </w:pPr>
      <w:r>
        <w:t xml:space="preserve">Die sechs Säulen des Īmān sind belegt durch den Hadith des Jibrīl ﷺ, in dem er den Propheten ﷺ fragte: „Was ist Īmān?" Der Prophet ﷺ antwortete:</w:t>
      </w:r>
    </w:p>
    <w:p>
      <w:pPr>
        <w:pStyle w:val="BlockText"/>
      </w:pPr>
      <w:r>
        <w:rPr>
          <w:iCs/>
          <w:i/>
        </w:rPr>
        <w:t xml:space="preserve">„أَنْ تُؤْمِنَ بِاللهِ، وَمَلائِكَتِهِ، وَكُتُبِهِ، وَرُسُلِهِ، وَالْيَوْمِ الآخِرِ، وَتُؤْمِنَ بِالْقَدَرِ خَيْرِهِ وَشَرِّهِ"</w:t>
      </w:r>
    </w:p>
    <w:p>
      <w:pPr>
        <w:pStyle w:val="BlockText"/>
      </w:pPr>
      <w:r>
        <w:t xml:space="preserve">„Dass du an Allah glaubst, an Seine Engel, Seine Bücher, Seine Gesandten, den Jüngsten Tag und dass du an die göttliche Vorherbestimmung glaubst – ihr Gutes und ihr Schlechtes."</w:t>
      </w:r>
    </w:p>
    <w:p>
      <w:pPr>
        <w:pStyle w:val="BlockText"/>
      </w:pPr>
      <w:r>
        <w:t xml:space="preserve">[Überliefert von Muslim]</w:t>
      </w:r>
    </w:p>
    <w:p>
      <w:r>
        <w:pict>
          <v:rect style="width:0;height:1.5pt" o:hralign="center" o:hrstd="t" o:hr="t"/>
        </w:pict>
      </w:r>
    </w:p>
    <w:bookmarkEnd w:id="28"/>
    <w:bookmarkStart w:id="36" w:name="Xcb4374b51c06571c1a4c7a5138440a680074420"/>
    <w:p>
      <w:pPr>
        <w:pStyle w:val="Heading2"/>
      </w:pPr>
      <w:r>
        <w:t xml:space="preserve">1. Säule: Īmān billāh – Glaube an Allah</w:t>
      </w:r>
    </w:p>
    <w:p>
      <w:pPr>
        <w:pStyle w:val="FirstParagraph"/>
      </w:pPr>
      <w:r>
        <w:t xml:space="preserve">Der Glaube an Allah umfasst drei untrennbare Bereiche des Tawḥīd:</w:t>
      </w:r>
    </w:p>
    <w:p>
      <w:pPr>
        <w:pStyle w:val="SourceCode"/>
      </w:pPr>
      <w:r>
        <w:rPr>
          <w:rStyle w:val="VerbatimChar"/>
        </w:rPr>
        <w:t xml:space="preserve">              Tawḥīd (Gotteseinheit)</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Tawḥīd           Tawḥīd         Tawḥīd</w:t>
      </w:r>
      <w:r>
        <w:br/>
      </w:r>
      <w:r>
        <w:rPr>
          <w:rStyle w:val="VerbatimChar"/>
        </w:rPr>
        <w:t xml:space="preserve"> ar-Rubūbiyyah   al-Asmāʾ       al-Ulūhiyyah</w:t>
      </w:r>
      <w:r>
        <w:br/>
      </w:r>
      <w:r>
        <w:rPr>
          <w:rStyle w:val="VerbatimChar"/>
        </w:rPr>
        <w:t xml:space="preserve">  (Einheit in    waṣ-Ṣifāt        (Einheit in</w:t>
      </w:r>
      <w:r>
        <w:br/>
      </w:r>
      <w:r>
        <w:rPr>
          <w:rStyle w:val="VerbatimChar"/>
        </w:rPr>
        <w:t xml:space="preserve">  der Herrschaft) (Einheit in     der Anbetung)</w:t>
      </w:r>
      <w:r>
        <w:br/>
      </w:r>
      <w:r>
        <w:rPr>
          <w:rStyle w:val="VerbatimChar"/>
        </w:rPr>
        <w:t xml:space="preserve">                 Namen u. Eigen-</w:t>
      </w:r>
      <w:r>
        <w:br/>
      </w:r>
      <w:r>
        <w:rPr>
          <w:rStyle w:val="VerbatimChar"/>
        </w:rPr>
        <w:t xml:space="preserve">                  schaften)</w:t>
      </w:r>
    </w:p>
    <w:p>
      <w:r>
        <w:pict>
          <v:rect style="width:0;height:1.5pt" o:hralign="center" o:hrstd="t" o:hr="t"/>
        </w:pict>
      </w:r>
    </w:p>
    <w:bookmarkStart w:id="29" w:name="tawḥīd-ar-rubūbiyyah"/>
    <w:p>
      <w:pPr>
        <w:pStyle w:val="Heading3"/>
      </w:pPr>
      <w:r>
        <w:t xml:space="preserve">Tawḥīd ar-Rubūbiyyah</w:t>
      </w:r>
    </w:p>
    <w:p>
      <w:pPr>
        <w:pStyle w:val="FirstParagraph"/>
      </w:pPr>
      <w:r>
        <w:rPr>
          <w:bCs/>
          <w:b/>
        </w:rPr>
        <w:t xml:space="preserve">Definition</w:t>
      </w:r>
      <w:r>
        <w:t xml:space="preserve">: Die Überzeugung, dass Allah allein der Herr ist – der Erschaffer, der Versorger, der Lebensgebende und der Lebensentnehmende, der allein die Verfügungsgewalt über alle Dinge hat.</w:t>
      </w:r>
    </w:p>
    <w:p>
      <w:pPr>
        <w:pStyle w:val="BodyText"/>
      </w:pPr>
      <w:r>
        <w:t xml:space="preserve">Tawḥīd ar-Rubūbiyyah gliedert sich in:</w:t>
      </w:r>
    </w:p>
    <w:p>
      <w:pPr>
        <w:pStyle w:val="SourceCode"/>
      </w:pPr>
      <w:r>
        <w:rPr>
          <w:rStyle w:val="VerbatimChar"/>
        </w:rPr>
        <w:t xml:space="preserve">           Tawḥīd ar-Rubūbiyyah</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al-Khalq    ar-Rizq      at-Tadbīr</w:t>
      </w:r>
      <w:r>
        <w:br/>
      </w:r>
      <w:r>
        <w:rPr>
          <w:rStyle w:val="VerbatimChar"/>
        </w:rPr>
        <w:t xml:space="preserve">   (Erschaffung) (Versorgung)  (Verwaltung/</w:t>
      </w:r>
      <w:r>
        <w:br/>
      </w:r>
      <w:r>
        <w:rPr>
          <w:rStyle w:val="VerbatimChar"/>
        </w:rPr>
        <w:t xml:space="preserve">                               Leitung)</w:t>
      </w:r>
    </w:p>
    <w:p>
      <w:pPr>
        <w:pStyle w:val="FirstParagraph"/>
      </w:pPr>
      <w:r>
        <w:rPr>
          <w:bCs/>
          <w:b/>
        </w:rPr>
        <w:t xml:space="preserve">Belege aus dem Qurʾān:</w:t>
      </w:r>
    </w:p>
    <w:p>
      <w:pPr>
        <w:pStyle w:val="BlockText"/>
      </w:pPr>
      <w:r>
        <w:rPr>
          <w:iCs/>
          <w:i/>
        </w:rPr>
        <w:t xml:space="preserve">﴿قُلْ مَن يَرْزُقُكُم مِّنَ ٱلسَّمَآءِ وَٱلْأَرْضِ أَمَّن يَمْلِكُ ٱلسَّمْعَ وَٱلْأَبْصَـٰرَ وَمَن يُخْرِجُ ٱلْحَىَّ مِنَ ٱلْمَيِّتِ وَيُخْرِجُ ٱلْمَيِّتَ مِنَ ٱلْحَىِّ وَمَن يُدَبِّرُ ٱلْأَمْرَ ۚ فَسَيَقُولُونَ ٱللَّهُ﴾</w:t>
      </w:r>
    </w:p>
    <w:p>
      <w:pPr>
        <w:pStyle w:val="BlockText"/>
      </w:pPr>
      <w:r>
        <w:t xml:space="preserve">„Sag: Wer versorgt euch vom Himmel und von der Erde? Wer besitzt (die Macht über) das Gehör und die Sehkraft? Wer bringt das Lebende aus dem Toten hervor und das Tote aus dem Lebenden? Wer verwaltet die Angelegenheiten? Sie werden sagen: Allah."</w:t>
      </w:r>
    </w:p>
    <w:p>
      <w:pPr>
        <w:pStyle w:val="BlockText"/>
      </w:pPr>
      <w:r>
        <w:t xml:space="preserve">[Yūnus: 31]</w:t>
      </w:r>
    </w:p>
    <w:p>
      <w:pPr>
        <w:pStyle w:val="FirstParagraph"/>
      </w:pPr>
      <w:r>
        <w:rPr>
          <w:bCs/>
          <w:b/>
        </w:rPr>
        <w:t xml:space="preserve">Wichtig</w:t>
      </w:r>
      <w:r>
        <w:t xml:space="preserve">: Tawḥīd ar-Rubūbiyyah allein genügt nicht für den Eintritt in den Islam. Denn auch die Heiden zur Zeit des Propheten ﷺ anerkannten Allahs Herrschaft, wurden aber dennoch als Ungläubige bezeichnet, weil sie Tawḥīd al-Ulūhiyyah nicht verwirklichten.</w:t>
      </w:r>
    </w:p>
    <w:p>
      <w:pPr>
        <w:pStyle w:val="BodyText"/>
      </w:pPr>
      <w:r>
        <w:rPr>
          <w:bCs/>
          <w:b/>
        </w:rPr>
        <w:t xml:space="preserve">Erster Nichtigkeitsgrund (Muḥbāṭ) des Tawḥīd ar-Rubūbiyyah:</w:t>
      </w:r>
      <w:r>
        <w:br/>
      </w:r>
      <w:r>
        <w:t xml:space="preserve">Zu glauben, dass es neben Allah einen weiteren Schöpfer, Versorger oder Herrn gibt, der unabhängig von Allah wirkt.</w:t>
      </w:r>
    </w:p>
    <w:p>
      <w:r>
        <w:pict>
          <v:rect style="width:0;height:1.5pt" o:hralign="center" o:hrstd="t" o:hr="t"/>
        </w:pict>
      </w:r>
    </w:p>
    <w:bookmarkEnd w:id="29"/>
    <w:bookmarkStart w:id="30" w:name="tawḥīd-al-asmāʾ-waṣ-ṣifāt"/>
    <w:p>
      <w:pPr>
        <w:pStyle w:val="Heading3"/>
      </w:pPr>
      <w:r>
        <w:t xml:space="preserve">Tawḥīd al-Asmāʾ waṣ-Ṣifāt</w:t>
      </w:r>
    </w:p>
    <w:p>
      <w:pPr>
        <w:pStyle w:val="FirstParagraph"/>
      </w:pPr>
      <w:r>
        <w:rPr>
          <w:bCs/>
          <w:b/>
        </w:rPr>
        <w:t xml:space="preserve">Definition</w:t>
      </w:r>
      <w:r>
        <w:t xml:space="preserve">: Die Überzeugung, dass Allah die vollkommensten Namen und die erhabensten Eigenschaften besitzt, die Ihm in Qurʾān und Sunnah zugeschrieben werden – ohne Verzerrung (Taḥrīf), ohne Verneinung (Taʿṭīl), ohne Vergleich mit dem Geschaffenen (Tamṯīl) und ohne Fragen nach dem Wie (Takyīf).</w:t>
      </w:r>
    </w:p>
    <w:p>
      <w:pPr>
        <w:pStyle w:val="SourceCode"/>
      </w:pPr>
      <w:r>
        <w:rPr>
          <w:rStyle w:val="VerbatimChar"/>
        </w:rPr>
        <w:t xml:space="preserve">        Tawḥīd al-Asmāʾ waṣ-Ṣifāt</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Asmāʾ Allāh   Ṣifāt Allāh   Verbotene</w:t>
      </w:r>
      <w:r>
        <w:br/>
      </w:r>
      <w:r>
        <w:rPr>
          <w:rStyle w:val="VerbatimChar"/>
        </w:rPr>
        <w:t xml:space="preserve">  (Allahs Namen)  (Allahs       Methoden</w:t>
      </w:r>
      <w:r>
        <w:br/>
      </w:r>
      <w:r>
        <w:rPr>
          <w:rStyle w:val="VerbatimChar"/>
        </w:rPr>
        <w:t xml:space="preserve">                 Eigenschaften)</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Taḥrīf    Taʿṭīl      Tamṯīl</w:t>
      </w:r>
      <w:r>
        <w:br/>
      </w:r>
      <w:r>
        <w:rPr>
          <w:rStyle w:val="VerbatimChar"/>
        </w:rPr>
        <w:t xml:space="preserve">                    (Verzerrung) (Verneinung) (Vergleich)</w:t>
      </w:r>
    </w:p>
    <w:p>
      <w:pPr>
        <w:pStyle w:val="FirstParagraph"/>
      </w:pPr>
      <w:r>
        <w:rPr>
          <w:bCs/>
          <w:b/>
        </w:rPr>
        <w:t xml:space="preserve">Grundregeln:</w:t>
      </w:r>
    </w:p>
    <w:p>
      <w:pPr>
        <w:numPr>
          <w:ilvl w:val="0"/>
          <w:numId w:val="1013"/>
        </w:numPr>
      </w:pPr>
      <w:r>
        <w:rPr>
          <w:bCs/>
          <w:b/>
        </w:rPr>
        <w:t xml:space="preserve">Ithbāt (Bejahung)</w:t>
      </w:r>
      <w:r>
        <w:t xml:space="preserve">: Allem, was Allah sich selbst oder Sein Gesandter ﷺ Ihm zugeschrieben hat, wird bejaht – in einer Weise, die Seiner Erhabenheit geziemt.</w:t>
      </w:r>
    </w:p>
    <w:p>
      <w:pPr>
        <w:numPr>
          <w:ilvl w:val="0"/>
          <w:numId w:val="1013"/>
        </w:numPr>
      </w:pPr>
      <w:r>
        <w:rPr>
          <w:bCs/>
          <w:b/>
        </w:rPr>
        <w:t xml:space="preserve">Nafy (Verneinung)</w:t>
      </w:r>
      <w:r>
        <w:t xml:space="preserve">: Allem wird verneint, was Allah von sich selbst oder was Sein Gesandter ﷺ von Ihm verneint hat.</w:t>
      </w:r>
    </w:p>
    <w:p>
      <w:pPr>
        <w:numPr>
          <w:ilvl w:val="0"/>
          <w:numId w:val="1013"/>
        </w:numPr>
      </w:pPr>
      <w:r>
        <w:rPr>
          <w:bCs/>
          <w:b/>
        </w:rPr>
        <w:t xml:space="preserve">Tafwīḍ al-Kayfiyyah</w:t>
      </w:r>
      <w:r>
        <w:t xml:space="preserve">: Die Art und Weise der göttlichen Eigenschaften ist dem Menschen unbekannt. Allah sagt:</w:t>
      </w:r>
    </w:p>
    <w:p>
      <w:pPr>
        <w:pStyle w:val="BlockText"/>
      </w:pPr>
      <w:r>
        <w:rPr>
          <w:iCs/>
          <w:i/>
        </w:rPr>
        <w:t xml:space="preserve">﴿لَيْسَ كَمِثْلِهِۦ شَىْءٌ ۖ وَهُوَ ٱلسَّمِيعُ ٱلْبَصِيرُ﴾</w:t>
      </w:r>
    </w:p>
    <w:p>
      <w:pPr>
        <w:pStyle w:val="BlockText"/>
      </w:pPr>
      <w:r>
        <w:t xml:space="preserve">„Ihm ist nichts gleich, und Er ist der Allhörende, der Allsehende."</w:t>
      </w:r>
    </w:p>
    <w:p>
      <w:pPr>
        <w:pStyle w:val="BlockText"/>
      </w:pPr>
      <w:r>
        <w:t xml:space="preserve">[aš-Šūrā: 11]</w:t>
      </w:r>
    </w:p>
    <w:p>
      <w:pPr>
        <w:pStyle w:val="FirstParagraph"/>
      </w:pPr>
      <w:r>
        <w:rPr>
          <w:bCs/>
          <w:b/>
        </w:rPr>
        <w:t xml:space="preserve">Erster Nichtigkeitsgrund</w:t>
      </w:r>
      <w:r>
        <w:t xml:space="preserve">: Das Leugnen einer der göttlichen Eigenschaften (Taʿṭīl) – wie die Muʿtazilah, die Allahs Eigenschaften verneinen.</w:t>
      </w:r>
    </w:p>
    <w:p>
      <w:pPr>
        <w:pStyle w:val="BodyText"/>
      </w:pPr>
      <w:r>
        <w:rPr>
          <w:bCs/>
          <w:b/>
        </w:rPr>
        <w:t xml:space="preserve">Zweiter Nichtigkeitsgrund</w:t>
      </w:r>
      <w:r>
        <w:t xml:space="preserve">: Das Vergleichen einer göttlichen Eigenschaft mit der eines Geschöpfs (Tamṯīl/Tašbīh).</w:t>
      </w:r>
    </w:p>
    <w:p>
      <w:r>
        <w:pict>
          <v:rect style="width:0;height:1.5pt" o:hralign="center" o:hrstd="t" o:hr="t"/>
        </w:pict>
      </w:r>
    </w:p>
    <w:bookmarkEnd w:id="30"/>
    <w:bookmarkStart w:id="35" w:name="tawḥīd-al-ulūhiyyah"/>
    <w:p>
      <w:pPr>
        <w:pStyle w:val="Heading3"/>
      </w:pPr>
      <w:r>
        <w:t xml:space="preserve">Tawḥīd al-Ulūhiyyah</w:t>
      </w:r>
    </w:p>
    <w:p>
      <w:pPr>
        <w:pStyle w:val="FirstParagraph"/>
      </w:pPr>
      <w:r>
        <w:rPr>
          <w:bCs/>
          <w:b/>
        </w:rPr>
        <w:t xml:space="preserve">Definition</w:t>
      </w:r>
      <w:r>
        <w:t xml:space="preserve">: Allah allein zu vergöttlichen, Ihm allein zu dienen und keine andere Anbetung an jemand anderen zu richten. Dies ist der Kerninhalt des Zeugnisses:</w:t>
      </w:r>
      <w:r>
        <w:t xml:space="preserve"> </w:t>
      </w:r>
      <w:r>
        <w:rPr>
          <w:iCs/>
          <w:i/>
        </w:rPr>
        <w:t xml:space="preserve">Lā ilāha illā Allāh</w:t>
      </w:r>
      <w:r>
        <w:t xml:space="preserve"> </w:t>
      </w:r>
      <w:r>
        <w:t xml:space="preserve">(Es gibt keinen Gott außer Allah).</w:t>
      </w:r>
    </w:p>
    <w:bookmarkStart w:id="31" w:name="kategorien-der-ʿibādah-anbetung"/>
    <w:p>
      <w:pPr>
        <w:pStyle w:val="Heading4"/>
      </w:pPr>
      <w:r>
        <w:t xml:space="preserve">Kategorien der ʿIbādah (Anbetung)</w:t>
      </w:r>
    </w:p>
    <w:p>
      <w:pPr>
        <w:pStyle w:val="SourceCode"/>
      </w:pPr>
      <w:r>
        <w:rPr>
          <w:rStyle w:val="VerbatimChar"/>
        </w:rPr>
        <w:t xml:space="preserve">              ʿIbādah (Anbetung)</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Qawliyyah     Fiʿliyyah    Bāṭiniyyah</w:t>
      </w:r>
      <w:r>
        <w:br/>
      </w:r>
      <w:r>
        <w:rPr>
          <w:rStyle w:val="VerbatimChar"/>
        </w:rPr>
        <w:t xml:space="preserve">  (Verbale Anbetung)(Körperliche  (Innere Anbetung)</w:t>
      </w:r>
      <w:r>
        <w:br/>
      </w:r>
      <w:r>
        <w:rPr>
          <w:rStyle w:val="VerbatimChar"/>
        </w:rPr>
        <w:t xml:space="preserve">                     Anbetung)</w:t>
      </w:r>
      <w:r>
        <w:br/>
      </w:r>
      <w:r>
        <w:rPr>
          <w:rStyle w:val="VerbatimChar"/>
        </w:rPr>
        <w:t xml:space="preserve">         │            │            │</w:t>
      </w:r>
      <w:r>
        <w:br/>
      </w:r>
      <w:r>
        <w:rPr>
          <w:rStyle w:val="VerbatimChar"/>
        </w:rPr>
        <w:t xml:space="preserve">    z.B. Duʿāʾ   z.B. Ṣalāh,  z.B. Khawf,</w:t>
      </w:r>
      <w:r>
        <w:br/>
      </w:r>
      <w:r>
        <w:rPr>
          <w:rStyle w:val="VerbatimChar"/>
        </w:rPr>
        <w:t xml:space="preserve">    (Bittgebet),  Ḥajj, Ṣawm  Raǧāʾ, Maḥabbah</w:t>
      </w:r>
      <w:r>
        <w:br/>
      </w:r>
      <w:r>
        <w:rPr>
          <w:rStyle w:val="VerbatimChar"/>
        </w:rPr>
        <w:t xml:space="preserve">    Istigāṯah,               (Furcht, Hoffnung,</w:t>
      </w:r>
      <w:r>
        <w:br/>
      </w:r>
      <w:r>
        <w:rPr>
          <w:rStyle w:val="VerbatimChar"/>
        </w:rPr>
        <w:t xml:space="preserve">    Istiʿādhah               Liebe)</w:t>
      </w:r>
    </w:p>
    <w:p>
      <w:pPr>
        <w:pStyle w:val="FirstParagraph"/>
      </w:pPr>
      <w:r>
        <w:t xml:space="preserve">Alle Arten der ʿIbādah dürfen ausschließlich Allah gewidmet werden. Denn Allah, der Erhabene, sagt:</w:t>
      </w:r>
    </w:p>
    <w:p>
      <w:pPr>
        <w:pStyle w:val="BlockText"/>
      </w:pPr>
      <w:r>
        <w:rPr>
          <w:iCs/>
          <w:i/>
        </w:rPr>
        <w:t xml:space="preserve">﴿وَمَآ أُمِرُوٓا۟ إِلَّا لِيَعْبُدُوا۟ ٱللَّهَ مُخْلِصِينَ لَهُ ٱلدِّينَ﴾</w:t>
      </w:r>
    </w:p>
    <w:p>
      <w:pPr>
        <w:pStyle w:val="BlockText"/>
      </w:pPr>
      <w:r>
        <w:t xml:space="preserve">„Und es wurde ihnen nichts anderes befohlen, als Allah zu dienen, aufrichtig im Glauben Ihm gegenüber."</w:t>
      </w:r>
    </w:p>
    <w:p>
      <w:pPr>
        <w:pStyle w:val="BlockText"/>
      </w:pPr>
      <w:r>
        <w:t xml:space="preserve">[al-Bayyinah: 5]</w:t>
      </w:r>
    </w:p>
    <w:bookmarkEnd w:id="31"/>
    <w:bookmarkStart w:id="32" w:name="früchte-des-tawḥīd-al-ulūhiyyah"/>
    <w:p>
      <w:pPr>
        <w:pStyle w:val="Heading4"/>
      </w:pPr>
      <w:r>
        <w:t xml:space="preserve">Früchte des Tawḥīd al-Ulūhiyyah</w:t>
      </w:r>
    </w:p>
    <w:p>
      <w:pPr>
        <w:numPr>
          <w:ilvl w:val="0"/>
          <w:numId w:val="1014"/>
        </w:numPr>
        <w:pStyle w:val="Compact"/>
      </w:pPr>
      <w:r>
        <w:rPr>
          <w:bCs/>
          <w:b/>
        </w:rPr>
        <w:t xml:space="preserve">Al-Amān</w:t>
      </w:r>
      <w:r>
        <w:t xml:space="preserve"> </w:t>
      </w:r>
      <w:r>
        <w:t xml:space="preserve">(Sicherheit): Wer Tawḥīd vollkommen verwirklicht, erlangt vollkommene Sicherheit.</w:t>
      </w:r>
    </w:p>
    <w:p>
      <w:pPr>
        <w:pStyle w:val="BlockText"/>
      </w:pPr>
      <w:r>
        <w:rPr>
          <w:iCs/>
          <w:i/>
        </w:rPr>
        <w:t xml:space="preserve">﴿ٱلَّذِينَ ءَامَنُوا۟ وَلَمْ يَلْبِسُوٓا۟ إِيمَـٰنَهُم بِظُلْمٍ أُو۟لَـٰٓئِكَ لَهُمُ ٱلْأَمْنُ وَهُم مُّهْتَدُونَ﴾</w:t>
      </w:r>
    </w:p>
    <w:p>
      <w:pPr>
        <w:pStyle w:val="BlockText"/>
      </w:pPr>
      <w:r>
        <w:t xml:space="preserve">„Diejenigen, die glauben und ihren Glauben nicht mit Unrecht (Širk) vermischen – ihnen gehört die Sicherheit, und sie sind rechtgeleitet."</w:t>
      </w:r>
    </w:p>
    <w:p>
      <w:pPr>
        <w:pStyle w:val="BlockText"/>
      </w:pPr>
      <w:r>
        <w:t xml:space="preserve">[al-Anʿām: 82]</w:t>
      </w:r>
    </w:p>
    <w:p>
      <w:pPr>
        <w:numPr>
          <w:ilvl w:val="0"/>
          <w:numId w:val="1015"/>
        </w:numPr>
      </w:pPr>
      <w:r>
        <w:rPr>
          <w:bCs/>
          <w:b/>
        </w:rPr>
        <w:t xml:space="preserve">Al-Hidāyah</w:t>
      </w:r>
      <w:r>
        <w:t xml:space="preserve"> </w:t>
      </w:r>
      <w:r>
        <w:t xml:space="preserve">(Rechtleitung): Tawḥīd führt zur vollkommenen Rechtleitung.</w:t>
      </w:r>
    </w:p>
    <w:p>
      <w:pPr>
        <w:numPr>
          <w:ilvl w:val="0"/>
          <w:numId w:val="1015"/>
        </w:numPr>
      </w:pPr>
      <w:r>
        <w:rPr>
          <w:bCs/>
          <w:b/>
        </w:rPr>
        <w:t xml:space="preserve">Dukhūl al-Jannah</w:t>
      </w:r>
      <w:r>
        <w:t xml:space="preserve"> </w:t>
      </w:r>
      <w:r>
        <w:t xml:space="preserve">(Eingang ins Paradies): Wer stirbt, ohne Allah etwas beizugesellen, tritt ins Paradies ein.</w:t>
      </w:r>
    </w:p>
    <w:p>
      <w:pPr>
        <w:numPr>
          <w:ilvl w:val="0"/>
          <w:numId w:val="1015"/>
        </w:numPr>
      </w:pPr>
      <w:r>
        <w:rPr>
          <w:bCs/>
          <w:b/>
        </w:rPr>
        <w:t xml:space="preserve">Taḥrīm an-Nār</w:t>
      </w:r>
      <w:r>
        <w:t xml:space="preserve"> </w:t>
      </w:r>
      <w:r>
        <w:t xml:space="preserve">(Untersagung des Feuers): Das Höllenfeuer ist demjenigen verboten, der aufrichtig das Zeugnis ablegt.</w:t>
      </w:r>
    </w:p>
    <w:bookmarkEnd w:id="32"/>
    <w:bookmarkStart w:id="33" w:name="X164d47b55cbe34602bff5ec7787cc378c803603"/>
    <w:p>
      <w:pPr>
        <w:pStyle w:val="Heading4"/>
      </w:pPr>
      <w:r>
        <w:t xml:space="preserve">Nichtigkeitsgrund des Tawḥīd al-Ulūhiyyah: Aš-Širk</w:t>
      </w:r>
    </w:p>
    <w:p>
      <w:pPr>
        <w:pStyle w:val="FirstParagraph"/>
      </w:pPr>
      <w:r>
        <w:rPr>
          <w:bCs/>
          <w:b/>
        </w:rPr>
        <w:t xml:space="preserve">Aš-Širk</w:t>
      </w:r>
      <w:r>
        <w:t xml:space="preserve"> </w:t>
      </w:r>
      <w:r>
        <w:t xml:space="preserve">(Beigesellung) ist die schwerste Sünde. Allah der Erhabene sagt:</w:t>
      </w:r>
    </w:p>
    <w:p>
      <w:pPr>
        <w:pStyle w:val="BlockText"/>
      </w:pPr>
      <w:r>
        <w:rPr>
          <w:iCs/>
          <w:i/>
        </w:rPr>
        <w:t xml:space="preserve">﴿إِنَّ ٱللَّهَ لَا يَغْفِرُ أَن يُشْرَكَ بِهِۦ وَيَغْفِرُ مَا دُونَ ذَٰلِكَ لِمَن يَشَآءُ﴾</w:t>
      </w:r>
    </w:p>
    <w:p>
      <w:pPr>
        <w:pStyle w:val="BlockText"/>
      </w:pPr>
      <w:r>
        <w:t xml:space="preserve">„Wahrlich, Allah vergibt nicht, dass Ihm etwas beigesellt wird, doch Er vergibt, was darunter liegt, wem Er will."</w:t>
      </w:r>
    </w:p>
    <w:p>
      <w:pPr>
        <w:pStyle w:val="BlockText"/>
      </w:pPr>
      <w:r>
        <w:t xml:space="preserve">[an-Nisāʾ: 48]</w:t>
      </w:r>
    </w:p>
    <w:bookmarkEnd w:id="33"/>
    <w:bookmarkStart w:id="34" w:name="arten-des-širk"/>
    <w:p>
      <w:pPr>
        <w:pStyle w:val="Heading4"/>
      </w:pPr>
      <w:r>
        <w:t xml:space="preserve">Arten des Širk</w:t>
      </w:r>
    </w:p>
    <w:p>
      <w:pPr>
        <w:pStyle w:val="SourceCode"/>
      </w:pPr>
      <w:r>
        <w:rPr>
          <w:rStyle w:val="VerbatimChar"/>
        </w:rPr>
        <w:t xml:space="preserve">                    Aš-Širk</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Širk al-Akbar              Širk al-Aṣghar</w:t>
      </w:r>
      <w:r>
        <w:br/>
      </w:r>
      <w:r>
        <w:rPr>
          <w:rStyle w:val="VerbatimChar"/>
        </w:rPr>
        <w:t xml:space="preserve">  (Großer Širk)               (Kleiner Širk)</w:t>
      </w:r>
      <w:r>
        <w:br/>
      </w:r>
      <w:r>
        <w:rPr>
          <w:rStyle w:val="VerbatimChar"/>
        </w:rPr>
        <w:t xml:space="preserve">         │                           │</w:t>
      </w:r>
      <w:r>
        <w:br/>
      </w:r>
      <w:r>
        <w:rPr>
          <w:rStyle w:val="VerbatimChar"/>
        </w:rPr>
        <w:t xml:space="preserve">  Hebt den Īmān               Hebt nicht den</w:t>
      </w:r>
      <w:r>
        <w:br/>
      </w:r>
      <w:r>
        <w:rPr>
          <w:rStyle w:val="VerbatimChar"/>
        </w:rPr>
        <w:t xml:space="preserve">  vollständig auf              Īmān auf, aber</w:t>
      </w:r>
      <w:r>
        <w:br/>
      </w:r>
      <w:r>
        <w:rPr>
          <w:rStyle w:val="VerbatimChar"/>
        </w:rPr>
        <w:t xml:space="preserve">                               ist eine schwere</w:t>
      </w:r>
      <w:r>
        <w:br/>
      </w:r>
      <w:r>
        <w:rPr>
          <w:rStyle w:val="VerbatimChar"/>
        </w:rPr>
        <w:t xml:space="preserve">                               Sünde</w:t>
      </w:r>
    </w:p>
    <w:p>
      <w:pPr>
        <w:pStyle w:val="FirstParagraph"/>
      </w:pPr>
      <w:r>
        <w:rPr>
          <w:bCs/>
          <w:b/>
        </w:rPr>
        <w:t xml:space="preserve">Širk al-Akbar (Großer Širk):</w:t>
      </w:r>
    </w:p>
    <w:p>
      <w:pPr>
        <w:numPr>
          <w:ilvl w:val="0"/>
          <w:numId w:val="1016"/>
        </w:numPr>
        <w:pStyle w:val="Compact"/>
      </w:pPr>
      <w:r>
        <w:t xml:space="preserve">Das Richten von ʿIbādah an andere als Allah</w:t>
      </w:r>
    </w:p>
    <w:p>
      <w:pPr>
        <w:numPr>
          <w:ilvl w:val="0"/>
          <w:numId w:val="1016"/>
        </w:numPr>
        <w:pStyle w:val="Compact"/>
      </w:pPr>
      <w:r>
        <w:t xml:space="preserve">Beispiele: Beten an Gräbern, Bittgebete an Verstorbene, Schlachten im Namen anderer als Allah</w:t>
      </w:r>
    </w:p>
    <w:p>
      <w:pPr>
        <w:pStyle w:val="FirstParagraph"/>
      </w:pPr>
      <w:r>
        <w:rPr>
          <w:bCs/>
          <w:b/>
        </w:rPr>
        <w:t xml:space="preserve">Širk al-Aṣghar (Kleiner Širk):</w:t>
      </w:r>
    </w:p>
    <w:p>
      <w:pPr>
        <w:numPr>
          <w:ilvl w:val="0"/>
          <w:numId w:val="1017"/>
        </w:numPr>
        <w:pStyle w:val="Compact"/>
      </w:pPr>
      <w:r>
        <w:t xml:space="preserve">Was in Qurʾān oder Sunnah als Širk bezeichnet wird, aber den Īmān nicht vollständig aufhebt</w:t>
      </w:r>
    </w:p>
    <w:p>
      <w:pPr>
        <w:numPr>
          <w:ilvl w:val="0"/>
          <w:numId w:val="1017"/>
        </w:numPr>
        <w:pStyle w:val="Compact"/>
      </w:pPr>
      <w:r>
        <w:t xml:space="preserve">Wichtigstes Beispiel:</w:t>
      </w:r>
      <w:r>
        <w:t xml:space="preserve"> </w:t>
      </w:r>
      <w:r>
        <w:rPr>
          <w:bCs/>
          <w:b/>
        </w:rPr>
        <w:t xml:space="preserve">Ar-Riyāʾ</w:t>
      </w:r>
      <w:r>
        <w:t xml:space="preserve"> </w:t>
      </w:r>
      <w:r>
        <w:t xml:space="preserve">(Heuchelei im Handeln / Schaustellung)</w:t>
      </w:r>
    </w:p>
    <w:p>
      <w:pPr>
        <w:pStyle w:val="FirstParagraph"/>
      </w:pPr>
      <w:r>
        <w:t xml:space="preserve">Der Prophet ﷺ sagte:</w:t>
      </w:r>
    </w:p>
    <w:p>
      <w:pPr>
        <w:pStyle w:val="BlockText"/>
      </w:pPr>
      <w:r>
        <w:rPr>
          <w:iCs/>
          <w:i/>
        </w:rPr>
        <w:t xml:space="preserve">„أَخْوَفُ مَا أَخَافُ عَلَيْكُمُ الشِّرْكُ الأَصْغَرُ"، قَالُوا: وَمَا الشِّرْكُ الأَصْغَرُ يَا رَسُولَ اللهِ؟ قَالَ: „الرِّيَاءُ"</w:t>
      </w:r>
    </w:p>
    <w:p>
      <w:pPr>
        <w:pStyle w:val="BlockText"/>
      </w:pPr>
      <w:r>
        <w:t xml:space="preserve">„Das, was ich für euch am meisten fürchte, ist der kleine Širk." Sie fragten: „Was ist der kleine Širk, o Gesandter Allahs?" Er sagte: „Die Heuchelei (ar-Riyāʾ)."</w:t>
      </w:r>
    </w:p>
    <w:p>
      <w:pPr>
        <w:pStyle w:val="BlockText"/>
      </w:pPr>
      <w:r>
        <w:t xml:space="preserve">[Überliefert von Aḥmad]</w:t>
      </w:r>
    </w:p>
    <w:p>
      <w:r>
        <w:pict>
          <v:rect style="width:0;height:1.5pt" o:hralign="center" o:hrstd="t" o:hr="t"/>
        </w:pict>
      </w:r>
    </w:p>
    <w:bookmarkEnd w:id="34"/>
    <w:bookmarkEnd w:id="35"/>
    <w:bookmarkEnd w:id="36"/>
    <w:bookmarkStart w:id="38" w:name="X2750e217948811856589b1a8e5f00c752809600"/>
    <w:p>
      <w:pPr>
        <w:pStyle w:val="Heading2"/>
      </w:pPr>
      <w:r>
        <w:t xml:space="preserve">2. Säule: Īmān bil-Malāʾikah – Glaube an die Engel</w:t>
      </w:r>
    </w:p>
    <w:bookmarkStart w:id="37" w:name="übersicht"/>
    <w:p>
      <w:pPr>
        <w:pStyle w:val="Heading3"/>
      </w:pPr>
      <w:r>
        <w:t xml:space="preserve">Übersicht</w:t>
      </w:r>
    </w:p>
    <w:p>
      <w:pPr>
        <w:pStyle w:val="SourceCode"/>
      </w:pPr>
      <w:r>
        <w:rPr>
          <w:rStyle w:val="VerbatimChar"/>
        </w:rPr>
        <w:t xml:space="preserve">              Īmān bil-Malāʾikah</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Wer sind        Eigenschaften   Aufgaben</w:t>
      </w:r>
      <w:r>
        <w:br/>
      </w:r>
      <w:r>
        <w:rPr>
          <w:rStyle w:val="VerbatimChar"/>
        </w:rPr>
        <w:t xml:space="preserve">   die Engel?      der Engel       der Engel</w:t>
      </w:r>
      <w:r>
        <w:br/>
      </w:r>
      <w:r>
        <w:rPr>
          <w:rStyle w:val="VerbatimChar"/>
        </w:rPr>
        <w:t xml:space="preserve">         │            │            │</w:t>
      </w:r>
      <w:r>
        <w:br/>
      </w:r>
      <w:r>
        <w:rPr>
          <w:rStyle w:val="VerbatimChar"/>
        </w:rPr>
        <w:t xml:space="preserve">   Geschaffen    - aus Licht      - Jibrīl: Wahi</w:t>
      </w:r>
      <w:r>
        <w:br/>
      </w:r>
      <w:r>
        <w:rPr>
          <w:rStyle w:val="VerbatimChar"/>
        </w:rPr>
        <w:t xml:space="preserve">   aus Licht     - keine Sünde   - Mīkāʾīl: Regen</w:t>
      </w:r>
      <w:r>
        <w:br/>
      </w:r>
      <w:r>
        <w:rPr>
          <w:rStyle w:val="VerbatimChar"/>
        </w:rPr>
        <w:t xml:space="preserve">   (Nūr)         - stets ge-     - Isrāfīl: Posaune</w:t>
      </w:r>
      <w:r>
        <w:br/>
      </w:r>
      <w:r>
        <w:rPr>
          <w:rStyle w:val="VerbatimChar"/>
        </w:rPr>
        <w:t xml:space="preserve">                   horsam         - ʿIzrāʾīl: Tod</w:t>
      </w:r>
      <w:r>
        <w:br/>
      </w:r>
      <w:r>
        <w:rPr>
          <w:rStyle w:val="VerbatimChar"/>
        </w:rPr>
        <w:t xml:space="preserve">                                  - Ḥamalat al-ʿArš</w:t>
      </w:r>
      <w:r>
        <w:br/>
      </w:r>
      <w:r>
        <w:rPr>
          <w:rStyle w:val="VerbatimChar"/>
        </w:rPr>
        <w:t xml:space="preserve">                                  - Kirāman Kātibīn</w:t>
      </w:r>
      <w:r>
        <w:br/>
      </w:r>
      <w:r>
        <w:rPr>
          <w:rStyle w:val="VerbatimChar"/>
        </w:rPr>
        <w:t xml:space="preserve">                                  - Mālik (Höllen-</w:t>
      </w:r>
      <w:r>
        <w:br/>
      </w:r>
      <w:r>
        <w:rPr>
          <w:rStyle w:val="VerbatimChar"/>
        </w:rPr>
        <w:t xml:space="preserve">                                    wächter)</w:t>
      </w:r>
      <w:r>
        <w:br/>
      </w:r>
      <w:r>
        <w:rPr>
          <w:rStyle w:val="VerbatimChar"/>
        </w:rPr>
        <w:t xml:space="preserve">                                  - Riḍwān (Paradies-</w:t>
      </w:r>
      <w:r>
        <w:br/>
      </w:r>
      <w:r>
        <w:rPr>
          <w:rStyle w:val="VerbatimChar"/>
        </w:rPr>
        <w:t xml:space="preserve">                                    wächter)</w:t>
      </w:r>
    </w:p>
    <w:p>
      <w:pPr>
        <w:pStyle w:val="FirstParagraph"/>
      </w:pPr>
      <w:r>
        <w:rPr>
          <w:bCs/>
          <w:b/>
        </w:rPr>
        <w:t xml:space="preserve">Definition der Engel</w:t>
      </w:r>
      <w:r>
        <w:t xml:space="preserve">: Die Engel sind Geschöpfe Allahs, erschaffen aus Licht (Nūr). Sie sind dem Menschen verborgen (ghayb). Ihnen wird geglaubt, indem man:</w:t>
      </w:r>
    </w:p>
    <w:p>
      <w:pPr>
        <w:numPr>
          <w:ilvl w:val="0"/>
          <w:numId w:val="1018"/>
        </w:numPr>
        <w:pStyle w:val="Compact"/>
      </w:pPr>
      <w:r>
        <w:t xml:space="preserve">Ihre Existenz bejaht</w:t>
      </w:r>
    </w:p>
    <w:p>
      <w:pPr>
        <w:numPr>
          <w:ilvl w:val="0"/>
          <w:numId w:val="1018"/>
        </w:numPr>
        <w:pStyle w:val="Compact"/>
      </w:pPr>
      <w:r>
        <w:t xml:space="preserve">Ihren Namen bejaht, soweit überliefert</w:t>
      </w:r>
    </w:p>
    <w:p>
      <w:pPr>
        <w:numPr>
          <w:ilvl w:val="0"/>
          <w:numId w:val="1018"/>
        </w:numPr>
        <w:pStyle w:val="Compact"/>
      </w:pPr>
      <w:r>
        <w:t xml:space="preserve">Ihre Eigenschaften bejaht, soweit überliefert</w:t>
      </w:r>
    </w:p>
    <w:p>
      <w:pPr>
        <w:numPr>
          <w:ilvl w:val="0"/>
          <w:numId w:val="1018"/>
        </w:numPr>
        <w:pStyle w:val="Compact"/>
      </w:pPr>
      <w:r>
        <w:t xml:space="preserve">Ihre Aufgaben bejaht, soweit überliefert</w:t>
      </w:r>
    </w:p>
    <w:p>
      <w:pPr>
        <w:pStyle w:val="FirstParagraph"/>
      </w:pPr>
      <w:r>
        <w:rPr>
          <w:bCs/>
          <w:b/>
        </w:rPr>
        <w:t xml:space="preserve">Belege:</w:t>
      </w:r>
    </w:p>
    <w:p>
      <w:pPr>
        <w:pStyle w:val="BlockText"/>
      </w:pPr>
      <w:r>
        <w:rPr>
          <w:iCs/>
          <w:i/>
        </w:rPr>
        <w:t xml:space="preserve">﴿وَلِلَّهِ يَسْجُدُ مَا فِى ٱلسَّمَـٰوَٰتِ وَمَا فِى ٱلْأَرْضِ مِن دَآبَّةٍ وَٱلْمَلَـٰٓئِكَةُ وَهُمْ لَا يَسْتَكْبِرُونَ﴾</w:t>
      </w:r>
    </w:p>
    <w:p>
      <w:pPr>
        <w:pStyle w:val="BlockText"/>
      </w:pPr>
      <w:r>
        <w:t xml:space="preserve">„Und Allah prostratiert sich alles, was in den Himmeln und auf der Erde an Lebewesen ist, und die Engel – und sie verhalten sich nicht hochmütig."</w:t>
      </w:r>
    </w:p>
    <w:p>
      <w:pPr>
        <w:pStyle w:val="BlockText"/>
      </w:pPr>
      <w:r>
        <w:t xml:space="preserve">[an-Naḥl: 49]</w:t>
      </w:r>
    </w:p>
    <w:p>
      <w:pPr>
        <w:pStyle w:val="FirstParagraph"/>
      </w:pPr>
      <w:r>
        <w:t xml:space="preserve">Der Prophet ﷺ sagte über die Erschaffung der Engel:</w:t>
      </w:r>
    </w:p>
    <w:p>
      <w:pPr>
        <w:pStyle w:val="BlockText"/>
      </w:pPr>
      <w:r>
        <w:rPr>
          <w:iCs/>
          <w:i/>
        </w:rPr>
        <w:t xml:space="preserve">„خُلِقَتِ الْمَلَائِكَةُ مِنْ نُورٍ، وَخُلِقَ الْجَانُّ مِنْ مَارِجٍ مِنْ نَارٍ، وَخُلِقَ آدَمُ مِمَّا وُصِفَ لَكُمْ"</w:t>
      </w:r>
    </w:p>
    <w:p>
      <w:pPr>
        <w:pStyle w:val="BlockText"/>
      </w:pPr>
      <w:r>
        <w:t xml:space="preserve">„Die Engel wurden aus Licht erschaffen, die Dschinn aus rauchlosem Feuer, und Ādam aus dem, was euch beschrieben wurde."</w:t>
      </w:r>
    </w:p>
    <w:p>
      <w:pPr>
        <w:pStyle w:val="BlockText"/>
      </w:pPr>
      <w:r>
        <w:t xml:space="preserve">[Überliefert von Muslim]</w:t>
      </w:r>
    </w:p>
    <w:p>
      <w:pPr>
        <w:pStyle w:val="FirstParagraph"/>
      </w:pPr>
      <w:r>
        <w:rPr>
          <w:bCs/>
          <w:b/>
        </w:rPr>
        <w:t xml:space="preserve">Eigenschaften der Engel:</w:t>
      </w:r>
    </w:p>
    <w:p>
      <w:pPr>
        <w:numPr>
          <w:ilvl w:val="0"/>
          <w:numId w:val="1019"/>
        </w:numPr>
        <w:pStyle w:val="Compact"/>
      </w:pPr>
      <w:r>
        <w:t xml:space="preserve">Sie sündigen nicht:</w:t>
      </w:r>
      <w:r>
        <w:t xml:space="preserve"> </w:t>
      </w:r>
      <w:r>
        <w:rPr>
          <w:iCs/>
          <w:i/>
        </w:rPr>
        <w:t xml:space="preserve">﴿لَّا يَعْصُونَ ٱللَّهَ مَآ أَمَرَهُمْ وَيَفْعَلُونَ مَا يُؤْمَرُونَ﴾</w:t>
      </w:r>
      <w:r>
        <w:t xml:space="preserve"> </w:t>
      </w:r>
      <w:r>
        <w:t xml:space="preserve">[at-Taḥrīm: 6]</w:t>
      </w:r>
    </w:p>
    <w:p>
      <w:pPr>
        <w:numPr>
          <w:ilvl w:val="0"/>
          <w:numId w:val="1019"/>
        </w:numPr>
        <w:pStyle w:val="Compact"/>
      </w:pPr>
      <w:r>
        <w:t xml:space="preserve">Sie ermüden nicht in ihrer Anbetung</w:t>
      </w:r>
    </w:p>
    <w:p>
      <w:pPr>
        <w:numPr>
          <w:ilvl w:val="0"/>
          <w:numId w:val="1019"/>
        </w:numPr>
        <w:pStyle w:val="Compact"/>
      </w:pPr>
      <w:r>
        <w:t xml:space="preserve">Sie können verschiedene Gestalten annehmen</w:t>
      </w:r>
    </w:p>
    <w:p>
      <w:pPr>
        <w:numPr>
          <w:ilvl w:val="0"/>
          <w:numId w:val="1019"/>
        </w:numPr>
        <w:pStyle w:val="Compact"/>
      </w:pPr>
      <w:r>
        <w:t xml:space="preserve">Sie besitzen keine Geschlechter – weder männlich noch weiblich</w:t>
      </w:r>
    </w:p>
    <w:p>
      <w:pPr>
        <w:pStyle w:val="FirstParagraph"/>
      </w:pPr>
      <w:r>
        <w:rPr>
          <w:bCs/>
          <w:b/>
        </w:rPr>
        <w:t xml:space="preserve">Nichtigkeitsgrund</w:t>
      </w:r>
      <w:r>
        <w:t xml:space="preserve">: Zu glauben, dass die Engel Töchter Allahs seien – wie die Heiden behaupteten. Dies ist klarer Unglaube.</w:t>
      </w:r>
    </w:p>
    <w:p>
      <w:r>
        <w:pict>
          <v:rect style="width:0;height:1.5pt" o:hralign="center" o:hrstd="t" o:hr="t"/>
        </w:pict>
      </w:r>
    </w:p>
    <w:bookmarkEnd w:id="37"/>
    <w:bookmarkEnd w:id="38"/>
    <w:bookmarkStart w:id="40" w:name="X337435dcddd0d8dadb73de8b64b679272c74653"/>
    <w:p>
      <w:pPr>
        <w:pStyle w:val="Heading2"/>
      </w:pPr>
      <w:r>
        <w:t xml:space="preserve">3. Säule: Īmān bil-Kutub – Glaube an die Bücher</w:t>
      </w:r>
    </w:p>
    <w:bookmarkStart w:id="39" w:name="übersicht-1"/>
    <w:p>
      <w:pPr>
        <w:pStyle w:val="Heading3"/>
      </w:pPr>
      <w:r>
        <w:t xml:space="preserve">Übersicht</w:t>
      </w:r>
    </w:p>
    <w:p>
      <w:pPr>
        <w:pStyle w:val="SourceCode"/>
      </w:pPr>
      <w:r>
        <w:rPr>
          <w:rStyle w:val="VerbatimChar"/>
        </w:rPr>
        <w:t xml:space="preserve">              Īmān bil-Kutub</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Glaube an     Besondere       Vorrangstellung</w:t>
      </w:r>
      <w:r>
        <w:br/>
      </w:r>
      <w:r>
        <w:rPr>
          <w:rStyle w:val="VerbatimChar"/>
        </w:rPr>
        <w:t xml:space="preserve">  alle Bücher    Stellung des      des Qurʾān</w:t>
      </w:r>
      <w:r>
        <w:br/>
      </w:r>
      <w:r>
        <w:rPr>
          <w:rStyle w:val="VerbatimChar"/>
        </w:rPr>
        <w:t xml:space="preserve">                  Qurʾān</w:t>
      </w:r>
      <w:r>
        <w:br/>
      </w:r>
      <w:r>
        <w:rPr>
          <w:rStyle w:val="VerbatimChar"/>
        </w:rPr>
        <w:t xml:space="preserve">         │            │            │</w:t>
      </w:r>
      <w:r>
        <w:br/>
      </w:r>
      <w:r>
        <w:rPr>
          <w:rStyle w:val="VerbatimChar"/>
        </w:rPr>
        <w:t xml:space="preserve">    - Tawrāt      - Abrogiert    - Bewahrter</w:t>
      </w:r>
      <w:r>
        <w:br/>
      </w:r>
      <w:r>
        <w:rPr>
          <w:rStyle w:val="VerbatimChar"/>
        </w:rPr>
        <w:t xml:space="preserve">    - Inǧīl         alle früheren  Text</w:t>
      </w:r>
      <w:r>
        <w:br/>
      </w:r>
      <w:r>
        <w:rPr>
          <w:rStyle w:val="VerbatimChar"/>
        </w:rPr>
        <w:t xml:space="preserve">    - Zabūr         Bücher       - Letztes Buch</w:t>
      </w:r>
      <w:r>
        <w:br/>
      </w:r>
      <w:r>
        <w:rPr>
          <w:rStyle w:val="VerbatimChar"/>
        </w:rPr>
        <w:t xml:space="preserve">    - Ṣuḥuf       - Umfassend    - Schiedsrichter</w:t>
      </w:r>
      <w:r>
        <w:br/>
      </w:r>
      <w:r>
        <w:rPr>
          <w:rStyle w:val="VerbatimChar"/>
        </w:rPr>
        <w:t xml:space="preserve">      Ibrāhīm     - Bewahrt vor    über alle</w:t>
      </w:r>
      <w:r>
        <w:br/>
      </w:r>
      <w:r>
        <w:rPr>
          <w:rStyle w:val="VerbatimChar"/>
        </w:rPr>
        <w:t xml:space="preserve">    - Qurʾān        Verfälschung   früheren</w:t>
      </w:r>
      <w:r>
        <w:br/>
      </w:r>
      <w:r>
        <w:rPr>
          <w:rStyle w:val="VerbatimChar"/>
        </w:rPr>
        <w:t xml:space="preserve">                                   Offenbarungen</w:t>
      </w:r>
    </w:p>
    <w:p>
      <w:pPr>
        <w:pStyle w:val="FirstParagraph"/>
      </w:pPr>
      <w:r>
        <w:rPr>
          <w:bCs/>
          <w:b/>
        </w:rPr>
        <w:t xml:space="preserve">Besondere Eigenschaften des Qurʾān:</w:t>
      </w:r>
    </w:p>
    <w:p>
      <w:pPr>
        <w:numPr>
          <w:ilvl w:val="0"/>
          <w:numId w:val="1020"/>
        </w:numPr>
        <w:pStyle w:val="Compact"/>
      </w:pPr>
      <w:r>
        <w:rPr>
          <w:bCs/>
          <w:b/>
        </w:rPr>
        <w:t xml:space="preserve">Al-Ḥifẓ (Bewahrung)</w:t>
      </w:r>
      <w:r>
        <w:t xml:space="preserve">: Allah hat Sich persönlich zur Bewahrung des Qurʾān verpflichtet:</w:t>
      </w:r>
    </w:p>
    <w:p>
      <w:pPr>
        <w:pStyle w:val="BlockText"/>
      </w:pPr>
      <w:r>
        <w:rPr>
          <w:iCs/>
          <w:i/>
        </w:rPr>
        <w:t xml:space="preserve">﴿إِنَّا نَحْنُ نَزَّلْنَا ٱلذِّكْرَ وَإِنَّا لَهُۥ لَحَـٰفِظُونَ﴾</w:t>
      </w:r>
    </w:p>
    <w:p>
      <w:pPr>
        <w:pStyle w:val="BlockText"/>
      </w:pPr>
      <w:r>
        <w:t xml:space="preserve">„Wahrlich, Wir haben die Ermahnung (den Qurʾān) herabgesandt, und Wir sind wahrlich seine Hüter."</w:t>
      </w:r>
    </w:p>
    <w:p>
      <w:pPr>
        <w:pStyle w:val="BlockText"/>
      </w:pPr>
      <w:r>
        <w:t xml:space="preserve">[al-Ḥiǧr: 9]</w:t>
      </w:r>
    </w:p>
    <w:p>
      <w:pPr>
        <w:numPr>
          <w:ilvl w:val="0"/>
          <w:numId w:val="1021"/>
        </w:numPr>
        <w:pStyle w:val="Compact"/>
      </w:pPr>
      <w:r>
        <w:rPr>
          <w:bCs/>
          <w:b/>
        </w:rPr>
        <w:t xml:space="preserve">Al-Ḥākimiyyah (Richterschaft)</w:t>
      </w:r>
      <w:r>
        <w:t xml:space="preserve">: Der Qurʾān ist Schiedsrichter über alle früheren Schriften:</w:t>
      </w:r>
    </w:p>
    <w:p>
      <w:pPr>
        <w:pStyle w:val="BlockText"/>
      </w:pPr>
      <w:r>
        <w:rPr>
          <w:iCs/>
          <w:i/>
        </w:rPr>
        <w:t xml:space="preserve">﴿وَأَنزَلْنَآ إِلَيْكَ ٱلْكِتَـٰبَ بِٱلْحَقِّ مُصَدِّقًا لِّمَا بَيْنَ يَدَيْهِ مِنَ ٱلْكِتَـٰبِ وَمُهَيْمِنًا عَلَيْهِ﴾</w:t>
      </w:r>
    </w:p>
    <w:p>
      <w:pPr>
        <w:pStyle w:val="BlockText"/>
      </w:pPr>
      <w:r>
        <w:t xml:space="preserve">„Und Wir haben dir das Buch mit der Wahrheit herabgesandt, als Bestätigung dessen, was vor ihm an Schrift war, und als Wächter über sie."</w:t>
      </w:r>
    </w:p>
    <w:p>
      <w:pPr>
        <w:pStyle w:val="BlockText"/>
      </w:pPr>
      <w:r>
        <w:t xml:space="preserve">[al-Māʾidah: 48]</w:t>
      </w:r>
    </w:p>
    <w:p>
      <w:pPr>
        <w:numPr>
          <w:ilvl w:val="0"/>
          <w:numId w:val="1022"/>
        </w:numPr>
        <w:pStyle w:val="Compact"/>
      </w:pPr>
      <w:r>
        <w:rPr>
          <w:bCs/>
          <w:b/>
        </w:rPr>
        <w:t xml:space="preserve">An-Naskhiyyah (Abrogation)</w:t>
      </w:r>
      <w:r>
        <w:t xml:space="preserve">: Der Qurʾān hat alle früheren Schriften abrogiert (aufgehoben).</w:t>
      </w:r>
    </w:p>
    <w:p>
      <w:pPr>
        <w:pStyle w:val="FirstParagraph"/>
      </w:pPr>
      <w:r>
        <w:rPr>
          <w:bCs/>
          <w:b/>
        </w:rPr>
        <w:t xml:space="preserve">Nichtigkeitsgrund</w:t>
      </w:r>
      <w:r>
        <w:t xml:space="preserve">: Zu leugnen, dass der Qurʾān Allahs Wort ist, oder zu behaupten, er sei von Menschen verfasst.</w:t>
      </w:r>
    </w:p>
    <w:p>
      <w:r>
        <w:pict>
          <v:rect style="width:0;height:1.5pt" o:hralign="center" o:hrstd="t" o:hr="t"/>
        </w:pict>
      </w:r>
    </w:p>
    <w:bookmarkEnd w:id="39"/>
    <w:bookmarkEnd w:id="40"/>
    <w:bookmarkStart w:id="42" w:name="Xec32d2f1a4975a1767ca3e0da111af7f0038c67"/>
    <w:p>
      <w:pPr>
        <w:pStyle w:val="Heading2"/>
      </w:pPr>
      <w:r>
        <w:t xml:space="preserve">4. Säule: Īmān bil-Rusul – Glaube an die Gesandten</w:t>
      </w:r>
    </w:p>
    <w:bookmarkStart w:id="41" w:name="übersicht-2"/>
    <w:p>
      <w:pPr>
        <w:pStyle w:val="Heading3"/>
      </w:pPr>
      <w:r>
        <w:t xml:space="preserve">Übersicht</w:t>
      </w:r>
    </w:p>
    <w:p>
      <w:pPr>
        <w:pStyle w:val="SourceCode"/>
      </w:pPr>
      <w:r>
        <w:rPr>
          <w:rStyle w:val="VerbatimChar"/>
        </w:rPr>
        <w:t xml:space="preserve">              Īmān bil-Rusul</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Glaube an     Eigenschaften   Besonderes über</w:t>
      </w:r>
      <w:r>
        <w:br/>
      </w:r>
      <w:r>
        <w:rPr>
          <w:rStyle w:val="VerbatimChar"/>
        </w:rPr>
        <w:t xml:space="preserve">  alle Gesandten  der Gesandten    Muḥammad ﷺ</w:t>
      </w:r>
      <w:r>
        <w:br/>
      </w:r>
      <w:r>
        <w:rPr>
          <w:rStyle w:val="VerbatimChar"/>
        </w:rPr>
        <w:t xml:space="preserve">         │            │            │</w:t>
      </w:r>
      <w:r>
        <w:br/>
      </w:r>
      <w:r>
        <w:rPr>
          <w:rStyle w:val="VerbatimChar"/>
        </w:rPr>
        <w:t xml:space="preserve">    - Namentlich  - Ṣidq          - Letzter Prophet</w:t>
      </w:r>
      <w:r>
        <w:br/>
      </w:r>
      <w:r>
        <w:rPr>
          <w:rStyle w:val="VerbatimChar"/>
        </w:rPr>
        <w:t xml:space="preserve">      bekannte:     (Wahrhaftig-  - Gesandt zu</w:t>
      </w:r>
      <w:r>
        <w:br/>
      </w:r>
      <w:r>
        <w:rPr>
          <w:rStyle w:val="VerbatimChar"/>
        </w:rPr>
        <w:t xml:space="preserve">      25 im Qurʾān  keit)           gesamter</w:t>
      </w:r>
      <w:r>
        <w:br/>
      </w:r>
      <w:r>
        <w:rPr>
          <w:rStyle w:val="VerbatimChar"/>
        </w:rPr>
        <w:t xml:space="preserve">    - Viele       - Amānah           Menschheit</w:t>
      </w:r>
      <w:r>
        <w:br/>
      </w:r>
      <w:r>
        <w:rPr>
          <w:rStyle w:val="VerbatimChar"/>
        </w:rPr>
        <w:t xml:space="preserve">      unbekannte    (Vertrauen)    - Sein Šarīʿah</w:t>
      </w:r>
      <w:r>
        <w:br/>
      </w:r>
      <w:r>
        <w:rPr>
          <w:rStyle w:val="VerbatimChar"/>
        </w:rPr>
        <w:t xml:space="preserve">                  - Tablīgh         abrogiert alle</w:t>
      </w:r>
      <w:r>
        <w:br/>
      </w:r>
      <w:r>
        <w:rPr>
          <w:rStyle w:val="VerbatimChar"/>
        </w:rPr>
        <w:t xml:space="preserve">                    (Übermittlung)  früheren</w:t>
      </w:r>
      <w:r>
        <w:br/>
      </w:r>
      <w:r>
        <w:rPr>
          <w:rStyle w:val="VerbatimChar"/>
        </w:rPr>
        <w:t xml:space="preserve">                  - Faṭānah</w:t>
      </w:r>
      <w:r>
        <w:br/>
      </w:r>
      <w:r>
        <w:rPr>
          <w:rStyle w:val="VerbatimChar"/>
        </w:rPr>
        <w:t xml:space="preserve">                    (Klugheit)</w:t>
      </w:r>
    </w:p>
    <w:p>
      <w:pPr>
        <w:pStyle w:val="FirstParagraph"/>
      </w:pPr>
      <w:r>
        <w:rPr>
          <w:bCs/>
          <w:b/>
        </w:rPr>
        <w:t xml:space="preserve">Pflicht des Glaubens:</w:t>
      </w:r>
    </w:p>
    <w:p>
      <w:pPr>
        <w:numPr>
          <w:ilvl w:val="0"/>
          <w:numId w:val="1023"/>
        </w:numPr>
        <w:pStyle w:val="Compact"/>
      </w:pPr>
      <w:r>
        <w:t xml:space="preserve">An alle Gesandten namentlich zu glauben, soweit ihre Namen bekannt sind</w:t>
      </w:r>
    </w:p>
    <w:p>
      <w:pPr>
        <w:numPr>
          <w:ilvl w:val="0"/>
          <w:numId w:val="1023"/>
        </w:numPr>
        <w:pStyle w:val="Compact"/>
      </w:pPr>
      <w:r>
        <w:t xml:space="preserve">Im Allgemeinen an alle Gesandten zu glauben, auch die nicht namentlich bekannten</w:t>
      </w:r>
    </w:p>
    <w:p>
      <w:pPr>
        <w:pStyle w:val="FirstParagraph"/>
      </w:pPr>
      <w:r>
        <w:rPr>
          <w:bCs/>
          <w:b/>
        </w:rPr>
        <w:t xml:space="preserve">Beweis:</w:t>
      </w:r>
    </w:p>
    <w:p>
      <w:pPr>
        <w:pStyle w:val="BlockText"/>
      </w:pPr>
      <w:r>
        <w:rPr>
          <w:iCs/>
          <w:i/>
        </w:rPr>
        <w:t xml:space="preserve">﴿وَلَقَدْ أَرْسَلْنَا رُسُلًا مِّن قَبْلِكَ مِنْهُم مَّن قَصَصْنَا عَلَيْكَ وَمِنْهُم مَّن لَّمْ نَقْصُصْ عَلَيْكَ﴾</w:t>
      </w:r>
    </w:p>
    <w:p>
      <w:pPr>
        <w:pStyle w:val="BlockText"/>
      </w:pPr>
      <w:r>
        <w:t xml:space="preserve">„Und Wir sandten Gesandte vor dir – von ihnen haben Wir dir (einige) erzählt, und von ihnen haben Wir dir (manche) nicht erzählt."</w:t>
      </w:r>
    </w:p>
    <w:p>
      <w:pPr>
        <w:pStyle w:val="BlockText"/>
      </w:pPr>
      <w:r>
        <w:t xml:space="preserve">[Ghāfir: 78]</w:t>
      </w:r>
    </w:p>
    <w:p>
      <w:pPr>
        <w:pStyle w:val="FirstParagraph"/>
      </w:pPr>
      <w:r>
        <w:rPr>
          <w:bCs/>
          <w:b/>
        </w:rPr>
        <w:t xml:space="preserve">Besonderes über den Propheten Muḥammad ﷺ:</w:t>
      </w:r>
    </w:p>
    <w:p>
      <w:pPr>
        <w:numPr>
          <w:ilvl w:val="0"/>
          <w:numId w:val="1024"/>
        </w:numPr>
        <w:pStyle w:val="Compact"/>
      </w:pPr>
      <w:r>
        <w:t xml:space="preserve">Er ist der letzte Prophet ohne Nachfolger:</w:t>
      </w:r>
    </w:p>
    <w:p>
      <w:pPr>
        <w:pStyle w:val="BlockText"/>
      </w:pPr>
      <w:r>
        <w:rPr>
          <w:iCs/>
          <w:i/>
        </w:rPr>
        <w:t xml:space="preserve">﴿مَّا كَانَ مُحَمَّدٌ أَبَآ أَحَدٍ مِّن رِّجَالِكُمْ وَلَـٰكِن رَّسُولَ ٱللَّهِ وَخَاتَمَ ٱلنَّبِيِّـۧنَ﴾</w:t>
      </w:r>
      <w:r>
        <w:t xml:space="preserve"> </w:t>
      </w:r>
      <w:r>
        <w:t xml:space="preserve">„Muḥammad ist nicht der Vater eines eurer Männer, sondern der Gesandte Allahs und das Siegel der Propheten." [al-Aḥzāb: 40]</w:t>
      </w:r>
    </w:p>
    <w:p>
      <w:pPr>
        <w:numPr>
          <w:ilvl w:val="0"/>
          <w:numId w:val="1025"/>
        </w:numPr>
      </w:pPr>
      <w:r>
        <w:t xml:space="preserve">Er wurde zu der gesamten Menschheit und den Dschinn gesandt.</w:t>
      </w:r>
    </w:p>
    <w:p>
      <w:pPr>
        <w:numPr>
          <w:ilvl w:val="0"/>
          <w:numId w:val="1025"/>
        </w:numPr>
      </w:pPr>
      <w:r>
        <w:t xml:space="preserve">Sein Šarīʿah ist das abschließende und allumfassende Gesetz.</w:t>
      </w:r>
    </w:p>
    <w:p>
      <w:pPr>
        <w:pStyle w:val="FirstParagraph"/>
      </w:pPr>
      <w:r>
        <w:rPr>
          <w:bCs/>
          <w:b/>
        </w:rPr>
        <w:t xml:space="preserve">Nichtigkeitsgrund</w:t>
      </w:r>
      <w:r>
        <w:t xml:space="preserve">: Einen der Propheten zu verleugnen – denn wer einen verleugnet, verleugnet sie alle.</w:t>
      </w:r>
    </w:p>
    <w:p>
      <w:r>
        <w:pict>
          <v:rect style="width:0;height:1.5pt" o:hralign="center" o:hrstd="t" o:hr="t"/>
        </w:pict>
      </w:r>
    </w:p>
    <w:bookmarkEnd w:id="41"/>
    <w:bookmarkEnd w:id="42"/>
    <w:bookmarkStart w:id="49" w:name="Xa847d4a98b24ac81e66d8126d8943cb962f0416"/>
    <w:p>
      <w:pPr>
        <w:pStyle w:val="Heading2"/>
      </w:pPr>
      <w:r>
        <w:t xml:space="preserve">5. Säule: Īmān bil-Yawm al-Ākhir – Glaube an den Jüngsten Tag</w:t>
      </w:r>
    </w:p>
    <w:bookmarkStart w:id="48" w:name="übersicht-3"/>
    <w:p>
      <w:pPr>
        <w:pStyle w:val="Heading3"/>
      </w:pPr>
      <w:r>
        <w:t xml:space="preserve">Übersicht</w:t>
      </w:r>
    </w:p>
    <w:p>
      <w:pPr>
        <w:pStyle w:val="SourceCode"/>
      </w:pPr>
      <w:r>
        <w:rPr>
          <w:rStyle w:val="VerbatimChar"/>
        </w:rPr>
        <w:t xml:space="preserve">          Īmān bil-Yawm al-Ākhir</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al-Barzakh     al-Qiyāmah           al-Ākhirah</w:t>
      </w:r>
      <w:r>
        <w:br/>
      </w:r>
      <w:r>
        <w:rPr>
          <w:rStyle w:val="VerbatimChar"/>
        </w:rPr>
        <w:t xml:space="preserve">(Zwischenwelt)  (Auferstehung)       (Das Jenseits)</w:t>
      </w:r>
      <w:r>
        <w:br/>
      </w:r>
      <w:r>
        <w:rPr>
          <w:rStyle w:val="VerbatimChar"/>
        </w:rPr>
        <w:t xml:space="preserve">    │                 │                 │</w:t>
      </w:r>
      <w:r>
        <w:br/>
      </w:r>
      <w:r>
        <w:rPr>
          <w:rStyle w:val="VerbatimChar"/>
        </w:rPr>
        <w:t xml:space="preserve">- Befragung     - Baʿṯ (Auferstehung) - al-Ḥisāb</w:t>
      </w:r>
      <w:r>
        <w:br/>
      </w:r>
      <w:r>
        <w:rPr>
          <w:rStyle w:val="VerbatimChar"/>
        </w:rPr>
        <w:t xml:space="preserve">  durch Munkar  - Ḥašr (Versammlung)    (Abrechnung)</w:t>
      </w:r>
      <w:r>
        <w:br/>
      </w:r>
      <w:r>
        <w:rPr>
          <w:rStyle w:val="VerbatimChar"/>
        </w:rPr>
        <w:t xml:space="preserve">  wa-Nakīr      - Šafāʿah            - al-Mīzān</w:t>
      </w:r>
      <w:r>
        <w:br/>
      </w:r>
      <w:r>
        <w:rPr>
          <w:rStyle w:val="VerbatimChar"/>
        </w:rPr>
        <w:t xml:space="preserve">- Grabesstrafe   (Fürsprache)          (Waage)</w:t>
      </w:r>
      <w:r>
        <w:br/>
      </w:r>
      <w:r>
        <w:rPr>
          <w:rStyle w:val="VerbatimChar"/>
        </w:rPr>
        <w:t xml:space="preserve">- Grabesfreude  - Ḥawḍ al-Kawthar    - aṣ-Ṣirāṭ</w:t>
      </w:r>
      <w:r>
        <w:br/>
      </w:r>
      <w:r>
        <w:rPr>
          <w:rStyle w:val="VerbatimChar"/>
        </w:rPr>
        <w:t xml:space="preserve">                  (Teich des            (Brücke)</w:t>
      </w:r>
      <w:r>
        <w:br/>
      </w:r>
      <w:r>
        <w:rPr>
          <w:rStyle w:val="VerbatimChar"/>
        </w:rPr>
        <w:t xml:space="preserve">                  Propheten ﷺ)        - al-Jannah</w:t>
      </w:r>
      <w:r>
        <w:br/>
      </w:r>
      <w:r>
        <w:rPr>
          <w:rStyle w:val="VerbatimChar"/>
        </w:rPr>
        <w:t xml:space="preserve">                                        (Paradies)</w:t>
      </w:r>
      <w:r>
        <w:br/>
      </w:r>
      <w:r>
        <w:rPr>
          <w:rStyle w:val="VerbatimChar"/>
        </w:rPr>
        <w:t xml:space="preserve">                                      - an-Nār</w:t>
      </w:r>
      <w:r>
        <w:br/>
      </w:r>
      <w:r>
        <w:rPr>
          <w:rStyle w:val="VerbatimChar"/>
        </w:rPr>
        <w:t xml:space="preserve">                                        (Hölle)</w:t>
      </w:r>
    </w:p>
    <w:bookmarkStart w:id="43" w:name="al-barzakh-zwischenwelt"/>
    <w:p>
      <w:pPr>
        <w:pStyle w:val="Heading4"/>
      </w:pPr>
      <w:r>
        <w:t xml:space="preserve">Al-Barzakh (Zwischenwelt)</w:t>
      </w:r>
    </w:p>
    <w:p>
      <w:pPr>
        <w:pStyle w:val="FirstParagraph"/>
      </w:pPr>
      <w:r>
        <w:rPr>
          <w:bCs/>
          <w:b/>
        </w:rPr>
        <w:t xml:space="preserve">Definition</w:t>
      </w:r>
      <w:r>
        <w:t xml:space="preserve">: Die Welt zwischen dem Tod und der Auferstehung.</w:t>
      </w:r>
    </w:p>
    <w:p>
      <w:pPr>
        <w:pStyle w:val="BodyText"/>
      </w:pPr>
      <w:r>
        <w:t xml:space="preserve">In al-Barzakh findet statt:</w:t>
      </w:r>
    </w:p>
    <w:p>
      <w:pPr>
        <w:numPr>
          <w:ilvl w:val="0"/>
          <w:numId w:val="1026"/>
        </w:numPr>
        <w:pStyle w:val="Compact"/>
      </w:pPr>
      <w:r>
        <w:rPr>
          <w:bCs/>
          <w:b/>
        </w:rPr>
        <w:t xml:space="preserve">Suʾāl al-Qabr</w:t>
      </w:r>
      <w:r>
        <w:t xml:space="preserve"> </w:t>
      </w:r>
      <w:r>
        <w:t xml:space="preserve">(Befragung im Grab): Die zwei Engel Munkar und Nakīr befragen jeden Verstorbenen über: seinen Herrn, seine Religion und seinen Propheten.</w:t>
      </w:r>
    </w:p>
    <w:p>
      <w:pPr>
        <w:numPr>
          <w:ilvl w:val="0"/>
          <w:numId w:val="1026"/>
        </w:numPr>
        <w:pStyle w:val="Compact"/>
      </w:pPr>
      <w:r>
        <w:rPr>
          <w:bCs/>
          <w:b/>
        </w:rPr>
        <w:t xml:space="preserve">ʿAdhāb al-Qabr oder Naʿīm al-Qabr</w:t>
      </w:r>
      <w:r>
        <w:t xml:space="preserve">: Der Gläubige erlebt die Freuden des Grabes; der Sünder und der Ungläubige erfahren die Grabesstrafe.</w:t>
      </w:r>
    </w:p>
    <w:p>
      <w:pPr>
        <w:pStyle w:val="FirstParagraph"/>
      </w:pPr>
      <w:r>
        <w:t xml:space="preserve">Der Beweis für die Grabesstrafe:</w:t>
      </w:r>
    </w:p>
    <w:p>
      <w:pPr>
        <w:pStyle w:val="BlockText"/>
      </w:pPr>
      <w:r>
        <w:rPr>
          <w:iCs/>
          <w:i/>
        </w:rPr>
        <w:t xml:space="preserve">﴿ٱلنَّارُ يُعْرَضُونَ عَلَيْهَا غُدُوًّا وَعَشِيًّا ۖ وَيَوْمَ تَقُومُ ٱلسَّاعَةُ أَدْخِلُوٓا۟ ءَالَ فِرْعَوْنَ أَشَدَّ ٱلْعَذَابِ﴾</w:t>
      </w:r>
    </w:p>
    <w:p>
      <w:pPr>
        <w:pStyle w:val="BlockText"/>
      </w:pPr>
      <w:r>
        <w:t xml:space="preserve">„Das Feuer – morgens und abends werden sie ihm ausgesetzt. Und am Tag, an dem die Stunde anbricht: Lasst das Volk des Pharao in die härteste Strafe eintreten."</w:t>
      </w:r>
    </w:p>
    <w:p>
      <w:pPr>
        <w:pStyle w:val="BlockText"/>
      </w:pPr>
      <w:r>
        <w:t xml:space="preserve">[Ghāfir: 46]</w:t>
      </w:r>
    </w:p>
    <w:bookmarkEnd w:id="43"/>
    <w:bookmarkStart w:id="44" w:name="X2d956cc155332b41e76be5779f5aa2d2078f7d6"/>
    <w:p>
      <w:pPr>
        <w:pStyle w:val="Heading4"/>
      </w:pPr>
      <w:r>
        <w:t xml:space="preserve">Al-Baʿṯ wal-Ḥašr (Auferstehung und Versammlung)</w:t>
      </w:r>
    </w:p>
    <w:p>
      <w:pPr>
        <w:pStyle w:val="FirstParagraph"/>
      </w:pPr>
      <w:r>
        <w:rPr>
          <w:bCs/>
          <w:b/>
        </w:rPr>
        <w:t xml:space="preserve">Al-Baʿṯ</w:t>
      </w:r>
      <w:r>
        <w:t xml:space="preserve">: Allah erweckt alle Toten zum Leben, indem Er Regen vom Himmel sendet, der die Körper wieder auferstehen lässt – wie Er alles Lebendige hervorgebracht hat.</w:t>
      </w:r>
    </w:p>
    <w:p>
      <w:pPr>
        <w:pStyle w:val="BodyText"/>
      </w:pPr>
      <w:r>
        <w:rPr>
          <w:bCs/>
          <w:b/>
        </w:rPr>
        <w:t xml:space="preserve">Al-Ḥašr</w:t>
      </w:r>
      <w:r>
        <w:t xml:space="preserve">: Die Versammlung aller Menschen auf dem Ort der Auferstehung (arḍ al-maḥšar) – barfuß, nackt und unbeschnitten.</w:t>
      </w:r>
    </w:p>
    <w:bookmarkEnd w:id="44"/>
    <w:bookmarkStart w:id="45" w:name="aš-šafāʿah-fürsprache"/>
    <w:p>
      <w:pPr>
        <w:pStyle w:val="Heading4"/>
      </w:pPr>
      <w:r>
        <w:t xml:space="preserve">Aš-Šafāʿah (Fürsprache)</w:t>
      </w:r>
    </w:p>
    <w:p>
      <w:pPr>
        <w:pStyle w:val="FirstParagraph"/>
      </w:pPr>
      <w:r>
        <w:t xml:space="preserve">Die Fürsprache gibt es im Jenseits und ist eine Wahrheit (ḥaqq).</w:t>
      </w:r>
    </w:p>
    <w:p>
      <w:pPr>
        <w:pStyle w:val="BodyText"/>
      </w:pPr>
      <w:r>
        <w:rPr>
          <w:bCs/>
          <w:b/>
        </w:rPr>
        <w:t xml:space="preserve">Bedingungen der Šafāʿah:</w:t>
      </w:r>
    </w:p>
    <w:p>
      <w:pPr>
        <w:numPr>
          <w:ilvl w:val="0"/>
          <w:numId w:val="1027"/>
        </w:numPr>
        <w:pStyle w:val="Compact"/>
      </w:pPr>
      <w:r>
        <w:t xml:space="preserve">Allahs Erlaubnis für den Fürsprecher</w:t>
      </w:r>
    </w:p>
    <w:p>
      <w:pPr>
        <w:numPr>
          <w:ilvl w:val="0"/>
          <w:numId w:val="1027"/>
        </w:numPr>
        <w:pStyle w:val="Compact"/>
      </w:pPr>
      <w:r>
        <w:t xml:space="preserve">Allahs Wohlgefallen gegenüber dem, für den gesprochen wird</w:t>
      </w:r>
    </w:p>
    <w:p>
      <w:pPr>
        <w:pStyle w:val="BlockText"/>
      </w:pPr>
      <w:r>
        <w:rPr>
          <w:iCs/>
          <w:i/>
        </w:rPr>
        <w:t xml:space="preserve">﴿مَن ذَا ٱلَّذِى يَشْفَعُ عِندَهُۥٓ إِلَّا بِإِذْنِهِۦ﴾</w:t>
      </w:r>
    </w:p>
    <w:p>
      <w:pPr>
        <w:pStyle w:val="BlockText"/>
      </w:pPr>
      <w:r>
        <w:t xml:space="preserve">„Wer kann bei Ihm Fürsprache einlegen, außer mit Seiner Erlaubnis?"</w:t>
      </w:r>
    </w:p>
    <w:p>
      <w:pPr>
        <w:pStyle w:val="BlockText"/>
      </w:pPr>
      <w:r>
        <w:t xml:space="preserve">[al-Baqarah: 255]</w:t>
      </w:r>
    </w:p>
    <w:p>
      <w:pPr>
        <w:pStyle w:val="FirstParagraph"/>
      </w:pPr>
      <w:r>
        <w:rPr>
          <w:bCs/>
          <w:b/>
        </w:rPr>
        <w:t xml:space="preserve">Die Große Fürsprache (aš-Šafāʿah al-ʿUẓmā)</w:t>
      </w:r>
      <w:r>
        <w:t xml:space="preserve">: Der Prophet Muḥammad ﷺ ist der einzige, dem diese ehrenwerte Fürsprache gewährt wird – für den Beginn der Abrechnung unter den Menschen.</w:t>
      </w:r>
    </w:p>
    <w:bookmarkEnd w:id="45"/>
    <w:bookmarkStart w:id="46" w:name="al-mīzān-die-waage"/>
    <w:p>
      <w:pPr>
        <w:pStyle w:val="Heading4"/>
      </w:pPr>
      <w:r>
        <w:t xml:space="preserve">Al-Mīzān (Die Waage)</w:t>
      </w:r>
    </w:p>
    <w:p>
      <w:pPr>
        <w:pStyle w:val="FirstParagraph"/>
      </w:pPr>
      <w:r>
        <w:t xml:space="preserve">Die Werke werden am Jüngsten Tag auf einer wahrhaftigen Waage gewogen. Dies ist eine körperliche Wirklichkeit:</w:t>
      </w:r>
    </w:p>
    <w:p>
      <w:pPr>
        <w:pStyle w:val="BlockText"/>
      </w:pPr>
      <w:r>
        <w:rPr>
          <w:iCs/>
          <w:i/>
        </w:rPr>
        <w:t xml:space="preserve">﴿وَنَضَعُ ٱلْمَوَٰزِينَ ٱلْقِسْطَ لِيَوْمِ ٱلْقِيَـٰمَةِ فَلَا تُظْلَمُ نَفْسٌ شَيْـًٔا﴾</w:t>
      </w:r>
    </w:p>
    <w:p>
      <w:pPr>
        <w:pStyle w:val="BlockText"/>
      </w:pPr>
      <w:r>
        <w:t xml:space="preserve">„Und Wir stellen die gerechten Waagen für den Tag der Auferstehung auf. Keine Seele wird auch nur im Geringsten Unrecht erleiden."</w:t>
      </w:r>
    </w:p>
    <w:p>
      <w:pPr>
        <w:pStyle w:val="BlockText"/>
      </w:pPr>
      <w:r>
        <w:t xml:space="preserve">[al-Anbiyāʾ: 47]</w:t>
      </w:r>
    </w:p>
    <w:bookmarkEnd w:id="46"/>
    <w:bookmarkStart w:id="47" w:name="aṣ-ṣirāṭ-die-brücke"/>
    <w:p>
      <w:pPr>
        <w:pStyle w:val="Heading4"/>
      </w:pPr>
      <w:r>
        <w:t xml:space="preserve">Aṣ-Ṣirāṭ (Die Brücke)</w:t>
      </w:r>
    </w:p>
    <w:p>
      <w:pPr>
        <w:pStyle w:val="FirstParagraph"/>
      </w:pPr>
      <w:r>
        <w:t xml:space="preserve">Aṣ-Ṣirāṭ ist eine über der Hölle gespannte Brücke, über die alle Menschen gehen müssen. Die Gläubigen überqueren sie entsprechend ihrer Werke – manche wie der Blitz, manche wie ein schnelles Pferd, manche kriechend. Die Ungläubigen fallen ins Feuer.</w:t>
      </w:r>
    </w:p>
    <w:p>
      <w:pPr>
        <w:pStyle w:val="BodyText"/>
      </w:pPr>
      <w:r>
        <w:rPr>
          <w:bCs/>
          <w:b/>
        </w:rPr>
        <w:t xml:space="preserve">Nichtigkeitsgrund</w:t>
      </w:r>
      <w:r>
        <w:t xml:space="preserve">: Den Jüngsten Tag zu leugnen oder auch nur eines seiner Bestandteile zu verleugnen.</w:t>
      </w:r>
    </w:p>
    <w:p>
      <w:r>
        <w:pict>
          <v:rect style="width:0;height:1.5pt" o:hralign="center" o:hrstd="t" o:hr="t"/>
        </w:pict>
      </w:r>
    </w:p>
    <w:bookmarkEnd w:id="47"/>
    <w:bookmarkEnd w:id="48"/>
    <w:bookmarkEnd w:id="49"/>
    <w:bookmarkStart w:id="55" w:name="Xa6fca98ab9e3883e23284098bfc666459a78645"/>
    <w:p>
      <w:pPr>
        <w:pStyle w:val="Heading2"/>
      </w:pPr>
      <w:r>
        <w:t xml:space="preserve">6. Säule: Īmān bil-Qadar – Glaube an die göttliche Vorherbestimmung</w:t>
      </w:r>
    </w:p>
    <w:bookmarkStart w:id="54" w:name="übersicht-4"/>
    <w:p>
      <w:pPr>
        <w:pStyle w:val="Heading3"/>
      </w:pPr>
      <w:r>
        <w:t xml:space="preserve">Übersicht</w:t>
      </w:r>
    </w:p>
    <w:p>
      <w:pPr>
        <w:pStyle w:val="SourceCode"/>
      </w:pPr>
      <w:r>
        <w:rPr>
          <w:rStyle w:val="VerbatimChar"/>
        </w:rPr>
        <w:t xml:space="preserve">              Īmān bil-Qadar</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Vier Stufen    Früchte       Nichtigkeits-</w:t>
      </w:r>
      <w:r>
        <w:br/>
      </w:r>
      <w:r>
        <w:rPr>
          <w:rStyle w:val="VerbatimChar"/>
        </w:rPr>
        <w:t xml:space="preserve">    des Qadar      des Qadar      gründe</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ʿIlm      Kitābah</w:t>
      </w:r>
      <w:r>
        <w:br/>
      </w:r>
      <w:r>
        <w:rPr>
          <w:rStyle w:val="VerbatimChar"/>
        </w:rPr>
        <w:t xml:space="preserve">(Wissen)   (Aufschreiben)</w:t>
      </w:r>
      <w:r>
        <w:br/>
      </w:r>
      <w:r>
        <w:rPr>
          <w:rStyle w:val="VerbatimChar"/>
        </w:rPr>
        <w:t xml:space="preserve">    │         │</w:t>
      </w:r>
      <w:r>
        <w:br/>
      </w:r>
      <w:r>
        <w:rPr>
          <w:rStyle w:val="VerbatimChar"/>
        </w:rPr>
        <w:t xml:space="preserve">  Mašīʾah  Khalq</w:t>
      </w:r>
      <w:r>
        <w:br/>
      </w:r>
      <w:r>
        <w:rPr>
          <w:rStyle w:val="VerbatimChar"/>
        </w:rPr>
        <w:t xml:space="preserve">(Wille)  (Erschaffung)</w:t>
      </w:r>
    </w:p>
    <w:bookmarkStart w:id="50" w:name="die-vier-stufen-des-qadar"/>
    <w:p>
      <w:pPr>
        <w:pStyle w:val="Heading4"/>
      </w:pPr>
      <w:r>
        <w:t xml:space="preserve">Die vier Stufen des Qadar</w:t>
      </w:r>
    </w:p>
    <w:p>
      <w:pPr>
        <w:pStyle w:val="FirstParagraph"/>
      </w:pPr>
      <w:r>
        <w:rPr>
          <w:bCs/>
          <w:b/>
        </w:rPr>
        <w:t xml:space="preserve">1. Al-ʿIlm (Das Wissen)</w:t>
      </w:r>
      <w:r>
        <w:t xml:space="preserve">: Allah weiß alles – was war, was ist und was sein wird. Sein Wissen umfasst alle Dinge ohne Ausnahme.</w:t>
      </w:r>
    </w:p>
    <w:p>
      <w:pPr>
        <w:pStyle w:val="BlockText"/>
      </w:pPr>
      <w:r>
        <w:rPr>
          <w:iCs/>
          <w:i/>
        </w:rPr>
        <w:t xml:space="preserve">﴿وَعِندَهُۥ مَفَاتِحُ ٱلْغَيْبِ لَا يَعْلَمُهَآ إِلَّا هُوَ﴾</w:t>
      </w:r>
    </w:p>
    <w:p>
      <w:pPr>
        <w:pStyle w:val="BlockText"/>
      </w:pPr>
      <w:r>
        <w:t xml:space="preserve">„Bei Ihm sind die Schlüssel des Verborgenen – niemand kennt sie außer Ihm."</w:t>
      </w:r>
    </w:p>
    <w:p>
      <w:pPr>
        <w:pStyle w:val="BlockText"/>
      </w:pPr>
      <w:r>
        <w:t xml:space="preserve">[al-Anʿām: 59]</w:t>
      </w:r>
    </w:p>
    <w:p>
      <w:pPr>
        <w:pStyle w:val="FirstParagraph"/>
      </w:pPr>
      <w:r>
        <w:rPr>
          <w:bCs/>
          <w:b/>
        </w:rPr>
        <w:t xml:space="preserve">2. Al-Kitābah (Das Aufschreiben)</w:t>
      </w:r>
      <w:r>
        <w:t xml:space="preserve">: Allah hat alles in der Bewahrten Tafel (al-Lawḥ al-Maḥfūẓ) aufgeschrieben – fünfzigtausend Jahre vor der Erschaffung der Himmel und der Erde.</w:t>
      </w:r>
    </w:p>
    <w:p>
      <w:pPr>
        <w:pStyle w:val="BodyText"/>
      </w:pPr>
      <w:r>
        <w:t xml:space="preserve">Der Prophet ﷺ sagte:</w:t>
      </w:r>
    </w:p>
    <w:p>
      <w:pPr>
        <w:pStyle w:val="BlockText"/>
      </w:pPr>
      <w:r>
        <w:rPr>
          <w:iCs/>
          <w:i/>
        </w:rPr>
        <w:t xml:space="preserve">„كَتَبَ اللهُ مَقَادِيرَ الْخَلَائِقِ قَبْلَ أَنْ يَخْلُقَ السَّمَاوَاتِ وَالْأَرْضَ بِخَمْسِينَ أَلْفَ سَنَةٍ"</w:t>
      </w:r>
    </w:p>
    <w:p>
      <w:pPr>
        <w:pStyle w:val="BlockText"/>
      </w:pPr>
      <w:r>
        <w:t xml:space="preserve">„Allah schrieb die Vorherbestimmungen aller Geschöpfe fünfzigtausend Jahre auf, bevor Er die Himmel und die Erde erschuf."</w:t>
      </w:r>
    </w:p>
    <w:p>
      <w:pPr>
        <w:pStyle w:val="BlockText"/>
      </w:pPr>
      <w:r>
        <w:t xml:space="preserve">[Überliefert von Muslim]</w:t>
      </w:r>
    </w:p>
    <w:p>
      <w:pPr>
        <w:pStyle w:val="FirstParagraph"/>
      </w:pPr>
      <w:r>
        <w:rPr>
          <w:bCs/>
          <w:b/>
        </w:rPr>
        <w:t xml:space="preserve">3. Al-Mašīʾah (Der Wille)</w:t>
      </w:r>
      <w:r>
        <w:t xml:space="preserve">: Was Allah will, das geschieht; was Er nicht will, das geschieht nicht. Es gibt kein Geschehen im Universum außerhalb Seines Willens.</w:t>
      </w:r>
    </w:p>
    <w:p>
      <w:pPr>
        <w:pStyle w:val="BodyText"/>
      </w:pPr>
      <w:r>
        <w:rPr>
          <w:bCs/>
          <w:b/>
        </w:rPr>
        <w:t xml:space="preserve">4. Al-Khalq (Die Erschaffung)</w:t>
      </w:r>
      <w:r>
        <w:t xml:space="preserve">: Allah ist der Erschaffer aller Dinge – einschließlich der Handlungen der Diener.</w:t>
      </w:r>
    </w:p>
    <w:p>
      <w:pPr>
        <w:pStyle w:val="BlockText"/>
      </w:pPr>
      <w:r>
        <w:rPr>
          <w:iCs/>
          <w:i/>
        </w:rPr>
        <w:t xml:space="preserve">﴿وَٱللَّهُ خَلَقَكُمْ وَمَا تَعْمَلُونَ﴾</w:t>
      </w:r>
    </w:p>
    <w:p>
      <w:pPr>
        <w:pStyle w:val="BlockText"/>
      </w:pPr>
      <w:r>
        <w:t xml:space="preserve">„Und Allah erschuf euch und das, was ihr tut."</w:t>
      </w:r>
    </w:p>
    <w:p>
      <w:pPr>
        <w:pStyle w:val="BlockText"/>
      </w:pPr>
      <w:r>
        <w:t xml:space="preserve">[aṣ-Ṣāffāt: 96]</w:t>
      </w:r>
    </w:p>
    <w:bookmarkEnd w:id="50"/>
    <w:bookmarkStart w:id="51" w:name="Xc12e42fa1891e17844281d9d9ab619234d1f7dc"/>
    <w:p>
      <w:pPr>
        <w:pStyle w:val="Heading4"/>
      </w:pPr>
      <w:r>
        <w:t xml:space="preserve">Die Handlung: Gleichzeitig Allah und dem Diener zugeschrieben</w:t>
      </w:r>
    </w:p>
    <w:p>
      <w:pPr>
        <w:pStyle w:val="FirstParagraph"/>
      </w:pPr>
      <w:r>
        <w:t xml:space="preserve">Die Handlung des Menschen wird</w:t>
      </w:r>
      <w:r>
        <w:t xml:space="preserve"> </w:t>
      </w:r>
      <w:r>
        <w:rPr>
          <w:bCs/>
          <w:b/>
        </w:rPr>
        <w:t xml:space="preserve">doppelt</w:t>
      </w:r>
      <w:r>
        <w:t xml:space="preserve"> </w:t>
      </w:r>
      <w:r>
        <w:t xml:space="preserve">zugeschrieben:</w:t>
      </w:r>
    </w:p>
    <w:p>
      <w:pPr>
        <w:numPr>
          <w:ilvl w:val="0"/>
          <w:numId w:val="1028"/>
        </w:numPr>
        <w:pStyle w:val="Compact"/>
      </w:pPr>
      <w:r>
        <w:rPr>
          <w:bCs/>
          <w:b/>
        </w:rPr>
        <w:t xml:space="preserve">Dem Diener</w:t>
      </w:r>
      <w:r>
        <w:t xml:space="preserve">: weil er sie vollbringt und ausführt – es wird gesagt: „Der Diener betet"</w:t>
      </w:r>
    </w:p>
    <w:p>
      <w:pPr>
        <w:numPr>
          <w:ilvl w:val="0"/>
          <w:numId w:val="1028"/>
        </w:numPr>
        <w:pStyle w:val="Compact"/>
      </w:pPr>
      <w:r>
        <w:rPr>
          <w:bCs/>
          <w:b/>
        </w:rPr>
        <w:t xml:space="preserve">Allah</w:t>
      </w:r>
      <w:r>
        <w:t xml:space="preserve">: als deren Erschaffer – es wird gesagt: „Allah erschuf den Diener und sein Gebet"</w:t>
      </w:r>
    </w:p>
    <w:p>
      <w:pPr>
        <w:pStyle w:val="FirstParagraph"/>
      </w:pPr>
      <w:r>
        <w:t xml:space="preserve">Darin liegt der Mittelweg (wasaṭ) zwischen zwei Extremen:</w:t>
      </w:r>
    </w:p>
    <w:p>
      <w:pPr>
        <w:numPr>
          <w:ilvl w:val="0"/>
          <w:numId w:val="1029"/>
        </w:numPr>
        <w:pStyle w:val="Compact"/>
      </w:pPr>
      <w:r>
        <w:rPr>
          <w:bCs/>
          <w:b/>
        </w:rPr>
        <w:t xml:space="preserve">Den Ǧabriyyah</w:t>
      </w:r>
      <w:r>
        <w:t xml:space="preserve"> </w:t>
      </w:r>
      <w:r>
        <w:t xml:space="preserve">(Deterministen), die sagen, der Mensch hat keinerlei Willen</w:t>
      </w:r>
    </w:p>
    <w:p>
      <w:pPr>
        <w:numPr>
          <w:ilvl w:val="0"/>
          <w:numId w:val="1029"/>
        </w:numPr>
        <w:pStyle w:val="Compact"/>
      </w:pPr>
      <w:r>
        <w:rPr>
          <w:bCs/>
          <w:b/>
        </w:rPr>
        <w:t xml:space="preserve">Den Qadariyyah</w:t>
      </w:r>
      <w:r>
        <w:t xml:space="preserve"> </w:t>
      </w:r>
      <w:r>
        <w:t xml:space="preserve">(Libertaristen), die sagen, der Mensch erschafft seine eigenen Handlungen unabhängig von Allah</w:t>
      </w:r>
    </w:p>
    <w:bookmarkEnd w:id="51"/>
    <w:bookmarkStart w:id="52" w:name="früchte-des-glaubens-an-den-qadar"/>
    <w:p>
      <w:pPr>
        <w:pStyle w:val="Heading4"/>
      </w:pPr>
      <w:r>
        <w:t xml:space="preserve">Früchte des Glaubens an den Qadar</w:t>
      </w:r>
    </w:p>
    <w:p>
      <w:pPr>
        <w:numPr>
          <w:ilvl w:val="0"/>
          <w:numId w:val="1030"/>
        </w:numPr>
        <w:pStyle w:val="Compact"/>
      </w:pPr>
      <w:r>
        <w:rPr>
          <w:bCs/>
          <w:b/>
        </w:rPr>
        <w:t xml:space="preserve">Ṭumaʾnīnat an-Nafs</w:t>
      </w:r>
      <w:r>
        <w:t xml:space="preserve"> </w:t>
      </w:r>
      <w:r>
        <w:t xml:space="preserve">(Seelenruhe): Wer an den Qadar glaubt, klagt nicht über das Vergangene und grübelt nicht übermäßig über die Zukunft.</w:t>
      </w:r>
    </w:p>
    <w:p>
      <w:pPr>
        <w:numPr>
          <w:ilvl w:val="0"/>
          <w:numId w:val="1030"/>
        </w:numPr>
        <w:pStyle w:val="Compact"/>
      </w:pPr>
      <w:r>
        <w:rPr>
          <w:bCs/>
          <w:b/>
        </w:rPr>
        <w:t xml:space="preserve">Šuǧāʿah</w:t>
      </w:r>
      <w:r>
        <w:t xml:space="preserve"> </w:t>
      </w:r>
      <w:r>
        <w:t xml:space="preserve">(Tapferkeit): Er fürchtet nichts außer Allah, denn er weiß, dass Schaden und Nutzen allein in Allahs Hand liegen.</w:t>
      </w:r>
    </w:p>
    <w:p>
      <w:pPr>
        <w:numPr>
          <w:ilvl w:val="0"/>
          <w:numId w:val="1030"/>
        </w:numPr>
        <w:pStyle w:val="Compact"/>
      </w:pPr>
      <w:r>
        <w:rPr>
          <w:bCs/>
          <w:b/>
        </w:rPr>
        <w:t xml:space="preserve">Tawaḍḍuʿ</w:t>
      </w:r>
      <w:r>
        <w:t xml:space="preserve"> </w:t>
      </w:r>
      <w:r>
        <w:t xml:space="preserve">(Demut): Er schreibt seinen Erfolg nicht sich selbst zu.</w:t>
      </w:r>
    </w:p>
    <w:p>
      <w:pPr>
        <w:pStyle w:val="FirstParagraph"/>
      </w:pPr>
      <w:r>
        <w:t xml:space="preserve">Allah der Erhabene sagt:</w:t>
      </w:r>
    </w:p>
    <w:p>
      <w:pPr>
        <w:pStyle w:val="BlockText"/>
      </w:pPr>
      <w:r>
        <w:rPr>
          <w:iCs/>
          <w:i/>
        </w:rPr>
        <w:t xml:space="preserve">﴿مَآ أَصَابَ مِن مُّصِيبَةٍ فِى ٱلْأَرْضِ وَلَا فِىٓ أَنفُسِكُمْ إِلَّا فِى كِتَـٰبٍ مِّن قَبْلِ أَن نَّبْرَأَهَآ﴾</w:t>
      </w:r>
    </w:p>
    <w:p>
      <w:pPr>
        <w:pStyle w:val="BlockText"/>
      </w:pPr>
      <w:r>
        <w:t xml:space="preserve">„Kein Unglück trifft die Erde oder euch selbst, ohne dass es in einem Buch (aufgezeichnet) wäre, bevor Wir es ins Dasein riefen."</w:t>
      </w:r>
    </w:p>
    <w:p>
      <w:pPr>
        <w:pStyle w:val="BlockText"/>
      </w:pPr>
      <w:r>
        <w:t xml:space="preserve">[al-Ḥadīd: 22]</w:t>
      </w:r>
    </w:p>
    <w:bookmarkEnd w:id="52"/>
    <w:bookmarkStart w:id="53" w:name="nichtigkeitsgründe-des-qadar-glaubens"/>
    <w:p>
      <w:pPr>
        <w:pStyle w:val="Heading4"/>
      </w:pPr>
      <w:r>
        <w:t xml:space="preserve">Nichtigkeitsgründe des Qadar-Glaubens</w:t>
      </w:r>
    </w:p>
    <w:p>
      <w:pPr>
        <w:pStyle w:val="FirstParagraph"/>
      </w:pPr>
      <w:r>
        <w:rPr>
          <w:bCs/>
          <w:b/>
        </w:rPr>
        <w:t xml:space="preserve">Erster Nichtigkeitsgrund</w:t>
      </w:r>
      <w:r>
        <w:t xml:space="preserve">: Zu leugnen, dass Allah alles weiß – das bedeutet, Allahs Wissen zu verneinen.</w:t>
      </w:r>
    </w:p>
    <w:p>
      <w:pPr>
        <w:pStyle w:val="BodyText"/>
      </w:pPr>
      <w:r>
        <w:rPr>
          <w:bCs/>
          <w:b/>
        </w:rPr>
        <w:t xml:space="preserve">Zweiter Nichtigkeitsgrund</w:t>
      </w:r>
      <w:r>
        <w:t xml:space="preserve">: Zu glauben, der Diener erschaffe seine eigene Handlung unabhängig von Allah – das ist die Position der Qadariyyah, die als Magier dieser Ummah bezeichnet werden.</w:t>
      </w:r>
    </w:p>
    <w:p>
      <w:r>
        <w:pict>
          <v:rect style="width:0;height:1.5pt" o:hralign="center" o:hrstd="t" o:hr="t"/>
        </w:pict>
      </w:r>
    </w:p>
    <w:bookmarkEnd w:id="53"/>
    <w:bookmarkEnd w:id="54"/>
    <w:bookmarkEnd w:id="55"/>
    <w:bookmarkStart w:id="64" w:name="tor-2--der-musammā-des-īmān"/>
    <w:p>
      <w:pPr>
        <w:pStyle w:val="Heading2"/>
      </w:pPr>
      <w:r>
        <w:t xml:space="preserve">Tor 2 – Der Musammā des Īmān</w:t>
      </w:r>
    </w:p>
    <w:p>
      <w:pPr>
        <w:pStyle w:val="FirstParagraph"/>
      </w:pPr>
      <w:r>
        <w:t xml:space="preserve">Dieser Abschnitt behandelt drei wichtige Fragen zur Definition des Īmān sowie den Kufr als Gegenteil des Īmān.</w:t>
      </w:r>
    </w:p>
    <w:p>
      <w:r>
        <w:pict>
          <v:rect style="width:0;height:1.5pt" o:hralign="center" o:hrstd="t" o:hr="t"/>
        </w:pict>
      </w:r>
    </w:p>
    <w:bookmarkStart w:id="56" w:name="erste-frage-īmān-ist-wort-und-tat"/>
    <w:p>
      <w:pPr>
        <w:pStyle w:val="Heading3"/>
      </w:pPr>
      <w:r>
        <w:t xml:space="preserve">Erste Frage: Īmān ist Wort und Tat</w:t>
      </w:r>
    </w:p>
    <w:p>
      <w:pPr>
        <w:pStyle w:val="FirstParagraph"/>
      </w:pPr>
      <w:r>
        <w:t xml:space="preserve">Bei Ahl as-Sunnah wal-Jamāʿah ist Īmān:</w:t>
      </w:r>
    </w:p>
    <w:p>
      <w:pPr>
        <w:pStyle w:val="BlockText"/>
      </w:pPr>
      <w:r>
        <w:rPr>
          <w:bCs/>
          <w:b/>
        </w:rPr>
        <w:t xml:space="preserve">Qawl (Wort) und ʿAmal (Tat)</w:t>
      </w:r>
    </w:p>
    <w:p>
      <w:pPr>
        <w:pStyle w:val="FirstParagraph"/>
      </w:pPr>
      <w:r>
        <w:t xml:space="preserve">Das bedeutet konkret: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Bestandteil</w:t>
            </w:r>
          </w:p>
        </w:tc>
        <w:tc>
          <w:tcPr/>
          <w:p>
            <w:pPr>
              <w:pStyle w:val="Compact"/>
              <w:jc w:val="left"/>
            </w:pPr>
            <w:r>
              <w:t xml:space="preserve">Arabisch</w:t>
            </w:r>
          </w:p>
        </w:tc>
        <w:tc>
          <w:tcPr/>
          <w:p>
            <w:pPr>
              <w:pStyle w:val="Compact"/>
              <w:jc w:val="left"/>
            </w:pPr>
            <w:r>
              <w:t xml:space="preserve">Bedeutung</w:t>
            </w:r>
          </w:p>
        </w:tc>
      </w:tr>
      <w:tr>
        <w:tc>
          <w:tcPr/>
          <w:p>
            <w:pPr>
              <w:pStyle w:val="Compact"/>
              <w:jc w:val="left"/>
            </w:pPr>
            <w:r>
              <w:t xml:space="preserve">Wort des Herzens</w:t>
            </w:r>
          </w:p>
        </w:tc>
        <w:tc>
          <w:tcPr/>
          <w:p>
            <w:pPr>
              <w:pStyle w:val="Compact"/>
              <w:jc w:val="left"/>
            </w:pPr>
            <w:r>
              <w:t xml:space="preserve">Qawl al-Qalb</w:t>
            </w:r>
          </w:p>
        </w:tc>
        <w:tc>
          <w:tcPr/>
          <w:p>
            <w:pPr>
              <w:pStyle w:val="Compact"/>
              <w:jc w:val="left"/>
            </w:pPr>
            <w:r>
              <w:t xml:space="preserve">Innere Überzeugung (al-iʿtiqād)</w:t>
            </w:r>
          </w:p>
        </w:tc>
      </w:tr>
      <w:tr>
        <w:tc>
          <w:tcPr/>
          <w:p>
            <w:pPr>
              <w:pStyle w:val="Compact"/>
              <w:jc w:val="left"/>
            </w:pPr>
            <w:r>
              <w:t xml:space="preserve">Wort der Zunge</w:t>
            </w:r>
          </w:p>
        </w:tc>
        <w:tc>
          <w:tcPr/>
          <w:p>
            <w:pPr>
              <w:pStyle w:val="Compact"/>
              <w:jc w:val="left"/>
            </w:pPr>
            <w:r>
              <w:t xml:space="preserve">Qawl al-Lisān</w:t>
            </w:r>
          </w:p>
        </w:tc>
        <w:tc>
          <w:tcPr/>
          <w:p>
            <w:pPr>
              <w:pStyle w:val="Compact"/>
              <w:jc w:val="left"/>
            </w:pPr>
            <w:r>
              <w:t xml:space="preserve">Das Aussprechen mit der Zunge</w:t>
            </w:r>
          </w:p>
        </w:tc>
      </w:tr>
      <w:tr>
        <w:tc>
          <w:tcPr/>
          <w:p>
            <w:pPr>
              <w:pStyle w:val="Compact"/>
              <w:jc w:val="left"/>
            </w:pPr>
            <w:r>
              <w:t xml:space="preserve">Tat des Herzens</w:t>
            </w:r>
          </w:p>
        </w:tc>
        <w:tc>
          <w:tcPr/>
          <w:p>
            <w:pPr>
              <w:pStyle w:val="Compact"/>
              <w:jc w:val="left"/>
            </w:pPr>
            <w:r>
              <w:t xml:space="preserve">ʿAmal al-Qalb</w:t>
            </w:r>
          </w:p>
        </w:tc>
        <w:tc>
          <w:tcPr/>
          <w:p>
            <w:pPr>
              <w:pStyle w:val="Compact"/>
              <w:jc w:val="left"/>
            </w:pPr>
            <w:r>
              <w:t xml:space="preserve">Innere Handlungen wie Liebe, Furcht, Hoffnung</w:t>
            </w:r>
          </w:p>
        </w:tc>
      </w:tr>
      <w:tr>
        <w:tc>
          <w:tcPr/>
          <w:p>
            <w:pPr>
              <w:pStyle w:val="Compact"/>
              <w:jc w:val="left"/>
            </w:pPr>
            <w:r>
              <w:t xml:space="preserve">Tat der Gliedmaßen</w:t>
            </w:r>
          </w:p>
        </w:tc>
        <w:tc>
          <w:tcPr/>
          <w:p>
            <w:pPr>
              <w:pStyle w:val="Compact"/>
              <w:jc w:val="left"/>
            </w:pPr>
            <w:r>
              <w:t xml:space="preserve">ʿAmal al-Jawāriḥ</w:t>
            </w:r>
          </w:p>
        </w:tc>
        <w:tc>
          <w:tcPr/>
          <w:p>
            <w:pPr>
              <w:pStyle w:val="Compact"/>
              <w:jc w:val="left"/>
            </w:pPr>
            <w:r>
              <w:t xml:space="preserve">Äußere Handlungen wie Gebet, Fasten</w:t>
            </w:r>
          </w:p>
        </w:tc>
      </w:tr>
    </w:tbl>
    <w:p>
      <w:pPr>
        <w:pStyle w:val="BodyText"/>
      </w:pPr>
      <w:r>
        <w:t xml:space="preserve">Alle vier zusammen bilden den Musammā al-Īmān (das, was Īmān umfasst).</w:t>
      </w:r>
    </w:p>
    <w:p>
      <w:pPr>
        <w:pStyle w:val="BodyText"/>
      </w:pPr>
      <w:r>
        <w:rPr>
          <w:bCs/>
          <w:b/>
        </w:rPr>
        <w:t xml:space="preserve">Beweis für das Wort des Herzens</w:t>
      </w:r>
      <w:r>
        <w:t xml:space="preserve"> </w:t>
      </w:r>
      <w:r>
        <w:t xml:space="preserve">(Qurʾān 49:15):</w:t>
      </w:r>
    </w:p>
    <w:p>
      <w:pPr>
        <w:pStyle w:val="BlockText"/>
      </w:pPr>
      <w:r>
        <w:rPr>
          <w:iCs/>
          <w:i/>
        </w:rPr>
        <w:t xml:space="preserve">﴿إِنَّمَا ٱلْمُؤْمِنُونَ ٱلَّذِينَ ءَامَنُوا۟ بِٱللَّهِ وَرَسُولِهِۦ ثُمَّ لَمْ يَرْتَابُوا۟﴾</w:t>
      </w:r>
    </w:p>
    <w:p>
      <w:pPr>
        <w:pStyle w:val="BlockText"/>
      </w:pPr>
      <w:r>
        <w:t xml:space="preserve">„Die Gläubigen sind nur diejenigen, die an Allah und Seinen Gesandten geglaubt haben und dann nicht zweifelten."</w:t>
      </w:r>
    </w:p>
    <w:p>
      <w:pPr>
        <w:pStyle w:val="BlockText"/>
      </w:pPr>
      <w:r>
        <w:t xml:space="preserve">[al-Ḥuǧurāt: 15]</w:t>
      </w:r>
    </w:p>
    <w:p>
      <w:pPr>
        <w:pStyle w:val="FirstParagraph"/>
      </w:pPr>
      <w:r>
        <w:t xml:space="preserve">Allah machte den Glauben abhängig von der Abwesenheit des Zweifels – das Gegenteil des Zweifels ist die Gewissheit (al-yaqīn) im Herzen.</w:t>
      </w:r>
    </w:p>
    <w:p>
      <w:pPr>
        <w:pStyle w:val="BodyText"/>
      </w:pPr>
      <w:r>
        <w:rPr>
          <w:bCs/>
          <w:b/>
        </w:rPr>
        <w:t xml:space="preserve">Beweis für das Wort der Zunge</w:t>
      </w:r>
      <w:r>
        <w:t xml:space="preserve"> </w:t>
      </w:r>
      <w:r>
        <w:t xml:space="preserve">(Qurʾān 2:136):</w:t>
      </w:r>
    </w:p>
    <w:p>
      <w:pPr>
        <w:pStyle w:val="BlockText"/>
      </w:pPr>
      <w:r>
        <w:rPr>
          <w:iCs/>
          <w:i/>
        </w:rPr>
        <w:t xml:space="preserve">﴿قُولُوا۟ ءَامَنَّا بِٱللَّهِ وَمَآ أُنزِلَ إِلَيْنَا وَمَآ أُنزِلَ إِلَىٰٓ إِبْرَٰهِـۧمَ﴾</w:t>
      </w:r>
    </w:p>
    <w:p>
      <w:pPr>
        <w:pStyle w:val="BlockText"/>
      </w:pPr>
      <w:r>
        <w:t xml:space="preserve">„Sagt: Wir glauben an Allah und an das, was zu uns herabgesandt wurde, und an das, was zu Ibrāhīm herabgesandt wurde..."</w:t>
      </w:r>
    </w:p>
    <w:p>
      <w:pPr>
        <w:pStyle w:val="BlockText"/>
      </w:pPr>
      <w:r>
        <w:t xml:space="preserve">[al-Baqarah: 136]</w:t>
      </w:r>
    </w:p>
    <w:p>
      <w:pPr>
        <w:pStyle w:val="FirstParagraph"/>
      </w:pPr>
      <w:r>
        <w:t xml:space="preserve">Allah befahl das Aussprechen (mit der Zunge) – dieses zählt zum Musammā des Īmān.</w:t>
      </w:r>
    </w:p>
    <w:p>
      <w:pPr>
        <w:pStyle w:val="BodyText"/>
      </w:pPr>
      <w:r>
        <w:rPr>
          <w:bCs/>
          <w:b/>
        </w:rPr>
        <w:t xml:space="preserve">Beweis für die Tat des Herzens</w:t>
      </w:r>
      <w:r>
        <w:t xml:space="preserve"> </w:t>
      </w:r>
      <w:r>
        <w:t xml:space="preserve">(Qurʾān 8:2-4):</w:t>
      </w:r>
    </w:p>
    <w:p>
      <w:pPr>
        <w:pStyle w:val="BlockText"/>
      </w:pPr>
      <w:r>
        <w:rPr>
          <w:iCs/>
          <w:i/>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w:t>
      </w:r>
    </w:p>
    <w:p>
      <w:pPr>
        <w:pStyle w:val="BlockText"/>
      </w:pPr>
      <w:r>
        <w:t xml:space="preserve">„Die Gläubigen sind nur diejenigen, deren Herzen beben, wenn Allah erwähnt wird, und wenn Ihm Seine Verse vorgetragen werden, mehrt es ihren Glauben, und auf ihren Herrn vertrauen sie. Die das Gebet verrichten und von dem, womit Wir sie versorgt haben, ausgeben – dies sind wahrlich die Gläubigen."</w:t>
      </w:r>
    </w:p>
    <w:p>
      <w:pPr>
        <w:pStyle w:val="BlockText"/>
      </w:pPr>
      <w:r>
        <w:t xml:space="preserve">[al-Anfāl: 2-4]</w:t>
      </w:r>
    </w:p>
    <w:p>
      <w:pPr>
        <w:pStyle w:val="FirstParagraph"/>
      </w:pPr>
      <w:r>
        <w:rPr>
          <w:bCs/>
          <w:b/>
        </w:rPr>
        <w:t xml:space="preserve">Beweis für die Tat der Gliedmaßen</w:t>
      </w:r>
      <w:r>
        <w:t xml:space="preserve">: Die Ṣalāh wurde Īmān genannt (Qurʾān 2:143) – und dies war der Konsens der Gelehrten.</w:t>
      </w:r>
    </w:p>
    <w:p>
      <w:pPr>
        <w:pStyle w:val="BodyText"/>
      </w:pPr>
      <w:r>
        <w:rPr>
          <w:bCs/>
          <w:b/>
        </w:rPr>
        <w:t xml:space="preserve">Der zusammenfassende Hadith:</w:t>
      </w:r>
    </w:p>
    <w:p>
      <w:pPr>
        <w:pStyle w:val="BlockText"/>
      </w:pPr>
      <w:r>
        <w:rPr>
          <w:iCs/>
          <w:i/>
        </w:rPr>
        <w:t xml:space="preserve">„الإِيمَانُ بِضْعٌ وَسَبْعُونَ أَوْ بِضْعٌ وَسِتُّونَ شُعْبَةً، أَعْلَاهَا قَوْلُ لَا إِلَهَ إِلَّا اللهُ، وَأَدْنَاهَا إِمَاطَةُ الأَذَى عَنِ الطَّرِيقِ، وَالْحَيَاءُ شُعْبَةٌ مِنَ الإِيمَانِ"</w:t>
      </w:r>
    </w:p>
    <w:p>
      <w:pPr>
        <w:pStyle w:val="BlockText"/>
      </w:pPr>
      <w:r>
        <w:t xml:space="preserve">„Der Īmān hat mehr als siebzig – oder mehr als sechzig – Zweige. Der höchste ist das Wort ‚Lā ilāha illā Allāh', und der niedrigste ist das Entfernen von Hindernissen vom Weg. Und die Schamhaftigkeit (al-Ḥayāʾ) ist ein Zweig des Īmān."</w:t>
      </w:r>
    </w:p>
    <w:p>
      <w:pPr>
        <w:pStyle w:val="BlockText"/>
      </w:pPr>
      <w:r>
        <w:t xml:space="preserve">[Überliefert von Muslim]</w:t>
      </w:r>
    </w:p>
    <w:p>
      <w:pPr>
        <w:pStyle w:val="FirstParagraph"/>
      </w:pPr>
      <w:r>
        <w:t xml:space="preserve">Dieser Hadith belegt:</w:t>
      </w:r>
    </w:p>
    <w:p>
      <w:pPr>
        <w:numPr>
          <w:ilvl w:val="0"/>
          <w:numId w:val="1031"/>
        </w:numPr>
        <w:pStyle w:val="Compact"/>
      </w:pPr>
      <w:r>
        <w:t xml:space="preserve">Das Wort des Herzens: „Lā ilāha illā Allāh" umfasst die innere Überzeugung</w:t>
      </w:r>
    </w:p>
    <w:p>
      <w:pPr>
        <w:numPr>
          <w:ilvl w:val="0"/>
          <w:numId w:val="1031"/>
        </w:numPr>
        <w:pStyle w:val="Compact"/>
      </w:pPr>
      <w:r>
        <w:t xml:space="preserve">Das Wort der Zunge: das Aussprechen von „Lā ilāha illā Allāh"</w:t>
      </w:r>
    </w:p>
    <w:p>
      <w:pPr>
        <w:numPr>
          <w:ilvl w:val="0"/>
          <w:numId w:val="1031"/>
        </w:numPr>
        <w:pStyle w:val="Compact"/>
      </w:pPr>
      <w:r>
        <w:t xml:space="preserve">Die Tat der Gliedmaßen: das Entfernen von Hindernissen</w:t>
      </w:r>
    </w:p>
    <w:p>
      <w:pPr>
        <w:numPr>
          <w:ilvl w:val="0"/>
          <w:numId w:val="1031"/>
        </w:numPr>
        <w:pStyle w:val="Compact"/>
      </w:pPr>
      <w:r>
        <w:t xml:space="preserve">Die Tat des Herzens: al-Ḥayāʾ (Schamhaftigkeit)</w:t>
      </w:r>
    </w:p>
    <w:p>
      <w:pPr>
        <w:pStyle w:val="FirstParagraph"/>
      </w:pPr>
      <w:r>
        <w:t xml:space="preserve">Der Prophet ﷺ – der Wahrhaftige und Vertrauenswürdige – machte in diesem Hadith den Īmān zu Zweigen und Teilen.</w:t>
      </w:r>
    </w:p>
    <w:p>
      <w:r>
        <w:pict>
          <v:rect style="width:0;height:1.5pt" o:hralign="center" o:hrstd="t" o:hr="t"/>
        </w:pict>
      </w:r>
    </w:p>
    <w:bookmarkEnd w:id="56"/>
    <w:bookmarkStart w:id="57" w:name="zweite-frage-īmān-nimmt-zu-und-ab"/>
    <w:p>
      <w:pPr>
        <w:pStyle w:val="Heading3"/>
      </w:pPr>
      <w:r>
        <w:t xml:space="preserve">Zweite Frage: Īmān nimmt zu und ab</w:t>
      </w:r>
    </w:p>
    <w:p>
      <w:pPr>
        <w:pStyle w:val="FirstParagraph"/>
      </w:pPr>
      <w:r>
        <w:t xml:space="preserve">Ahl as-Sunnah wal-Jamāʿah sind sich einig:</w:t>
      </w:r>
    </w:p>
    <w:p>
      <w:pPr>
        <w:pStyle w:val="BlockText"/>
      </w:pPr>
      <w:r>
        <w:rPr>
          <w:bCs/>
          <w:b/>
        </w:rPr>
        <w:t xml:space="preserve">Der Īmān nimmt zu durch Gehorsam und nimmt ab durch Sünde.</w:t>
      </w:r>
    </w:p>
    <w:p>
      <w:pPr>
        <w:pStyle w:val="FirstParagraph"/>
      </w:pPr>
      <w:r>
        <w:rPr>
          <w:bCs/>
          <w:b/>
        </w:rPr>
        <w:t xml:space="preserve">Beweis aus dem Qurʾān:</w:t>
      </w:r>
    </w:p>
    <w:p>
      <w:pPr>
        <w:pStyle w:val="BlockText"/>
      </w:pPr>
      <w:r>
        <w:rPr>
          <w:iCs/>
          <w:i/>
        </w:rPr>
        <w:t xml:space="preserve">﴿ٱلَّذِينَ قَالَ لَهُمُ ٱلنَّاسُ إِنَّ ٱلنَّاسَ قَدْ جَمَعُوا۟ لَكُمْ فَٱخْشَوْهُمْ فَزَادَهُمْ إِيمَـٰنًا﴾</w:t>
      </w:r>
    </w:p>
    <w:p>
      <w:pPr>
        <w:pStyle w:val="BlockText"/>
      </w:pPr>
      <w:r>
        <w:t xml:space="preserve">„Diejenigen, zu denen die Menschen sagten: ‚Die Menschen haben sich gegen euch versammelt, fürchtet sie!' – da mehrte es ihren Glauben."</w:t>
      </w:r>
    </w:p>
    <w:p>
      <w:pPr>
        <w:pStyle w:val="BlockText"/>
      </w:pPr>
      <w:r>
        <w:t xml:space="preserve">[Āl ʿImrān: 173]</w:t>
      </w:r>
    </w:p>
    <w:p>
      <w:pPr>
        <w:pStyle w:val="BlockText"/>
      </w:pPr>
      <w:r>
        <w:rPr>
          <w:iCs/>
          <w:i/>
        </w:rPr>
        <w:t xml:space="preserve">﴿وَيَزْدَادَ ٱلَّذِينَ ءَامَنُوٓا۟ إِيمَـٰنًا﴾</w:t>
      </w:r>
    </w:p>
    <w:p>
      <w:pPr>
        <w:pStyle w:val="BlockText"/>
      </w:pPr>
      <w:r>
        <w:t xml:space="preserve">„...und damit diejenigen, die glauben, im Glauben zunehmen."</w:t>
      </w:r>
    </w:p>
    <w:p>
      <w:pPr>
        <w:pStyle w:val="BlockText"/>
      </w:pPr>
      <w:r>
        <w:t xml:space="preserve">[al-Mudaṯṯir: 31]</w:t>
      </w:r>
    </w:p>
    <w:p>
      <w:pPr>
        <w:pStyle w:val="FirstParagraph"/>
      </w:pPr>
      <w:r>
        <w:rPr>
          <w:bCs/>
          <w:b/>
        </w:rPr>
        <w:t xml:space="preserve">Beweis aus der Sunnah:</w:t>
      </w:r>
    </w:p>
    <w:p>
      <w:pPr>
        <w:pStyle w:val="BlockText"/>
      </w:pPr>
      <w:r>
        <w:rPr>
          <w:iCs/>
          <w:i/>
        </w:rPr>
        <w:t xml:space="preserve">„مَا رَأَيْتُ مِنْ نَاقِصَاتِ عَقْلٍ وَدِينٍ أَذْهَبَ لِلُبِّ الرَّجُلِ الْحَازِمِ مِنْكُنَّ"</w:t>
      </w:r>
    </w:p>
    <w:p>
      <w:pPr>
        <w:pStyle w:val="BlockText"/>
      </w:pPr>
      <w:r>
        <w:t xml:space="preserve">„Ich habe keine Wesen gesehen, die an Verstand und Religion mangelhafter sind und den Verstand des vernünftigen Mannes mehr wegstehlen als euch."</w:t>
      </w:r>
    </w:p>
    <w:p>
      <w:pPr>
        <w:pStyle w:val="BlockText"/>
      </w:pPr>
      <w:r>
        <w:t xml:space="preserve">[Überliefert von al-Bukhārī und Muslim]</w:t>
      </w:r>
    </w:p>
    <w:p>
      <w:pPr>
        <w:pStyle w:val="FirstParagraph"/>
      </w:pPr>
      <w:r>
        <w:t xml:space="preserve">Der Prophet ﷺ erklärte den Mangel an Religion damit, dass die Frau während der Menstruation nicht betet – das zeigt, dass das Unterlassen von Ṭāʿah (Gehorsam) den Īmān vermindert.</w:t>
      </w:r>
    </w:p>
    <w:p>
      <w:pPr>
        <w:pStyle w:val="BodyText"/>
      </w:pPr>
      <w:r>
        <w:rPr>
          <w:bCs/>
          <w:b/>
        </w:rPr>
        <w:t xml:space="preserve">Praktisches Beispiel:</w:t>
      </w:r>
      <w:r>
        <w:br/>
      </w:r>
      <w:r>
        <w:t xml:space="preserve">Zwei Frauen: Eine menstruiert (betet nicht), die andere menstruiert nicht (betet). Die menstruierende Frau hat weniger Īmān als die nicht-menstruierende – obwohl sie entschuldigt ist und keine Sünde trägt. Denn ihr Unterlassen des Gebets (aus einem legitimen Grund) entspricht einer Verminderung des ʿAmal – und damit des Īmān.</w:t>
      </w:r>
    </w:p>
    <w:p>
      <w:r>
        <w:pict>
          <v:rect style="width:0;height:1.5pt" o:hralign="center" o:hrstd="t" o:hr="t"/>
        </w:pict>
      </w:r>
    </w:p>
    <w:bookmarkEnd w:id="57"/>
    <w:bookmarkStart w:id="58" w:name="X3477bc11b0ee380372c5d9fc85d5632e1a93916"/>
    <w:p>
      <w:pPr>
        <w:pStyle w:val="Heading3"/>
      </w:pPr>
      <w:r>
        <w:t xml:space="preserve">Dritte Frage: Die Ausnahme im Īmān (al-Istiṯnāʾ)</w:t>
      </w:r>
    </w:p>
    <w:p>
      <w:pPr>
        <w:pStyle w:val="FirstParagraph"/>
      </w:pPr>
      <w:r>
        <w:rPr>
          <w:bCs/>
          <w:b/>
        </w:rPr>
        <w:t xml:space="preserve">Bedeutung</w:t>
      </w:r>
      <w:r>
        <w:t xml:space="preserve">: Es ist dem Gläubigen erlaubt zu sagen:</w:t>
      </w:r>
    </w:p>
    <w:p>
      <w:pPr>
        <w:pStyle w:val="BlockText"/>
      </w:pPr>
      <w:r>
        <w:t xml:space="preserve">„Ich bin ein Gläubiger, so Allah will" (</w:t>
      </w:r>
      <w:r>
        <w:rPr>
          <w:iCs/>
          <w:i/>
        </w:rPr>
        <w:t xml:space="preserve">Anā muʾminun in shāʾa Allāh</w:t>
      </w:r>
      <w:r>
        <w:t xml:space="preserve">)</w:t>
      </w:r>
    </w:p>
    <w:p>
      <w:pPr>
        <w:pStyle w:val="FirstParagraph"/>
      </w:pPr>
      <w:r>
        <w:rPr>
          <w:bCs/>
          <w:b/>
        </w:rPr>
        <w:t xml:space="preserve">Was ist hier gemeint mit Īmān?</w:t>
      </w:r>
      <w:r>
        <w:t xml:space="preserve"> </w:t>
      </w:r>
      <w:r>
        <w:t xml:space="preserve">Der</w:t>
      </w:r>
      <w:r>
        <w:t xml:space="preserve"> </w:t>
      </w:r>
      <w:r>
        <w:rPr>
          <w:bCs/>
          <w:b/>
        </w:rPr>
        <w:t xml:space="preserve">Kamāl al-Īmān</w:t>
      </w:r>
      <w:r>
        <w:t xml:space="preserve"> </w:t>
      </w:r>
      <w:r>
        <w:t xml:space="preserve">(die Vollkommenheit des Glaubens) – nicht der Aṣl al-Īmān (das Fundament des Glaubens).</w:t>
      </w:r>
    </w:p>
    <w:p>
      <w:pPr>
        <w:pStyle w:val="BodyText"/>
      </w:pPr>
      <w:r>
        <w:t xml:space="preserve">Der Kamāl al-Īmān bedeutet: Alle Befehle zu befolgen und alle Verbote zu meiden. Da kein Mensch mit Sicherheit wissen kann, ob er dies vollständig getan hat, ist es erlaubt – ja manchmal sogar geboten – die Ausnahme zu machen.</w:t>
      </w:r>
    </w:p>
    <w:p>
      <w:pPr>
        <w:pStyle w:val="BodyText"/>
      </w:pPr>
      <w:r>
        <w:rPr>
          <w:bCs/>
          <w:b/>
        </w:rPr>
        <w:t xml:space="preserve">Zwei Gründe für die Ausnahme:</w:t>
      </w:r>
    </w:p>
    <w:p>
      <w:pPr>
        <w:numPr>
          <w:ilvl w:val="0"/>
          <w:numId w:val="1032"/>
        </w:numPr>
        <w:pStyle w:val="Compact"/>
      </w:pPr>
      <w:r>
        <w:rPr>
          <w:bCs/>
          <w:b/>
        </w:rPr>
        <w:t xml:space="preserve">Falls er Kamāl al-Īmān meint</w:t>
      </w:r>
      <w:r>
        <w:t xml:space="preserve">: Weil er nicht weiß, ob sein Īmān bei Allah angenommen wurde – denn Allah sagt:</w:t>
      </w:r>
    </w:p>
    <w:p>
      <w:pPr>
        <w:pStyle w:val="BlockText"/>
      </w:pPr>
      <w:r>
        <w:rPr>
          <w:iCs/>
          <w:i/>
        </w:rPr>
        <w:t xml:space="preserve">﴿إِنَّمَا يَتَقَبَّلُ ٱللَّهُ مِنَ ٱلْمُتَّقِينَ﴾</w:t>
      </w:r>
      <w:r>
        <w:t xml:space="preserve"> </w:t>
      </w:r>
      <w:r>
        <w:t xml:space="preserve">„Wahrlich, Allah nimmt nur von den Gottesfürchtigen an." [al-Māʾidah: 27]</w:t>
      </w:r>
    </w:p>
    <w:p>
      <w:pPr>
        <w:numPr>
          <w:ilvl w:val="0"/>
          <w:numId w:val="1033"/>
        </w:numPr>
        <w:pStyle w:val="Compact"/>
      </w:pPr>
      <w:r>
        <w:rPr>
          <w:bCs/>
          <w:b/>
        </w:rPr>
        <w:t xml:space="preserve">Aus Furcht vor tazkiyat an-nafs</w:t>
      </w:r>
      <w:r>
        <w:t xml:space="preserve"> </w:t>
      </w:r>
      <w:r>
        <w:t xml:space="preserve">(Selbstpreisung): Allah sagt:</w:t>
      </w:r>
    </w:p>
    <w:p>
      <w:pPr>
        <w:pStyle w:val="BlockText"/>
      </w:pPr>
      <w:r>
        <w:rPr>
          <w:iCs/>
          <w:i/>
        </w:rPr>
        <w:t xml:space="preserve">﴿فَلَا تُزَكُّوٓا۟ أَنفُسَكُمْ هُوَ أَعْلَمُ بِمَنِ ٱتَّقَىٰ﴾</w:t>
      </w:r>
      <w:r>
        <w:t xml:space="preserve"> </w:t>
      </w:r>
      <w:r>
        <w:t xml:space="preserve">„Preiset nicht euch selbst! Er weiß am besten, wer gottesfürchtig ist." [an-Naǧm: 32]</w:t>
      </w:r>
    </w:p>
    <w:p>
      <w:r>
        <w:pict>
          <v:rect style="width:0;height:1.5pt" o:hralign="center" o:hrstd="t" o:hr="t"/>
        </w:pict>
      </w:r>
    </w:p>
    <w:bookmarkEnd w:id="58"/>
    <w:bookmarkStart w:id="63" w:name="al-kufr--der-unglaube"/>
    <w:p>
      <w:pPr>
        <w:pStyle w:val="Heading3"/>
      </w:pPr>
      <w:r>
        <w:t xml:space="preserve">Al-Kufr – Der Unglaube</w:t>
      </w:r>
    </w:p>
    <w:p>
      <w:pPr>
        <w:pStyle w:val="FirstParagraph"/>
      </w:pPr>
      <w:r>
        <w:t xml:space="preserve">Al-Kufr ist das Gegenteil des Īmān.</w:t>
      </w:r>
    </w:p>
    <w:p>
      <w:pPr>
        <w:pStyle w:val="SourceCode"/>
      </w:pPr>
      <w:r>
        <w:rPr>
          <w:rStyle w:val="VerbatimChar"/>
        </w:rPr>
        <w:t xml:space="preserve">                    Al-Kufr</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Kufr al-Akbar              Kufr al-Aṣghar</w:t>
      </w:r>
      <w:r>
        <w:br/>
      </w:r>
      <w:r>
        <w:rPr>
          <w:rStyle w:val="VerbatimChar"/>
        </w:rPr>
        <w:t xml:space="preserve">  (Großer Kufr)               (Kleiner Kufr)</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Kufr Aṣlī   Kufr ar-Riddah</w:t>
      </w:r>
      <w:r>
        <w:br/>
      </w:r>
      <w:r>
        <w:rPr>
          <w:rStyle w:val="VerbatimChar"/>
        </w:rPr>
        <w:t xml:space="preserve">(Ursprüng-   (Abfall vom</w:t>
      </w:r>
      <w:r>
        <w:br/>
      </w:r>
      <w:r>
        <w:rPr>
          <w:rStyle w:val="VerbatimChar"/>
        </w:rPr>
        <w:t xml:space="preserve">licher Kufr)  Islam)</w:t>
      </w:r>
    </w:p>
    <w:bookmarkStart w:id="59" w:name="kufr-al-akbar-großer-kufr"/>
    <w:p>
      <w:pPr>
        <w:pStyle w:val="Heading4"/>
      </w:pPr>
      <w:r>
        <w:t xml:space="preserve">Kufr al-Akbar (Großer Kufr)</w:t>
      </w:r>
    </w:p>
    <w:p>
      <w:pPr>
        <w:pStyle w:val="FirstParagraph"/>
      </w:pPr>
      <w:r>
        <w:t xml:space="preserve">Der große Kufr hebt den Īmān von Grund auf auf. Wer damit kommt, verliert den Īmān vollständig.</w:t>
      </w:r>
    </w:p>
    <w:p>
      <w:pPr>
        <w:pStyle w:val="BodyText"/>
      </w:pPr>
      <w:r>
        <w:rPr>
          <w:bCs/>
          <w:b/>
        </w:rPr>
        <w:t xml:space="preserve">1. Kufr Aṣlī</w:t>
      </w:r>
      <w:r>
        <w:t xml:space="preserve"> </w:t>
      </w:r>
      <w:r>
        <w:t xml:space="preserve">(Ursprünglicher Kufr) – derjenige, der nie zum Īmān gekommen ist. Er gliedert sich 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Art</w:t>
            </w:r>
          </w:p>
        </w:tc>
        <w:tc>
          <w:tcPr/>
          <w:p>
            <w:pPr>
              <w:pStyle w:val="Compact"/>
              <w:jc w:val="left"/>
            </w:pPr>
            <w:r>
              <w:t xml:space="preserve">Arabisch</w:t>
            </w:r>
          </w:p>
        </w:tc>
        <w:tc>
          <w:tcPr/>
          <w:p>
            <w:pPr>
              <w:pStyle w:val="Compact"/>
              <w:jc w:val="left"/>
            </w:pPr>
            <w:r>
              <w:t xml:space="preserve">Bedeutung</w:t>
            </w:r>
          </w:p>
        </w:tc>
      </w:tr>
      <w:tr>
        <w:tc>
          <w:tcPr/>
          <w:p>
            <w:pPr>
              <w:pStyle w:val="Compact"/>
              <w:jc w:val="left"/>
            </w:pPr>
            <w:r>
              <w:t xml:space="preserve">at-Takdhīb</w:t>
            </w:r>
          </w:p>
        </w:tc>
        <w:tc>
          <w:tcPr/>
          <w:p>
            <w:pPr>
              <w:pStyle w:val="Compact"/>
              <w:jc w:val="left"/>
            </w:pPr>
            <w:r>
              <w:t xml:space="preserve">التكذيب</w:t>
            </w:r>
          </w:p>
        </w:tc>
        <w:tc>
          <w:tcPr/>
          <w:p>
            <w:pPr>
              <w:pStyle w:val="Compact"/>
              <w:jc w:val="left"/>
            </w:pPr>
            <w:r>
              <w:t xml:space="preserve">Die Gesandten der Lüge zu bezichtigen</w:t>
            </w:r>
          </w:p>
        </w:tc>
      </w:tr>
      <w:tr>
        <w:tc>
          <w:tcPr/>
          <w:p>
            <w:pPr>
              <w:pStyle w:val="Compact"/>
              <w:jc w:val="left"/>
            </w:pPr>
            <w:r>
              <w:t xml:space="preserve">al-Istikbār</w:t>
            </w:r>
          </w:p>
        </w:tc>
        <w:tc>
          <w:tcPr/>
          <w:p>
            <w:pPr>
              <w:pStyle w:val="Compact"/>
              <w:jc w:val="left"/>
            </w:pPr>
            <w:r>
              <w:t xml:space="preserve">الاستكبار</w:t>
            </w:r>
          </w:p>
        </w:tc>
        <w:tc>
          <w:tcPr/>
          <w:p>
            <w:pPr>
              <w:pStyle w:val="Compact"/>
              <w:jc w:val="left"/>
            </w:pPr>
            <w:r>
              <w:t xml:space="preserve">Hochmütig den Glauben zu verweigern</w:t>
            </w:r>
          </w:p>
        </w:tc>
      </w:tr>
      <w:tr>
        <w:tc>
          <w:tcPr/>
          <w:p>
            <w:pPr>
              <w:pStyle w:val="Compact"/>
              <w:jc w:val="left"/>
            </w:pPr>
            <w:r>
              <w:t xml:space="preserve">al-Iʿrāḍ</w:t>
            </w:r>
          </w:p>
        </w:tc>
        <w:tc>
          <w:tcPr/>
          <w:p>
            <w:pPr>
              <w:pStyle w:val="Compact"/>
              <w:jc w:val="left"/>
            </w:pPr>
            <w:r>
              <w:t xml:space="preserve">الإعراض</w:t>
            </w:r>
          </w:p>
        </w:tc>
        <w:tc>
          <w:tcPr/>
          <w:p>
            <w:pPr>
              <w:pStyle w:val="Compact"/>
              <w:jc w:val="left"/>
            </w:pPr>
            <w:r>
              <w:t xml:space="preserve">Das Abwenden vom Hören des Gesandten</w:t>
            </w:r>
          </w:p>
        </w:tc>
      </w:tr>
      <w:tr>
        <w:tc>
          <w:tcPr/>
          <w:p>
            <w:pPr>
              <w:pStyle w:val="Compact"/>
              <w:jc w:val="left"/>
            </w:pPr>
            <w:r>
              <w:t xml:space="preserve">aš-Šakk</w:t>
            </w:r>
          </w:p>
        </w:tc>
        <w:tc>
          <w:tcPr/>
          <w:p>
            <w:pPr>
              <w:pStyle w:val="Compact"/>
              <w:jc w:val="left"/>
            </w:pPr>
            <w:r>
              <w:t xml:space="preserve">الشك</w:t>
            </w:r>
          </w:p>
        </w:tc>
        <w:tc>
          <w:tcPr/>
          <w:p>
            <w:pPr>
              <w:pStyle w:val="Compact"/>
              <w:jc w:val="left"/>
            </w:pPr>
            <w:r>
              <w:t xml:space="preserve">Am Wahrheitsgehalt des Gesandten zu zweifeln</w:t>
            </w:r>
          </w:p>
        </w:tc>
      </w:tr>
      <w:tr>
        <w:tc>
          <w:tcPr/>
          <w:p>
            <w:pPr>
              <w:pStyle w:val="Compact"/>
              <w:jc w:val="left"/>
            </w:pPr>
            <w:r>
              <w:t xml:space="preserve">an-Nifāq</w:t>
            </w:r>
          </w:p>
        </w:tc>
        <w:tc>
          <w:tcPr/>
          <w:p>
            <w:pPr>
              <w:pStyle w:val="Compact"/>
              <w:jc w:val="left"/>
            </w:pPr>
            <w:r>
              <w:t xml:space="preserve">النفاق</w:t>
            </w:r>
          </w:p>
        </w:tc>
        <w:tc>
          <w:tcPr/>
          <w:p>
            <w:pPr>
              <w:pStyle w:val="Compact"/>
              <w:jc w:val="left"/>
            </w:pPr>
            <w:r>
              <w:t xml:space="preserve">Den Kufr zu verbergen und den Islam zu zeigen</w:t>
            </w:r>
          </w:p>
        </w:tc>
      </w:tr>
    </w:tbl>
    <w:p>
      <w:pPr>
        <w:pStyle w:val="BodyText"/>
      </w:pPr>
      <w:r>
        <w:t xml:space="preserve">Beispiel für al-Istikbār – Iblīs:</w:t>
      </w:r>
    </w:p>
    <w:p>
      <w:pPr>
        <w:pStyle w:val="BlockText"/>
      </w:pPr>
      <w:r>
        <w:rPr>
          <w:iCs/>
          <w:i/>
        </w:rPr>
        <w:t xml:space="preserve">﴿إِلَّآ إِبْلِيسَ أَبَىٰ وَٱسْتَكْبَرَ وَكَانَ مِنَ ٱلْكَـٰفِرِينَ﴾</w:t>
      </w:r>
      <w:r>
        <w:t xml:space="preserve"> </w:t>
      </w:r>
      <w:r>
        <w:t xml:space="preserve">„Außer Iblīs – er weigerte sich und war hochmütig und gehörte zu den Ungläubigen." [al-Baqarah: 34]</w:t>
      </w:r>
    </w:p>
    <w:p>
      <w:pPr>
        <w:pStyle w:val="FirstParagraph"/>
      </w:pPr>
      <w:r>
        <w:t xml:space="preserve">Iblīs kannte Allah und wusste um Seine Größe, aber er glaubte nicht, weil er sich hochmütig weigerte.</w:t>
      </w:r>
    </w:p>
    <w:p>
      <w:pPr>
        <w:pStyle w:val="BodyText"/>
      </w:pPr>
      <w:r>
        <w:rPr>
          <w:bCs/>
          <w:b/>
        </w:rPr>
        <w:t xml:space="preserve">2. Kufr ar-Riddah</w:t>
      </w:r>
      <w:r>
        <w:t xml:space="preserve"> </w:t>
      </w:r>
      <w:r>
        <w:t xml:space="preserve">(Abfall vom Islam) – derjenige, der zum Īmān gekommen war, dann aber mit einem Nichtigkeitsgrund kam. Dies kann geschehen durch:</w:t>
      </w:r>
    </w:p>
    <w:p>
      <w:pPr>
        <w:numPr>
          <w:ilvl w:val="0"/>
          <w:numId w:val="1034"/>
        </w:numPr>
        <w:pStyle w:val="Compact"/>
      </w:pPr>
      <w:r>
        <w:rPr>
          <w:bCs/>
          <w:b/>
        </w:rPr>
        <w:t xml:space="preserve">Qawl al-Qalb</w:t>
      </w:r>
      <w:r>
        <w:t xml:space="preserve">: z.B. an einer Pflicht Allahs zu zweifeln oder sie zu verleugnen</w:t>
      </w:r>
    </w:p>
    <w:p>
      <w:pPr>
        <w:numPr>
          <w:ilvl w:val="0"/>
          <w:numId w:val="1034"/>
        </w:numPr>
        <w:pStyle w:val="Compact"/>
      </w:pPr>
      <w:r>
        <w:rPr>
          <w:bCs/>
          <w:b/>
        </w:rPr>
        <w:t xml:space="preserve">Qawl al-Lisān</w:t>
      </w:r>
      <w:r>
        <w:t xml:space="preserve">: z.B. Allah oder Seine Religion zu beschimpfen</w:t>
      </w:r>
    </w:p>
    <w:p>
      <w:pPr>
        <w:numPr>
          <w:ilvl w:val="0"/>
          <w:numId w:val="1034"/>
        </w:numPr>
        <w:pStyle w:val="Compact"/>
      </w:pPr>
      <w:r>
        <w:rPr>
          <w:bCs/>
          <w:b/>
        </w:rPr>
        <w:t xml:space="preserve">ʿAmal al-Qalb</w:t>
      </w:r>
      <w:r>
        <w:t xml:space="preserve">: z.B. den Propheten ﷺ und das, was er brachte, zu hassen</w:t>
      </w:r>
    </w:p>
    <w:p>
      <w:pPr>
        <w:numPr>
          <w:ilvl w:val="0"/>
          <w:numId w:val="1034"/>
        </w:numPr>
        <w:pStyle w:val="Compact"/>
      </w:pPr>
      <w:r>
        <w:rPr>
          <w:bCs/>
          <w:b/>
        </w:rPr>
        <w:t xml:space="preserve">ʿAmal al-Jawāriḥ</w:t>
      </w:r>
      <w:r>
        <w:t xml:space="preserve">: z.B. sich vor einem Grab oder Götzen niederzuwerfen</w:t>
      </w:r>
    </w:p>
    <w:p>
      <w:pPr>
        <w:pStyle w:val="FirstParagraph"/>
      </w:pPr>
      <w:r>
        <w:rPr>
          <w:bCs/>
          <w:b/>
        </w:rPr>
        <w:t xml:space="preserve">Wichtige Regel:</w:t>
      </w:r>
    </w:p>
    <w:p>
      <w:pPr>
        <w:pStyle w:val="BlockText"/>
      </w:pPr>
      <w:r>
        <w:rPr>
          <w:iCs/>
          <w:i/>
        </w:rPr>
        <w:t xml:space="preserve">„التكفير المطلق لا يلزم منه تكفير المعين إلا بعد توفر الشروط وانتفاء الموانع"</w:t>
      </w:r>
    </w:p>
    <w:p>
      <w:pPr>
        <w:pStyle w:val="BlockText"/>
      </w:pPr>
      <w:r>
        <w:t xml:space="preserve">„Das allgemeine Urteil des Kufr verpflichtet nicht dazu, eine bestimmte Person als Kāfir zu beurteilen, außer nach Erfüllung der Bedingungen und Entfall der Hindernisse."</w:t>
      </w:r>
    </w:p>
    <w:p>
      <w:pPr>
        <w:pStyle w:val="FirstParagraph"/>
      </w:pPr>
      <w:r>
        <w:t xml:space="preserve">Wenn jemand also eine Aussage des Kufr gesprochen hat, darf man ihn nicht ohne Weiteres als Kāfir bezeichnen. Es muss geprüft werden: Waren die Bedingungen erfüllt? Lagen keine Hindernisse vor (wie Unwissenheit, Zwang, Fehldeutung)?</w:t>
      </w:r>
    </w:p>
    <w:p>
      <w:pPr>
        <w:pStyle w:val="BodyText"/>
      </w:pPr>
      <w:r>
        <w:t xml:space="preserve">Beweis: Wer zum Kufr gezwungen wird:</w:t>
      </w:r>
    </w:p>
    <w:p>
      <w:pPr>
        <w:pStyle w:val="BlockText"/>
      </w:pPr>
      <w:r>
        <w:rPr>
          <w:iCs/>
          <w:i/>
        </w:rPr>
        <w:t xml:space="preserve">﴿مَن كَفَرَ بِٱللَّهِ مِنۢ بَعْدِ إِيمَـٰنِهِۦٓ إِلَّا مَنْ أُكْرِهَ وَقَلْبُهُۥ مُطْمَئِنٌّۢ بِٱلْإِيمَـٰنِ﴾</w:t>
      </w:r>
      <w:r>
        <w:t xml:space="preserve"> </w:t>
      </w:r>
      <w:r>
        <w:t xml:space="preserve">„Wer nach seinem Glauben an Allah ungläubig wird – außer wer dazu gezwungen wird, während sein Herz ruhig im Glauben ist." [an-Naḥl: 106]</w:t>
      </w:r>
    </w:p>
    <w:bookmarkEnd w:id="59"/>
    <w:bookmarkStart w:id="60" w:name="urteile-des-kufr-al-akbar"/>
    <w:p>
      <w:pPr>
        <w:pStyle w:val="Heading4"/>
      </w:pPr>
      <w:r>
        <w:t xml:space="preserve">Urteile des Kufr al-Akbar</w:t>
      </w:r>
    </w:p>
    <w:p>
      <w:pPr>
        <w:numPr>
          <w:ilvl w:val="0"/>
          <w:numId w:val="1035"/>
        </w:numPr>
        <w:pStyle w:val="Compact"/>
      </w:pPr>
      <w:r>
        <w:t xml:space="preserve">Sein Träger bleibt ewig in der Hölle:</w:t>
      </w:r>
    </w:p>
    <w:p>
      <w:pPr>
        <w:pStyle w:val="BlockText"/>
      </w:pPr>
      <w:r>
        <w:rPr>
          <w:iCs/>
          <w:i/>
        </w:rPr>
        <w:t xml:space="preserve">﴿إِنَّ ٱلَّذِينَ كَفَرُوا۟ مِنْ أَهْلِ ٱلْكِتَـٰبِ وَٱلْمُشْرِكِينَ فِى نَارِ جَهَنَّمَ خَـٰلِدِينَ فِيهَآ أُو۟لَـٰٓئِكَ هُمْ شَرُّ ٱلْبَرِيَّةِ﴾</w:t>
      </w:r>
      <w:r>
        <w:t xml:space="preserve"> </w:t>
      </w:r>
      <w:r>
        <w:t xml:space="preserve">„Wahrlich, diejenigen, die unter den Schriftbesitzern ungläubig sind, und die Götzendiener sind im Feuer der Hölle – auf ewig. Sie sind die schlechtesten Geschöpfe." [al-Bayyinah: 6]</w:t>
      </w:r>
    </w:p>
    <w:p>
      <w:pPr>
        <w:numPr>
          <w:ilvl w:val="0"/>
          <w:numId w:val="1036"/>
        </w:numPr>
      </w:pPr>
      <w:r>
        <w:t xml:space="preserve">Er tritt aus der Gemeinschaft der Muslime aus.</w:t>
      </w:r>
    </w:p>
    <w:p>
      <w:pPr>
        <w:numPr>
          <w:ilvl w:val="0"/>
          <w:numId w:val="1036"/>
        </w:numPr>
      </w:pPr>
      <w:r>
        <w:t xml:space="preserve">Seine Werke werden zunichte gemacht:</w:t>
      </w:r>
    </w:p>
    <w:p>
      <w:pPr>
        <w:pStyle w:val="BlockText"/>
      </w:pPr>
      <w:r>
        <w:rPr>
          <w:iCs/>
          <w:i/>
        </w:rPr>
        <w:t xml:space="preserve">﴿وَمَن يَكْفُرْ بِٱلْإِيمَـٰنِ فَقَدْ حَبِطَ عَمَلُهُۥ وَهُوَ فِى ٱلْأٓخِرَةِ مِنَ ٱلْخَـٰسِرِينَ﴾</w:t>
      </w:r>
      <w:r>
        <w:t xml:space="preserve"> </w:t>
      </w:r>
      <w:r>
        <w:t xml:space="preserve">„Und wer den Glauben ablehnt – dessen Werke sind zunichte gemacht, und er gehört im Jenseits zu den Verlierern." [al-Māʾidah: 5]</w:t>
      </w:r>
    </w:p>
    <w:bookmarkEnd w:id="60"/>
    <w:bookmarkStart w:id="61" w:name="kufr-al-aṣghar-kleiner-kufr"/>
    <w:p>
      <w:pPr>
        <w:pStyle w:val="Heading4"/>
      </w:pPr>
      <w:r>
        <w:t xml:space="preserve">Kufr al-Aṣghar (Kleiner Kufr)</w:t>
      </w:r>
    </w:p>
    <w:p>
      <w:pPr>
        <w:pStyle w:val="FirstParagraph"/>
      </w:pPr>
      <w:r>
        <w:t xml:space="preserve">Der kleine Kufr hebt den Īmān nicht vollständig auf – er entfernt nur den</w:t>
      </w:r>
      <w:r>
        <w:t xml:space="preserve"> </w:t>
      </w:r>
      <w:r>
        <w:rPr>
          <w:bCs/>
          <w:b/>
        </w:rPr>
        <w:t xml:space="preserve">Kamāl al-Wājib</w:t>
      </w:r>
      <w:r>
        <w:t xml:space="preserve"> </w:t>
      </w:r>
      <w:r>
        <w:t xml:space="preserve">(die obligatorische Vollkommenheit des Īmān).</w:t>
      </w:r>
    </w:p>
    <w:p>
      <w:pPr>
        <w:pStyle w:val="BodyText"/>
      </w:pPr>
      <w:r>
        <w:rPr>
          <w:bCs/>
          <w:b/>
        </w:rPr>
        <w:t xml:space="preserve">Beispiel:</w:t>
      </w:r>
      <w:r>
        <w:t xml:space="preserve"> </w:t>
      </w:r>
      <w:r>
        <w:t xml:space="preserve">Der Hadith des Propheten ﷺ:</w:t>
      </w:r>
    </w:p>
    <w:p>
      <w:pPr>
        <w:pStyle w:val="BlockText"/>
      </w:pPr>
      <w:r>
        <w:rPr>
          <w:iCs/>
          <w:i/>
        </w:rPr>
        <w:t xml:space="preserve">„لَا تَرْجِعُوا بَعْدِي كُفَّارًا يَضْرِبُ بَعْضُكُمْ رِقَابَ بَعْضٍ"</w:t>
      </w:r>
    </w:p>
    <w:p>
      <w:pPr>
        <w:pStyle w:val="BlockText"/>
      </w:pPr>
      <w:r>
        <w:t xml:space="preserve">„Kehrt nach mir nicht als Ungläubige zurück, indem ihr die Hälse der anderen schlägt."</w:t>
      </w:r>
    </w:p>
    <w:p>
      <w:pPr>
        <w:pStyle w:val="BlockText"/>
      </w:pPr>
      <w:r>
        <w:t xml:space="preserve">[Überliefert von al-Bukhārī und Muslim]</w:t>
      </w:r>
    </w:p>
    <w:p>
      <w:pPr>
        <w:pStyle w:val="FirstParagraph"/>
      </w:pPr>
      <w:r>
        <w:t xml:space="preserve">Das Töten ohne Recht wurde hier Kufr genannt – dies ist jedoch der kleine Kufr. Der Beweis: Allah hat in der Qurʾān (49:9) für die kämpfenden Parteien von Gläubigen den Glauben bezeugt.</w:t>
      </w:r>
    </w:p>
    <w:bookmarkEnd w:id="61"/>
    <w:bookmarkStart w:id="62" w:name="urteile-des-kufr-al-aṣghar"/>
    <w:p>
      <w:pPr>
        <w:pStyle w:val="Heading4"/>
      </w:pPr>
      <w:r>
        <w:t xml:space="preserve">Urteile des Kufr al-Aṣghar</w:t>
      </w:r>
    </w:p>
    <w:p>
      <w:pPr>
        <w:numPr>
          <w:ilvl w:val="0"/>
          <w:numId w:val="1037"/>
        </w:numPr>
        <w:pStyle w:val="Compact"/>
      </w:pPr>
      <w:r>
        <w:t xml:space="preserve">Er entfernt nicht aus der Glaubensgemeinschaft – wer ohne Recht tötet, wird dennoch als Muslim bezeichnet, nicht als Kāfir.</w:t>
      </w:r>
    </w:p>
    <w:p>
      <w:pPr>
        <w:numPr>
          <w:ilvl w:val="0"/>
          <w:numId w:val="1037"/>
        </w:numPr>
        <w:pStyle w:val="Compact"/>
      </w:pPr>
      <w:r>
        <w:t xml:space="preserve">Er vermindert den obligatorischen Īmān.</w:t>
      </w:r>
    </w:p>
    <w:p>
      <w:pPr>
        <w:numPr>
          <w:ilvl w:val="0"/>
          <w:numId w:val="1037"/>
        </w:numPr>
        <w:pStyle w:val="Compact"/>
      </w:pPr>
      <w:r>
        <w:t xml:space="preserve">Er bedingt keine ewige Höllenstrafe – die Sache liegt im Willen (mašīʾah) Allahs: wenn Er will, bestraft Er; wenn Er will, vergibt Er.</w:t>
      </w:r>
    </w:p>
    <w:p>
      <w:r>
        <w:pict>
          <v:rect style="width:0;height:1.5pt" o:hralign="center" o:hrstd="t" o:hr="t"/>
        </w:pict>
      </w:r>
    </w:p>
    <w:bookmarkEnd w:id="62"/>
    <w:bookmarkEnd w:id="63"/>
    <w:bookmarkEnd w:id="64"/>
    <w:bookmarkStart w:id="69" w:name="aṣ-ṣaḥābah--die-gefährten"/>
    <w:p>
      <w:pPr>
        <w:pStyle w:val="Heading2"/>
      </w:pPr>
      <w:r>
        <w:t xml:space="preserve">Aṣ-Ṣaḥābah – Die Gefährten</w:t>
      </w:r>
    </w:p>
    <w:bookmarkStart w:id="65" w:name="übersicht-5"/>
    <w:p>
      <w:pPr>
        <w:pStyle w:val="Heading3"/>
      </w:pPr>
      <w:r>
        <w:t xml:space="preserve">Übersicht</w:t>
      </w:r>
    </w:p>
    <w:p>
      <w:pPr>
        <w:pStyle w:val="SourceCode"/>
      </w:pPr>
      <w:r>
        <w:rPr>
          <w:rStyle w:val="VerbatimChar"/>
        </w:rPr>
        <w:t xml:space="preserve">                    Aṣ-Ṣaḥābah</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Wer sind sie?   Eigenschaften   Pflichten der</w:t>
      </w:r>
      <w:r>
        <w:br/>
      </w:r>
      <w:r>
        <w:rPr>
          <w:rStyle w:val="VerbatimChar"/>
        </w:rPr>
        <w:t xml:space="preserve">                                     Ummah</w:t>
      </w:r>
      <w:r>
        <w:br/>
      </w:r>
      <w:r>
        <w:rPr>
          <w:rStyle w:val="VerbatimChar"/>
        </w:rPr>
        <w:t xml:space="preserve">         │              │              │</w:t>
      </w:r>
      <w:r>
        <w:br/>
      </w:r>
      <w:r>
        <w:rPr>
          <w:rStyle w:val="VerbatimChar"/>
        </w:rPr>
        <w:t xml:space="preserve">    Jeder, der     1. Gerechtigkeit  1. Liebe</w:t>
      </w:r>
      <w:r>
        <w:br/>
      </w:r>
      <w:r>
        <w:rPr>
          <w:rStyle w:val="VerbatimChar"/>
        </w:rPr>
        <w:t xml:space="preserve">    den Prophet ﷺ  2. Güte der      2. Ehrfurcht u.</w:t>
      </w:r>
      <w:r>
        <w:br/>
      </w:r>
      <w:r>
        <w:rPr>
          <w:rStyle w:val="VerbatimChar"/>
        </w:rPr>
        <w:t xml:space="preserve">    in seinem         Herzen            Hochachtung</w:t>
      </w:r>
      <w:r>
        <w:br/>
      </w:r>
      <w:r>
        <w:rPr>
          <w:rStyle w:val="VerbatimChar"/>
        </w:rPr>
        <w:t xml:space="preserve">    Leben nach      3. Besser als    3. Barmherzigkeit</w:t>
      </w:r>
      <w:r>
        <w:br/>
      </w:r>
      <w:r>
        <w:rPr>
          <w:rStyle w:val="VerbatimChar"/>
        </w:rPr>
        <w:t xml:space="preserve">    seiner Sendung    alle, die        u. Fürbitte</w:t>
      </w:r>
      <w:r>
        <w:br/>
      </w:r>
      <w:r>
        <w:rPr>
          <w:rStyle w:val="VerbatimChar"/>
        </w:rPr>
        <w:t xml:space="preserve">    gesehen hat,      nach ihnen     4. Zurückhalten</w:t>
      </w:r>
      <w:r>
        <w:br/>
      </w:r>
      <w:r>
        <w:rPr>
          <w:rStyle w:val="VerbatimChar"/>
        </w:rPr>
        <w:t xml:space="preserve">    an ihn           kamen             von Streitig-</w:t>
      </w:r>
      <w:r>
        <w:br/>
      </w:r>
      <w:r>
        <w:rPr>
          <w:rStyle w:val="VerbatimChar"/>
        </w:rPr>
        <w:t xml:space="preserve">    geglaubt hat                       keiten zwischen</w:t>
      </w:r>
      <w:r>
        <w:br/>
      </w:r>
      <w:r>
        <w:rPr>
          <w:rStyle w:val="VerbatimChar"/>
        </w:rPr>
        <w:t xml:space="preserve">    und darauf                         ihnen</w:t>
      </w:r>
      <w:r>
        <w:br/>
      </w:r>
      <w:r>
        <w:rPr>
          <w:rStyle w:val="VerbatimChar"/>
        </w:rPr>
        <w:t xml:space="preserve">    gestorben ist</w:t>
      </w:r>
      <w:r>
        <w:br/>
      </w:r>
      <w:r>
        <w:br/>
      </w:r>
      <w:r>
        <w:rPr>
          <w:rStyle w:val="VerbatimChar"/>
        </w:rPr>
        <w:t xml:space="preserve">    Grundsatz: Allah war zufrieden mit der ʿAqīdah</w:t>
      </w:r>
      <w:r>
        <w:br/>
      </w:r>
      <w:r>
        <w:rPr>
          <w:rStyle w:val="VerbatimChar"/>
        </w:rPr>
        <w:t xml:space="preserve">    der Ṣaḥābah und ihrem Weg –</w:t>
      </w:r>
      <w:r>
        <w:br/>
      </w:r>
      <w:r>
        <w:rPr>
          <w:rStyle w:val="VerbatimChar"/>
        </w:rPr>
        <w:t xml:space="preserve">    kein Heil und keine Rettung außer durch ihre</w:t>
      </w:r>
      <w:r>
        <w:br/>
      </w:r>
      <w:r>
        <w:rPr>
          <w:rStyle w:val="VerbatimChar"/>
        </w:rPr>
        <w:t xml:space="preserve">    Nachfolge in Güte (bi-iḥsān)</w:t>
      </w:r>
    </w:p>
    <w:bookmarkEnd w:id="65"/>
    <w:bookmarkStart w:id="66" w:name="definition"/>
    <w:p>
      <w:pPr>
        <w:pStyle w:val="Heading3"/>
      </w:pPr>
      <w:r>
        <w:t xml:space="preserve">Definition</w:t>
      </w:r>
    </w:p>
    <w:p>
      <w:pPr>
        <w:pStyle w:val="FirstParagraph"/>
      </w:pPr>
      <w:r>
        <w:rPr>
          <w:bCs/>
          <w:b/>
        </w:rPr>
        <w:t xml:space="preserve">Aṣ-Ṣaḥābah</w:t>
      </w:r>
      <w:r>
        <w:t xml:space="preserve"> </w:t>
      </w:r>
      <w:r>
        <w:t xml:space="preserve">ist der Plural von Ṣaḥābī.</w:t>
      </w:r>
    </w:p>
    <w:p>
      <w:pPr>
        <w:pStyle w:val="BodyText"/>
      </w:pPr>
      <w:r>
        <w:rPr>
          <w:bCs/>
          <w:b/>
        </w:rPr>
        <w:t xml:space="preserve">Aṣ-Ṣaḥābī</w:t>
      </w:r>
      <w:r>
        <w:t xml:space="preserve">: Jeder, der den Propheten ﷺ in seinem Leben, nach seiner Prophetensendung (Biʿṯah), gesehen hat, an ihn geglaubt hat und auf dem Glauben gestorben ist.</w:t>
      </w:r>
    </w:p>
    <w:p>
      <w:pPr>
        <w:pStyle w:val="BodyText"/>
      </w:pPr>
      <w:r>
        <w:rPr>
          <w:bCs/>
          <w:b/>
        </w:rPr>
        <w:t xml:space="preserve">Vier Bedingungen für die Ṣaḥābah-Eigenschaft:</w:t>
      </w:r>
    </w:p>
    <w:p>
      <w:pPr>
        <w:numPr>
          <w:ilvl w:val="0"/>
          <w:numId w:val="1038"/>
        </w:numPr>
        <w:pStyle w:val="Compact"/>
      </w:pPr>
      <w:r>
        <w:rPr>
          <w:bCs/>
          <w:b/>
        </w:rPr>
        <w:t xml:space="preserve">Die Begegnung muss wach und nicht im Schlaf gewesen sein</w:t>
      </w:r>
      <w:r>
        <w:t xml:space="preserve"> </w:t>
      </w:r>
      <w:r>
        <w:t xml:space="preserve">– wer den Propheten ﷺ im Traum sah, ist kein Ṣaḥābī.</w:t>
      </w:r>
    </w:p>
    <w:p>
      <w:pPr>
        <w:numPr>
          <w:ilvl w:val="0"/>
          <w:numId w:val="1038"/>
        </w:numPr>
        <w:pStyle w:val="Compact"/>
      </w:pPr>
      <w:r>
        <w:rPr>
          <w:bCs/>
          <w:b/>
        </w:rPr>
        <w:t xml:space="preserve">Die Begegnung muss in seinem Leben nach der Prophetensendung stattgefunden haben</w:t>
      </w:r>
      <w:r>
        <w:t xml:space="preserve"> </w:t>
      </w:r>
      <w:r>
        <w:t xml:space="preserve">– wer ihn vor der Prophetensendung sah, ist kein Ṣaḥābī.</w:t>
      </w:r>
    </w:p>
    <w:p>
      <w:pPr>
        <w:numPr>
          <w:ilvl w:val="0"/>
          <w:numId w:val="1038"/>
        </w:numPr>
        <w:pStyle w:val="Compact"/>
      </w:pPr>
      <w:r>
        <w:rPr>
          <w:bCs/>
          <w:b/>
        </w:rPr>
        <w:t xml:space="preserve">Er muss an ihn geglaubt haben</w:t>
      </w:r>
      <w:r>
        <w:t xml:space="preserve"> </w:t>
      </w:r>
      <w:r>
        <w:t xml:space="preserve">– wer ihn als Ungläubiger sah und nicht an ihn glaubte, ist kein Ṣaḥābī.</w:t>
      </w:r>
    </w:p>
    <w:p>
      <w:pPr>
        <w:numPr>
          <w:ilvl w:val="0"/>
          <w:numId w:val="1038"/>
        </w:numPr>
        <w:pStyle w:val="Compact"/>
      </w:pPr>
      <w:r>
        <w:rPr>
          <w:bCs/>
          <w:b/>
        </w:rPr>
        <w:t xml:space="preserve">Er muss auf dem Glauben gestorben sein</w:t>
      </w:r>
      <w:r>
        <w:t xml:space="preserve"> </w:t>
      </w:r>
      <w:r>
        <w:t xml:space="preserve">– wer nach der Begegnung als Ungläubiger starb, ist kein Ṣaḥābī.</w:t>
      </w:r>
    </w:p>
    <w:p>
      <w:pPr>
        <w:pStyle w:val="FirstParagraph"/>
      </w:pPr>
      <w:r>
        <w:t xml:space="preserve">Der Beweis: Der Prophet ﷺ sagte gemäß dem, was von Abū Umāmah überliefert wurde:</w:t>
      </w:r>
    </w:p>
    <w:p>
      <w:pPr>
        <w:pStyle w:val="BlockText"/>
      </w:pPr>
      <w:r>
        <w:rPr>
          <w:iCs/>
          <w:i/>
        </w:rPr>
        <w:t xml:space="preserve">„طُوبَى لِمَنْ رَآنِي وَآمَنَ بِي، وَطُوبَى لِمَنْ آمَنَ بِي وَلَمْ يَرَنِي – سَبْعَ مَرَّاتٍ"</w:t>
      </w:r>
    </w:p>
    <w:p>
      <w:pPr>
        <w:pStyle w:val="BlockText"/>
      </w:pPr>
      <w:r>
        <w:t xml:space="preserve">„Wohl dem, der mich gesehen und an mich geglaubt hat, und wohl dem, der an mich geglaubt hat, ohne mich gesehen zu haben – (er sagte dies) siebenmal."</w:t>
      </w:r>
    </w:p>
    <w:p>
      <w:pPr>
        <w:pStyle w:val="BlockText"/>
      </w:pPr>
      <w:r>
        <w:t xml:space="preserve">[Überliefert von Aḥmad im Musnad]</w:t>
      </w:r>
    </w:p>
    <w:p>
      <w:pPr>
        <w:pStyle w:val="FirstParagraph"/>
      </w:pPr>
      <w:r>
        <w:t xml:space="preserve">Dieser Hadith zeigt, dass die Ṣaḥābah-Eigenschaft allein durch das Sehen des Propheten ﷺ (wachend, nach der Biʿṯah, glaubend, und dann auf dem Glauben sterbend) erworben wird. Selbst ein Blinder, der die Anwesenheit des Propheten ﷺ erlebt hat, gilt in seiner Eigenschaft als Ṣaḥābī.</w:t>
      </w:r>
    </w:p>
    <w:bookmarkEnd w:id="66"/>
    <w:bookmarkStart w:id="67" w:name="eigenschaften-der-ṣaḥābah"/>
    <w:p>
      <w:pPr>
        <w:pStyle w:val="Heading3"/>
      </w:pPr>
      <w:r>
        <w:t xml:space="preserve">Eigenschaften der Ṣaḥābah</w:t>
      </w:r>
    </w:p>
    <w:p>
      <w:pPr>
        <w:pStyle w:val="FirstParagraph"/>
      </w:pPr>
      <w:r>
        <w:rPr>
          <w:bCs/>
          <w:b/>
        </w:rPr>
        <w:t xml:space="preserve">Erste Eigenschaft: ʿAdālah (Gerechtigkeit/Glaubwürdigkeit)</w:t>
      </w:r>
    </w:p>
    <w:p>
      <w:pPr>
        <w:pStyle w:val="BodyText"/>
      </w:pPr>
      <w:r>
        <w:t xml:space="preserve">Allah hat die Ṣaḥābah von über sieben Himmeln als ʿudūl (glaubwürdig) bezeugt:</w:t>
      </w:r>
    </w:p>
    <w:p>
      <w:pPr>
        <w:pStyle w:val="BlockText"/>
      </w:pPr>
      <w:r>
        <w:rPr>
          <w:iCs/>
          <w:i/>
        </w:rPr>
        <w:t xml:space="preserve">﴿وَٱلسَّـٰبِقُونَ ٱلْأَوَّلُونَ مِنَ ٱلْمُهَـٰجِرِينَ وَٱلْأَنصَارِ وَٱلَّذِينَ ٱتَّبَعُوهُم بِإِحْسَـٰنٍ رَّضِىَ ٱللَّهُ عَنْهُمْ وَرَضُوا۟ عَنْهُ﴾</w:t>
      </w:r>
    </w:p>
    <w:p>
      <w:pPr>
        <w:pStyle w:val="BlockText"/>
      </w:pPr>
      <w:r>
        <w:t xml:space="preserve">„Und die Vorausgegangenen, die ersten unter den Auswanderern und den Helfern, und diejenigen, die ihnen in Güte nachgefolgt sind – Allah ist mit ihnen zufrieden, und sie sind mit Ihm zufrieden."</w:t>
      </w:r>
    </w:p>
    <w:p>
      <w:pPr>
        <w:pStyle w:val="BlockText"/>
      </w:pPr>
      <w:r>
        <w:t xml:space="preserve">[at-Tawbah: 100]</w:t>
      </w:r>
    </w:p>
    <w:p>
      <w:pPr>
        <w:pStyle w:val="FirstParagraph"/>
      </w:pPr>
      <w:r>
        <w:t xml:space="preserve">Allah hat jeden von ihnen mit Gutem verheißen:</w:t>
      </w:r>
    </w:p>
    <w:p>
      <w:pPr>
        <w:pStyle w:val="BlockText"/>
      </w:pPr>
      <w:r>
        <w:rPr>
          <w:iCs/>
          <w:i/>
        </w:rPr>
        <w:t xml:space="preserve">﴿وَكُلًّا وَعَدَ ٱللَّهُ ٱلْحُسْنَىٰ﴾</w:t>
      </w:r>
      <w:r>
        <w:t xml:space="preserve"> </w:t>
      </w:r>
      <w:r>
        <w:t xml:space="preserve">– „Und jedem von ihnen hat Allah das Schönste versprochen." [al-Ḥadīd: 10]</w:t>
      </w:r>
    </w:p>
    <w:p>
      <w:pPr>
        <w:pStyle w:val="FirstParagraph"/>
      </w:pPr>
      <w:r>
        <w:rPr>
          <w:bCs/>
          <w:b/>
        </w:rPr>
        <w:t xml:space="preserve">Zweite Eigenschaft: Khairiyyat Qulūbihim (Güte ihrer Herzen)</w:t>
      </w:r>
    </w:p>
    <w:p>
      <w:pPr>
        <w:pStyle w:val="BodyText"/>
      </w:pPr>
      <w:r>
        <w:t xml:space="preserve">Ibn Masʿūd ﷜ überlieferte:</w:t>
      </w:r>
    </w:p>
    <w:p>
      <w:pPr>
        <w:pStyle w:val="BlockText"/>
      </w:pPr>
      <w:r>
        <w:rPr>
          <w:iCs/>
          <w:i/>
        </w:rPr>
        <w:t xml:space="preserve">„إِنَّ اللهَ نَظَرَ فِي قُلُوبِ الْعِبَادِ فَوَجَدَ قَلْبَ مُحَمَّدٍ ﷺ خَيْرَ قُلُوبِ الْعِبَادِ، فَاصْطَفَاهُ لِنَفْسِهِ، فَابْتَعَثَهُ بِرِسَالَتِهِ، ثُمَّ نَظَرَ فِي قُلُوبِ الْعِبَادِ بَعْدَ قَلْبِ مُحَمَّدٍ ﷺ فَوَجَدَ قُلُوبَ أَصْحَابِهِ ﷺ خَيْرَ قُلُوبِ الْعِبَادِ، فَجَعَلَهُمْ وُزَرَاءَ نَبِيِّهِ ﷺ يُقَاتِلُونَ عَلَى دِينِهِ"</w:t>
      </w:r>
    </w:p>
    <w:p>
      <w:pPr>
        <w:pStyle w:val="BlockText"/>
      </w:pPr>
      <w:r>
        <w:t xml:space="preserve">„Wahrlich, Allah blickte in die Herzen der Diener und fand das Herz Muḥammads ﷺ als das beste der Herzen, also erwählte Er ihn für Sich und sandte ihn mit Seiner Botschaft. Dann blickte Er in die Herzen der Diener nach dem Herzen Muḥammads ﷺ und fand die Herzen seiner Gefährten ﷺ als die besten der Herzen der Diener, also machte Er sie zu Ministern seines Propheten ﷺ, die für seine Religion kämpfen."</w:t>
      </w:r>
    </w:p>
    <w:p>
      <w:pPr>
        <w:pStyle w:val="BlockText"/>
      </w:pPr>
      <w:r>
        <w:t xml:space="preserve">[Überliefert von Aḥmad im Musnad – hat den Status der Marfūʿ-Überlieferung]</w:t>
      </w:r>
    </w:p>
    <w:p>
      <w:pPr>
        <w:pStyle w:val="FirstParagraph"/>
      </w:pPr>
      <w:r>
        <w:rPr>
          <w:bCs/>
          <w:b/>
        </w:rPr>
        <w:t xml:space="preserve">Dritte Eigenschaft: Afḍal min kull man jāʾa baʿdahum (Besser als alle, die nach ihnen kamen)</w:t>
      </w:r>
    </w:p>
    <w:p>
      <w:pPr>
        <w:pStyle w:val="BodyText"/>
      </w:pPr>
      <w:r>
        <w:t xml:space="preserve">Die Ṣaḥābah sind die besten der Ummah nach dem Propheten ﷺ – wegen der Güte ihrer Herzen und weil Allah und Sein Gesandter ihre Reinheit bezeugt haben. Die absolute Vorrangstellung gehört den Gefährten des Gesandten Allahs ﷺ. Niemand nach den Ṣaḥābah kann eine höhere Station erreichen als auch nur der einfachste Ṣaḥābī, selbst wenn er eine kurze Zeit bei ihm war.</w:t>
      </w:r>
    </w:p>
    <w:bookmarkEnd w:id="67"/>
    <w:bookmarkStart w:id="68" w:name="Xba973dc5b663205c090abbbe006352a705c7914"/>
    <w:p>
      <w:pPr>
        <w:pStyle w:val="Heading3"/>
      </w:pPr>
      <w:r>
        <w:t xml:space="preserve">Pflichten der Ummah gegenüber den Ṣaḥābah</w:t>
      </w:r>
    </w:p>
    <w:p>
      <w:pPr>
        <w:pStyle w:val="FirstParagraph"/>
      </w:pPr>
      <w:r>
        <w:rPr>
          <w:bCs/>
          <w:b/>
        </w:rPr>
        <w:t xml:space="preserve">Erste Pflicht: Al-Maḥabbah (Liebe)</w:t>
      </w:r>
    </w:p>
    <w:p>
      <w:pPr>
        <w:pStyle w:val="BodyText"/>
      </w:pPr>
      <w:r>
        <w:t xml:space="preserve">Es ist auf die gesamte Ummah verpflichtend, die Ṣaḥābah zu lieben – aus folgenden Gründen:</w:t>
      </w:r>
    </w:p>
    <w:p>
      <w:pPr>
        <w:numPr>
          <w:ilvl w:val="0"/>
          <w:numId w:val="1039"/>
        </w:numPr>
        <w:pStyle w:val="Compact"/>
      </w:pPr>
      <w:r>
        <w:t xml:space="preserve">Allah liebt die Gefährten Seines Gesandten ﷺ</w:t>
      </w:r>
    </w:p>
    <w:p>
      <w:pPr>
        <w:numPr>
          <w:ilvl w:val="0"/>
          <w:numId w:val="1039"/>
        </w:numPr>
        <w:pStyle w:val="Compact"/>
      </w:pPr>
      <w:r>
        <w:t xml:space="preserve">Der Prophet ﷺ liebt seine Gefährten</w:t>
      </w:r>
    </w:p>
    <w:p>
      <w:pPr>
        <w:numPr>
          <w:ilvl w:val="0"/>
          <w:numId w:val="1039"/>
        </w:numPr>
        <w:pStyle w:val="Compact"/>
      </w:pPr>
      <w:r>
        <w:t xml:space="preserve">Die Ṣaḥābah haben das Dīn zu uns übertragen – sie sind die Übermittler der Religion, durch die wir bei Allah gerettet werden</w:t>
      </w:r>
    </w:p>
    <w:p>
      <w:pPr>
        <w:numPr>
          <w:ilvl w:val="0"/>
          <w:numId w:val="1039"/>
        </w:numPr>
        <w:pStyle w:val="Compact"/>
      </w:pPr>
      <w:r>
        <w:t xml:space="preserve">Sie haben für die Religion Allahs ﷻ kämpfend Jihād geleistet</w:t>
      </w:r>
    </w:p>
    <w:p>
      <w:pPr>
        <w:pStyle w:val="FirstParagraph"/>
      </w:pPr>
      <w:r>
        <w:t xml:space="preserve">Der Hadith aus Ṣaḥīḥ al-Bukhārī von al-Barāʾ ﷜:</w:t>
      </w:r>
    </w:p>
    <w:p>
      <w:pPr>
        <w:pStyle w:val="BlockText"/>
      </w:pPr>
      <w:r>
        <w:rPr>
          <w:iCs/>
          <w:i/>
        </w:rPr>
        <w:t xml:space="preserve">„الأَنْصَارُ لَا يُحِبُّهُمْ إِلَّا مُؤْمِنٌ، وَلَا يُبْغِضُهُمْ إِلَّا مُنَافِقٌ؛ فَمَنْ أَحَبَّهُمْ أَحَبَّهُ اللهُ، وَمَنْ أَبْغَضَهُمْ أَبْغَضَهُ اللهُ"</w:t>
      </w:r>
    </w:p>
    <w:p>
      <w:pPr>
        <w:pStyle w:val="BlockText"/>
      </w:pPr>
      <w:r>
        <w:t xml:space="preserve">„Die Anṣār liebt nur ein Gläubiger, und nur ein Heuchler hasst sie. Wer sie liebt, den liebt Allah; und wer sie hasst, den hasst Allah."</w:t>
      </w:r>
    </w:p>
    <w:p>
      <w:pPr>
        <w:pStyle w:val="BlockText"/>
      </w:pPr>
      <w:r>
        <w:t xml:space="preserve">[Überliefert von al-Bukhārī und Muslim]</w:t>
      </w:r>
    </w:p>
    <w:p>
      <w:pPr>
        <w:pStyle w:val="FirstParagraph"/>
      </w:pPr>
      <w:r>
        <w:rPr>
          <w:bCs/>
          <w:b/>
        </w:rPr>
        <w:t xml:space="preserve">Zweite Pflicht: At-Tawqīr wat-Taʿẓīm (Ehrfurcht und Hochachtung)</w:t>
      </w:r>
    </w:p>
    <w:p>
      <w:pPr>
        <w:pStyle w:val="BodyText"/>
      </w:pPr>
      <w:r>
        <w:t xml:space="preserve">Es ist Pflicht, die Ṣaḥābah zu verehren und hochzuachten – wegen ihrer Gerechtigkeit, der Güte ihrer Herzen und ihrer anderen Tugenden.</w:t>
      </w:r>
    </w:p>
    <w:p>
      <w:pPr>
        <w:pStyle w:val="BodyText"/>
      </w:pPr>
      <w:r>
        <w:rPr>
          <w:bCs/>
          <w:b/>
        </w:rPr>
        <w:t xml:space="preserve">Dritte Pflicht: At-Taraḥḥum wal-Istigfār (Barmherzigkeit und Fürbitte)</w:t>
      </w:r>
    </w:p>
    <w:p>
      <w:pPr>
        <w:pStyle w:val="BodyText"/>
      </w:pPr>
      <w:r>
        <w:t xml:space="preserve">Allah der Erhabene sagt:</w:t>
      </w:r>
    </w:p>
    <w:p>
      <w:pPr>
        <w:pStyle w:val="BlockText"/>
      </w:pPr>
      <w:r>
        <w:rPr>
          <w:iCs/>
          <w:i/>
        </w:rPr>
        <w:t xml:space="preserve">﴿وَٱلَّذِينَ جَآءُو مِنۢ بَعْدِهِمْ يَقُولُونَ رَبَّنَا ٱغْفِرْ لَنَا وَلِإِخْوَٰنِنَا ٱلَّذِينَ سَبَقُونَا بِٱلْإِيمَـٰنِ وَلَا تَجْعَلْ فِى قُلُوبِنَا غِلًّا لِّلَّذِينَ ءَامَنُوا۟ رَبَّنَآ إِنَّكَ رَءُوفٌ رَّحِيمٌ﴾</w:t>
      </w:r>
    </w:p>
    <w:p>
      <w:pPr>
        <w:pStyle w:val="BlockText"/>
      </w:pPr>
      <w:r>
        <w:t xml:space="preserve">„Und diejenigen, die nach ihnen kamen, sagen: ‚Unser Herr, vergib uns und unseren Brüdern, die uns im Glauben vorausgegangen sind, und lass in unseren Herzen keinen Groll gegen diejenigen sein, die geglaubt haben. Unser Herr, wahrlich Du bist Sanft und Barmherzig.'"</w:t>
      </w:r>
    </w:p>
    <w:p>
      <w:pPr>
        <w:pStyle w:val="BlockText"/>
      </w:pPr>
      <w:r>
        <w:t xml:space="preserve">[al-Ḥašr: 10]</w:t>
      </w:r>
    </w:p>
    <w:p>
      <w:pPr>
        <w:pStyle w:val="FirstParagraph"/>
      </w:pPr>
      <w:r>
        <w:t xml:space="preserve">Eines der Zeichen von Ahl as-Sunnah ist, dass sie den Gefährten des Gesandten Allahs ﷺ gegenüber Barmherzigkeit zeigen und für sie um Vergebung bitten – im Gegensatz zu Ahl al-Bidaʿ, die sie verfluchen.</w:t>
      </w:r>
    </w:p>
    <w:p>
      <w:pPr>
        <w:pStyle w:val="BodyText"/>
      </w:pPr>
      <w:r>
        <w:t xml:space="preserve">ʿĀʾishah ﷞ sagte: „Man hat ihnen befohlen, für sie um Vergebung zu bitten, sie aber verfluchten sie." Dann las sie diese Verse.</w:t>
      </w:r>
    </w:p>
    <w:p>
      <w:pPr>
        <w:pStyle w:val="BodyText"/>
      </w:pPr>
      <w:r>
        <w:rPr>
          <w:bCs/>
          <w:b/>
        </w:rPr>
        <w:t xml:space="preserve">Vierte Pflicht: Al-Kaff ʿammā Šajara baynahum (Zurückhalten von den Streitigkeiten zwischen ihnen)</w:t>
      </w:r>
    </w:p>
    <w:p>
      <w:pPr>
        <w:pStyle w:val="BodyText"/>
      </w:pPr>
      <w:r>
        <w:t xml:space="preserve">Was zwischen den Ṣaḥābah an Auseinandersetzungen geschah – die Pflicht ist Zurückhalten und Schweigen darüber.</w:t>
      </w:r>
    </w:p>
    <w:p>
      <w:pPr>
        <w:numPr>
          <w:ilvl w:val="0"/>
          <w:numId w:val="1040"/>
        </w:numPr>
        <w:pStyle w:val="Compact"/>
      </w:pPr>
      <w:r>
        <w:t xml:space="preserve">Wer über ihre Fehler spricht: Das führt dazu, dass er manche von ihnen hasst – das aber widerspricht der Pflicht der Liebe zu ihnen.</w:t>
      </w:r>
    </w:p>
    <w:p>
      <w:pPr>
        <w:numPr>
          <w:ilvl w:val="0"/>
          <w:numId w:val="1040"/>
        </w:numPr>
        <w:pStyle w:val="Compact"/>
      </w:pPr>
      <w:r>
        <w:t xml:space="preserve">Das Reden über ihre schlechten Taten und was zwischen ihnen geschah, führt zu ihrem Hass – und ihr Hass ist verboten und unerlaubt.</w:t>
      </w:r>
    </w:p>
    <w:p>
      <w:pPr>
        <w:numPr>
          <w:ilvl w:val="0"/>
          <w:numId w:val="1040"/>
        </w:numPr>
        <w:pStyle w:val="Compact"/>
      </w:pPr>
      <w:r>
        <w:t xml:space="preserve">Was zwischen den Ṣaḥābah geschah: Sie sind Mujtahidūn (islamische Rechtsgelehrte, die Eigenurteil anwenden) – wer recht hatte, dem gebühren zwei Belohnungen; wer irrte, dem gebührt eine Belohnung.</w:t>
      </w:r>
    </w:p>
    <w:p>
      <w:pPr>
        <w:numPr>
          <w:ilvl w:val="0"/>
          <w:numId w:val="1040"/>
        </w:numPr>
        <w:pStyle w:val="Compact"/>
      </w:pPr>
      <w:r>
        <w:t xml:space="preserve">Vieles von dem, was über die Streitigkeiten zwischen den Ṣaḥābah berichtet wird, ist entweder: eine Lüge, oder es wurde hinzugefügt oder weggelassen, oder es wurde aus seinem Kontext verdreht.</w:t>
      </w:r>
    </w:p>
    <w:p>
      <w:pPr>
        <w:pStyle w:val="FirstParagraph"/>
      </w:pPr>
      <w:r>
        <w:rPr>
          <w:bCs/>
          <w:b/>
        </w:rPr>
        <w:t xml:space="preserve">Wichtige Grundregel:</w:t>
      </w:r>
    </w:p>
    <w:p>
      <w:pPr>
        <w:pStyle w:val="BlockText"/>
      </w:pPr>
      <w:r>
        <w:rPr>
          <w:iCs/>
          <w:i/>
        </w:rPr>
        <w:t xml:space="preserve">„قد رضي الله عن عقيدة الصحابة ومنهجهم، فلا سلامة ولا نجاة إلا باتباعهم بإحسان"</w:t>
      </w:r>
    </w:p>
    <w:p>
      <w:pPr>
        <w:pStyle w:val="BlockText"/>
      </w:pPr>
      <w:r>
        <w:t xml:space="preserve">„Allah war zufrieden mit der ʿAqīdah der Ṣaḥābah und ihrem Weg. Es gibt weder Sicherheit noch Rettung außer durch ihre Nachfolge in Güte."</w:t>
      </w:r>
    </w:p>
    <w:p>
      <w:pPr>
        <w:pStyle w:val="FirstParagraph"/>
      </w:pPr>
      <w:r>
        <w:t xml:space="preserve">Beweis: Qurʾān at-Tawbah: 100 (s.o.)</w:t>
      </w:r>
    </w:p>
    <w:p>
      <w:pPr>
        <w:pStyle w:val="BodyText"/>
      </w:pPr>
      <w:r>
        <w:t xml:space="preserve">Also: Wer die Ṣaḥābah in ihrer ʿAqīdah und ihrem Weg nachfolgt, den liebt Allah; und wer sie beleidigt und für ungläubig erklärt, begeht eine der größten Nichtigkeiten.</w:t>
      </w:r>
    </w:p>
    <w:p>
      <w:r>
        <w:pict>
          <v:rect style="width:0;height:1.5pt" o:hralign="center" o:hrstd="t" o:hr="t"/>
        </w:pict>
      </w:r>
    </w:p>
    <w:bookmarkEnd w:id="68"/>
    <w:bookmarkEnd w:id="69"/>
    <w:bookmarkStart w:id="75" w:name="al-imāmah--die-herrschaftführerschaft"/>
    <w:p>
      <w:pPr>
        <w:pStyle w:val="Heading2"/>
      </w:pPr>
      <w:r>
        <w:t xml:space="preserve">Al-Imāmah – Die Herrschaft/Führerschaft</w:t>
      </w:r>
    </w:p>
    <w:bookmarkStart w:id="70" w:name="übersicht-6"/>
    <w:p>
      <w:pPr>
        <w:pStyle w:val="Heading3"/>
      </w:pPr>
      <w:r>
        <w:t xml:space="preserve">Übersicht</w:t>
      </w:r>
    </w:p>
    <w:p>
      <w:pPr>
        <w:pStyle w:val="SourceCode"/>
      </w:pPr>
      <w:r>
        <w:rPr>
          <w:rStyle w:val="VerbatimChar"/>
        </w:rPr>
        <w:t xml:space="preserve">                    Al-Imāmah</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Wege der          Mubāyaʿah       Rechte des</w:t>
      </w:r>
      <w:r>
        <w:br/>
      </w:r>
      <w:r>
        <w:rPr>
          <w:rStyle w:val="VerbatimChar"/>
        </w:rPr>
        <w:t xml:space="preserve">  Amtsübernahme     (Treueschwur)    Imāms</w:t>
      </w:r>
      <w:r>
        <w:br/>
      </w:r>
      <w:r>
        <w:rPr>
          <w:rStyle w:val="VerbatimChar"/>
        </w:rPr>
        <w:t xml:space="preserve">         │              │              │</w:t>
      </w:r>
      <w:r>
        <w:br/>
      </w:r>
      <w:r>
        <w:rPr>
          <w:rStyle w:val="VerbatimChar"/>
        </w:rPr>
        <w:t xml:space="preserve">  ┌──────┴──────┐    Verpflichtend  1. Hören u. Gehorchen</w:t>
      </w:r>
      <w:r>
        <w:br/>
      </w:r>
      <w:r>
        <w:rPr>
          <w:rStyle w:val="VerbatimChar"/>
        </w:rPr>
        <w:t xml:space="preserve">  │             │    individuell      im Guten</w:t>
      </w:r>
      <w:r>
        <w:br/>
      </w:r>
      <w:r>
        <w:rPr>
          <w:rStyle w:val="VerbatimChar"/>
        </w:rPr>
        <w:t xml:space="preserve">Ikhtiyāri  Iḍṭirāri  für jeden      2. Kein Aufstand</w:t>
      </w:r>
      <w:r>
        <w:br/>
      </w:r>
      <w:r>
        <w:rPr>
          <w:rStyle w:val="VerbatimChar"/>
        </w:rPr>
        <w:t xml:space="preserve">(Freiwillig) (Zwang)   Muslim        3. Aufrichtiger Rat</w:t>
      </w:r>
      <w:r>
        <w:br/>
      </w:r>
      <w:r>
        <w:rPr>
          <w:rStyle w:val="VerbatimChar"/>
        </w:rPr>
        <w:t xml:space="preserve">  │                                  4. Ehrfurcht</w:t>
      </w:r>
      <w:r>
        <w:br/>
      </w:r>
      <w:r>
        <w:rPr>
          <w:rStyle w:val="VerbatimChar"/>
        </w:rPr>
        <w:t xml:space="preserve">  ├── Mubāyaʿat Ahl</w:t>
      </w:r>
      <w:r>
        <w:br/>
      </w:r>
      <w:r>
        <w:rPr>
          <w:rStyle w:val="VerbatimChar"/>
        </w:rPr>
        <w:t xml:space="preserve">  │   al-Ḥall wal-ʿAqd</w:t>
      </w:r>
      <w:r>
        <w:br/>
      </w:r>
      <w:r>
        <w:rPr>
          <w:rStyle w:val="VerbatimChar"/>
        </w:rPr>
        <w:t xml:space="preserve">  │</w:t>
      </w:r>
      <w:r>
        <w:br/>
      </w:r>
      <w:r>
        <w:rPr>
          <w:rStyle w:val="VerbatimChar"/>
        </w:rPr>
        <w:t xml:space="preserve">  └── Istikhlāf al-Awwal</w:t>
      </w:r>
      <w:r>
        <w:br/>
      </w:r>
      <w:r>
        <w:rPr>
          <w:rStyle w:val="VerbatimChar"/>
        </w:rPr>
        <w:t xml:space="preserve">      li-ṯ-Ṯānī</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Einen     Gruppe</w:t>
      </w:r>
      <w:r>
        <w:br/>
      </w:r>
      <w:r>
        <w:rPr>
          <w:rStyle w:val="VerbatimChar"/>
        </w:rPr>
        <w:t xml:space="preserve">  Nachfolger bestimmt</w:t>
      </w:r>
      <w:r>
        <w:br/>
      </w:r>
      <w:r>
        <w:rPr>
          <w:rStyle w:val="VerbatimChar"/>
        </w:rPr>
        <w:t xml:space="preserve">  benennen   Šūrā</w:t>
      </w:r>
    </w:p>
    <w:bookmarkEnd w:id="70"/>
    <w:bookmarkStart w:id="71" w:name="Xff8ceb63c022e67b1b00c0d90a068cae9968f62"/>
    <w:p>
      <w:pPr>
        <w:pStyle w:val="Heading3"/>
      </w:pPr>
      <w:r>
        <w:t xml:space="preserve">Was ist mit dem Imām im Kapitel der Imāmah gemeint?</w:t>
      </w:r>
    </w:p>
    <w:p>
      <w:pPr>
        <w:pStyle w:val="FirstParagraph"/>
      </w:pPr>
      <w:r>
        <w:rPr>
          <w:bCs/>
          <w:b/>
        </w:rPr>
        <w:t xml:space="preserve">Al-Murād bil-Imām</w:t>
      </w:r>
      <w:r>
        <w:t xml:space="preserve">: Der Sultan (der Herrscher/die Obrigkeit).</w:t>
      </w:r>
    </w:p>
    <w:bookmarkEnd w:id="71"/>
    <w:bookmarkStart w:id="72" w:name="wege-der-amtsübernahme-des-imāms"/>
    <w:p>
      <w:pPr>
        <w:pStyle w:val="Heading3"/>
      </w:pPr>
      <w:r>
        <w:t xml:space="preserve">Wege der Amtsübernahme des Imāms</w:t>
      </w:r>
    </w:p>
    <w:p>
      <w:pPr>
        <w:pStyle w:val="FirstParagraph"/>
      </w:pPr>
      <w:r>
        <w:t xml:space="preserve">Für die Amtsübernahme des Imāms gibt es zwei Wege:</w:t>
      </w:r>
    </w:p>
    <w:p>
      <w:pPr>
        <w:pStyle w:val="BodyText"/>
      </w:pPr>
      <w:r>
        <w:rPr>
          <w:bCs/>
          <w:b/>
        </w:rPr>
        <w:t xml:space="preserve">1. Al-Ikhtiyāriyyah (Der freiwillige Weg)</w:t>
      </w:r>
      <w:r>
        <w:t xml:space="preserve">: Dieser wurde aus dem Handeln der rechtgeleiteten Kalifen entnommen und ist Sunnah. Der Prophet ﷺ befahl ihrer Nachfolge:</w:t>
      </w:r>
    </w:p>
    <w:p>
      <w:pPr>
        <w:pStyle w:val="BlockText"/>
      </w:pPr>
      <w:r>
        <w:rPr>
          <w:iCs/>
          <w:i/>
        </w:rPr>
        <w:t xml:space="preserve">„عَلَيْكُمْ بِسُنَّتِي وَسُنَّةِ الْخُلَفَاءِ الرَّاشِدِينَ الْمَهْدِيِّينَ مِنْ بَعْدِي"</w:t>
      </w:r>
    </w:p>
    <w:p>
      <w:pPr>
        <w:pStyle w:val="BlockText"/>
      </w:pPr>
      <w:r>
        <w:t xml:space="preserve">„Haltet euch an meine Sunnah und die Sunnah der rechtgeleiteten Nachfolger nach mir."</w:t>
      </w:r>
    </w:p>
    <w:p>
      <w:pPr>
        <w:pStyle w:val="BlockText"/>
      </w:pPr>
      <w:r>
        <w:t xml:space="preserve">[Überliefert von Abū Dāwūd]</w:t>
      </w:r>
    </w:p>
    <w:p>
      <w:pPr>
        <w:pStyle w:val="FirstParagraph"/>
      </w:pPr>
      <w:r>
        <w:t xml:space="preserve">Der freiwillige Weg gliedert sich in zwei Unterformen:</w:t>
      </w:r>
    </w:p>
    <w:p>
      <w:pPr>
        <w:pStyle w:val="BodyText"/>
      </w:pPr>
      <w:r>
        <w:rPr>
          <w:bCs/>
          <w:b/>
        </w:rPr>
        <w:t xml:space="preserve">a) Mubāyaʿat Ahl al-Ḥall wal-ʿAqd</w:t>
      </w:r>
      <w:r>
        <w:t xml:space="preserve"> </w:t>
      </w:r>
      <w:r>
        <w:t xml:space="preserve">(Treueeid von denjenigen, die berechtigt sind, das Amt zu bestimmen): Sie leisten dem Treueeid, der die Bedingungen der Imāmah erfüllt. Die Ahl al-Ḥall wal-ʿAqd sind diejenigen, die über Macht und Einfluss verfügen. Beispiele: die Bestimmung Abū Bakrs ﷜ und ʿAlīs ﷜ durch den Ahl al-Ḥall wal-ʿAqd.</w:t>
      </w:r>
    </w:p>
    <w:p>
      <w:pPr>
        <w:pStyle w:val="BodyText"/>
      </w:pPr>
      <w:r>
        <w:rPr>
          <w:bCs/>
          <w:b/>
        </w:rPr>
        <w:t xml:space="preserve">b) Istikhlāf al-Awwal li-ṯ-Ṯānī</w:t>
      </w:r>
      <w:r>
        <w:t xml:space="preserve"> </w:t>
      </w:r>
      <w:r>
        <w:t xml:space="preserve">(Der Erste bestimmt den Zweiten als Nachfolger), und dies gliedert sich in:</w:t>
      </w:r>
    </w:p>
    <w:p>
      <w:pPr>
        <w:numPr>
          <w:ilvl w:val="0"/>
          <w:numId w:val="1041"/>
        </w:numPr>
        <w:pStyle w:val="Compact"/>
      </w:pPr>
      <w:r>
        <w:t xml:space="preserve">Der Erste benennt eine bestimmte Person als Nachfolger – wie Abū Bakr ﷜ mit ʿUmar ﷜ tat: Er bestimmte ʿUmar ﷜ und nannte ihn.</w:t>
      </w:r>
    </w:p>
    <w:p>
      <w:pPr>
        <w:numPr>
          <w:ilvl w:val="0"/>
          <w:numId w:val="1041"/>
        </w:numPr>
        <w:pStyle w:val="Compact"/>
      </w:pPr>
      <w:r>
        <w:t xml:space="preserve">Eine Gruppe überträgt die Angelegenheit an eine Schūrā (Beratungsgremium) – wie ʿUmar ﷜ mit den sechs (Ahl aš-Šūrā) tat: Er übertrug die Angelegenheit einer Gruppe von sechs Personen und ließ die Beratung unter ihnen.</w:t>
      </w:r>
    </w:p>
    <w:p>
      <w:pPr>
        <w:pStyle w:val="FirstParagraph"/>
      </w:pPr>
      <w:r>
        <w:rPr>
          <w:bCs/>
          <w:b/>
        </w:rPr>
        <w:t xml:space="preserve">2. Al-Iḍṭirāriyyah (Der Zwangsweg)</w:t>
      </w:r>
      <w:r>
        <w:t xml:space="preserve">: Das ist das, was ohne den rechtmäßigen Weg, nämlich durch Macht und Gewalt (al-qahr), übernommen wurde. Die Gelehrten sind sich einig: Wer die Macht durch Gewalt und Überlegenheit erlangte, wird zum Imām, sobald das geschehen ist. Denn die Gemeinschaft muss einen Imām haben – ohne Imām entsteht Chaos und Verderben.</w:t>
      </w:r>
    </w:p>
    <w:bookmarkEnd w:id="72"/>
    <w:bookmarkStart w:id="73" w:name="X4a7594487dc3be459707f4b799b6a468c83c5a9"/>
    <w:p>
      <w:pPr>
        <w:pStyle w:val="Heading3"/>
      </w:pPr>
      <w:r>
        <w:t xml:space="preserve">Urteil über den Treueschwur an den Imām (Mubāyaʿah)</w:t>
      </w:r>
    </w:p>
    <w:p>
      <w:pPr>
        <w:pStyle w:val="FirstParagraph"/>
      </w:pPr>
      <w:r>
        <w:t xml:space="preserve">Der Treueschwur an den Imām ist</w:t>
      </w:r>
      <w:r>
        <w:t xml:space="preserve"> </w:t>
      </w:r>
      <w:r>
        <w:rPr>
          <w:bCs/>
          <w:b/>
        </w:rPr>
        <w:t xml:space="preserve">für jeden Muslim individuell verpflichtend</w:t>
      </w:r>
      <w:r>
        <w:t xml:space="preserve"> </w:t>
      </w:r>
      <w:r>
        <w:t xml:space="preserve">(wāǧib ʿaynī). Beweis:</w:t>
      </w:r>
    </w:p>
    <w:p>
      <w:pPr>
        <w:pStyle w:val="BlockText"/>
      </w:pPr>
      <w:r>
        <w:rPr>
          <w:iCs/>
          <w:i/>
        </w:rPr>
        <w:t xml:space="preserve">„مَنْ مَاتَ وَلَيْسَ فِي عُنُقِهِ بَيْعَةٌ مَاتَ مِيتَةً جَاهِلِيَّةً"</w:t>
      </w:r>
    </w:p>
    <w:p>
      <w:pPr>
        <w:pStyle w:val="BlockText"/>
      </w:pPr>
      <w:r>
        <w:t xml:space="preserve">„Wer stirbt, ohne dass ein Treueeid auf seinem Halse liegt, stirbt den Tod der Unwissenheit (Jāhiliyyah)."</w:t>
      </w:r>
    </w:p>
    <w:p>
      <w:pPr>
        <w:pStyle w:val="BlockText"/>
      </w:pPr>
      <w:r>
        <w:t xml:space="preserve">[Überliefert von Muslim]</w:t>
      </w:r>
    </w:p>
    <w:p>
      <w:pPr>
        <w:pStyle w:val="FirstParagraph"/>
      </w:pPr>
      <w:r>
        <w:rPr>
          <w:bCs/>
          <w:b/>
        </w:rPr>
        <w:t xml:space="preserve">Hinweise zur Mubāyaʿah:</w:t>
      </w:r>
    </w:p>
    <w:p>
      <w:pPr>
        <w:numPr>
          <w:ilvl w:val="0"/>
          <w:numId w:val="1042"/>
        </w:numPr>
        <w:pStyle w:val="Compact"/>
      </w:pPr>
      <w:r>
        <w:t xml:space="preserve">Die Ahl al-Ḥall wal-ʿAqd sind diejenigen, die dem Imām direkt den Treueeid leisten (Handschlag). Für andere wird der Treueeid dadurch gültig, dass die Ahl al-Ḥall wal-ʿAqd ihm geleistet haben.</w:t>
      </w:r>
    </w:p>
    <w:p>
      <w:pPr>
        <w:numPr>
          <w:ilvl w:val="0"/>
          <w:numId w:val="1042"/>
        </w:numPr>
        <w:pStyle w:val="Compact"/>
      </w:pPr>
      <w:r>
        <w:rPr>
          <w:bCs/>
          <w:b/>
        </w:rPr>
        <w:t xml:space="preserve">Der Treueeid darf nicht aus weltlichen Motiven geleistet werden</w:t>
      </w:r>
      <w:r>
        <w:t xml:space="preserve">. Wer dem Imām nur für weltliche Vorteile den Treueeid leistet, dem droht eine schwere Strafe:</w:t>
      </w:r>
    </w:p>
    <w:p>
      <w:pPr>
        <w:pStyle w:val="BlockText"/>
      </w:pPr>
      <w:r>
        <w:rPr>
          <w:iCs/>
          <w:i/>
        </w:rPr>
        <w:t xml:space="preserve">„وَرَجُلٌ بَايَعَ إِمَامًا لَا يُبَايِعُهُ إِلَّا لِدُنْيَا، فَإِنْ أَعْطَاهُ مِنْهَا وَفَى، وَإِنْ لَمْ يُعْطِهِ مِنْهَا لَمْ يَفِ"</w:t>
      </w:r>
    </w:p>
    <w:p>
      <w:pPr>
        <w:pStyle w:val="BlockText"/>
      </w:pPr>
      <w:r>
        <w:t xml:space="preserve">„Und ein Mann, der einem Imām den Treueeid leistet, ohne es außer für die Welt zu tun – wenn er ihm von ihr gibt, erfüllt er (den Treueeid); und wenn er ihm nicht von ihr gibt, erfüllt er ihn nicht."</w:t>
      </w:r>
    </w:p>
    <w:p>
      <w:pPr>
        <w:pStyle w:val="BlockText"/>
      </w:pPr>
      <w:r>
        <w:t xml:space="preserve">[Überliefert von al-Bukhārī]</w:t>
      </w:r>
    </w:p>
    <w:bookmarkEnd w:id="73"/>
    <w:bookmarkStart w:id="74" w:name="X3dcb4aa9c36ae37a3e2929456a5982a25815487"/>
    <w:p>
      <w:pPr>
        <w:pStyle w:val="Heading3"/>
      </w:pPr>
      <w:r>
        <w:t xml:space="preserve">Rechte des Herrschers gegenüber den Regierten</w:t>
      </w:r>
    </w:p>
    <w:p>
      <w:pPr>
        <w:pStyle w:val="FirstParagraph"/>
      </w:pPr>
      <w:r>
        <w:rPr>
          <w:bCs/>
          <w:b/>
        </w:rPr>
        <w:t xml:space="preserve">Erstes Recht: As-Samʿ waṭ-Ṭāʿah fil-Maʿrūf (Hören und Gehorchen im Guten)</w:t>
      </w:r>
    </w:p>
    <w:p>
      <w:pPr>
        <w:pStyle w:val="BodyText"/>
      </w:pPr>
      <w:r>
        <w:t xml:space="preserve">Allah der Erhabene sagt:</w:t>
      </w:r>
    </w:p>
    <w:p>
      <w:pPr>
        <w:pStyle w:val="BlockText"/>
      </w:pPr>
      <w:r>
        <w:rPr>
          <w:iCs/>
          <w:i/>
        </w:rPr>
        <w:t xml:space="preserve">﴿يَـٰٓأَيُّهَا ٱلَّذِينَ ءَامَنُوٓا۟ أَطِيعُوا۟ ٱللَّهَ وَأَطِيعُوا۟ ٱلرَّسُولَ وَأُو۟لِى ٱلْأَمْرِ مِنكُمْ﴾</w:t>
      </w:r>
      <w:r>
        <w:t xml:space="preserve"> </w:t>
      </w:r>
      <w:r>
        <w:t xml:space="preserve">„O ihr, die ihr glaubt! Gehorcht Allah, und gehorcht dem Gesandten und denjenigen unter euch, die Befugnis haben." [an-Nisāʾ: 59]</w:t>
      </w:r>
    </w:p>
    <w:p>
      <w:pPr>
        <w:pStyle w:val="FirstParagraph"/>
      </w:pPr>
      <w:r>
        <w:t xml:space="preserve">Der Prophet ﷺ sagte:</w:t>
      </w:r>
    </w:p>
    <w:p>
      <w:pPr>
        <w:pStyle w:val="BlockText"/>
      </w:pPr>
      <w:r>
        <w:rPr>
          <w:iCs/>
          <w:i/>
        </w:rPr>
        <w:t xml:space="preserve">„عَلَى الْمَرْءِ الْمُسْلِمِ السَّمْعُ وَالطَّاعَةُ فِيمَا أَحَبَّ وَكَرِهَ، إِلَّا أَنْ يُؤْمَرَ بِمَعْصِيَةٍ، فَإِنْ أُمِرَ بِمَعْصِيَةٍ فَلَا سَمْعَ وَلَا طَاعَةَ"</w:t>
      </w:r>
    </w:p>
    <w:p>
      <w:pPr>
        <w:pStyle w:val="BlockText"/>
      </w:pPr>
      <w:r>
        <w:t xml:space="preserve">„Auf dem muslimischen Menschen liegt das Hören und Gehorchen in dem, was er liebt und was er hasst – außer wenn ihm eine Sünde befohlen wird. Wenn ihm eine Sünde befohlen wird, gibt es kein Hören und kein Gehorchen."</w:t>
      </w:r>
    </w:p>
    <w:p>
      <w:pPr>
        <w:pStyle w:val="BlockText"/>
      </w:pPr>
      <w:r>
        <w:t xml:space="preserve">[Überliefert von al-Bukhārī und Muslim]</w:t>
      </w:r>
    </w:p>
    <w:p>
      <w:pPr>
        <w:pStyle w:val="FirstParagraph"/>
      </w:pPr>
      <w:r>
        <w:rPr>
          <w:bCs/>
          <w:b/>
        </w:rPr>
        <w:t xml:space="preserve">Bedeutung von „fil-Maʿrūf"</w:t>
      </w:r>
      <w:r>
        <w:t xml:space="preserve">: Wenn der Herrscher etwas Verbotenes (Maʿṣiyah) anordnet, wird ihm in dieser Maʿṣiyah nicht gehorcht. Die Gehorsamspflicht bleibt jedoch allgemein bestehen.</w:t>
      </w:r>
    </w:p>
    <w:p>
      <w:pPr>
        <w:pStyle w:val="BodyText"/>
      </w:pPr>
      <w:r>
        <w:rPr>
          <w:bCs/>
          <w:b/>
        </w:rPr>
        <w:t xml:space="preserve">Zweites Recht: An-Naṣīḥah (Aufrichtiger Rat)</w:t>
      </w:r>
    </w:p>
    <w:p>
      <w:pPr>
        <w:pStyle w:val="BodyText"/>
      </w:pPr>
      <w:r>
        <w:t xml:space="preserve">Der Rat an den Herrscher muss</w:t>
      </w:r>
      <w:r>
        <w:t xml:space="preserve"> </w:t>
      </w:r>
      <w:r>
        <w:rPr>
          <w:bCs/>
          <w:b/>
        </w:rPr>
        <w:t xml:space="preserve">im Verborgenen</w:t>
      </w:r>
      <w:r>
        <w:t xml:space="preserve"> </w:t>
      </w:r>
      <w:r>
        <w:t xml:space="preserve">(sirran) zwischen einem selbst und dem Herrscher gegeben werden. Der Prophet ﷺ sagte:</w:t>
      </w:r>
    </w:p>
    <w:p>
      <w:pPr>
        <w:pStyle w:val="BlockText"/>
      </w:pPr>
      <w:r>
        <w:rPr>
          <w:iCs/>
          <w:i/>
        </w:rPr>
        <w:t xml:space="preserve">„مَنْ كَانَتْ عِنْدَهُ نَصِيحَةٌ لِذِي سُلْطَانٍ فَلَا يُكَلِّمْهُ بِهَا عَلَانِيَةً، وَلْيَأْخُذْ بِيَدِهِ، فَإِنْ قَبِلَهَا قَبِلَهَا، وَإِلَّا كَانَ قَدْ أَدَّى الَّذِي عَلَيْهِ وَالَّذِي لَهُ"</w:t>
      </w:r>
    </w:p>
    <w:p>
      <w:pPr>
        <w:pStyle w:val="BlockText"/>
      </w:pPr>
      <w:r>
        <w:t xml:space="preserve">„Wer einen aufrichtigen Rat für einen Herrschenden hat, soll ihn nicht öffentlich ansprechen, sondern ihn an der Hand nehmen. Wenn er ihn annimmt, (umso besser); andernfalls hat er das erfüllt, was auf ihm liegt und was ihm zusteht."</w:t>
      </w:r>
    </w:p>
    <w:p>
      <w:pPr>
        <w:pStyle w:val="BlockText"/>
      </w:pPr>
      <w:r>
        <w:t xml:space="preserve">[Überliefert von al-Ḥākim]</w:t>
      </w:r>
    </w:p>
    <w:p>
      <w:pPr>
        <w:pStyle w:val="FirstParagraph"/>
      </w:pPr>
      <w:r>
        <w:t xml:space="preserve">Das öffentliche Anprangern von Herrschern ist</w:t>
      </w:r>
      <w:r>
        <w:t xml:space="preserve"> </w:t>
      </w:r>
      <w:r>
        <w:rPr>
          <w:bCs/>
          <w:b/>
        </w:rPr>
        <w:t xml:space="preserve">grundsätzlich verboten</w:t>
      </w:r>
      <w:r>
        <w:t xml:space="preserve"> </w:t>
      </w:r>
      <w:r>
        <w:t xml:space="preserve">– außer in einem einzigen Fall: wenn der Herrscher vor einem ist (man ihn direkt vor sich hat und direkt anspricht).</w:t>
      </w:r>
    </w:p>
    <w:p>
      <w:pPr>
        <w:pStyle w:val="BodyText"/>
      </w:pPr>
      <w:r>
        <w:t xml:space="preserve">Beweis dafür: Das Vorgehen des Abū Saʿīd al-Khudrī ﷜, der gegen Marwān protestierte, als dieser die Khutba vor dem ʿĪd-Gebet begann. Abū Saʿīd sagte: Er habe den Propheten ﷺ sagen hören:</w:t>
      </w:r>
    </w:p>
    <w:p>
      <w:pPr>
        <w:pStyle w:val="BlockText"/>
      </w:pPr>
      <w:r>
        <w:rPr>
          <w:iCs/>
          <w:i/>
        </w:rPr>
        <w:t xml:space="preserve">„مَنْ رَأَى مِنْكُمْ مُنْكَرًا فَلْيُغَيِّرْهُ بِيَدِهِ، فَإِنْ لَمْ يَسْتَطِعْ فَبِلِسَانِهِ، وَإِنْ لَمْ يَسْتَطِعْ فَبِقَلْبِهِ، وَذَلِكَ أَضْعَفُ الإِيمَانِ"</w:t>
      </w:r>
    </w:p>
    <w:p>
      <w:pPr>
        <w:pStyle w:val="BlockText"/>
      </w:pPr>
      <w:r>
        <w:t xml:space="preserve">„Wer unter euch ein Verwerfliches sieht, soll es mit seiner Hand ändern. Wenn er das nicht kann, mit seiner Zunge. Wenn er das nicht kann, mit seinem Herzen – und das ist die schwächste Stufe des Glaubens."</w:t>
      </w:r>
    </w:p>
    <w:p>
      <w:pPr>
        <w:pStyle w:val="BlockText"/>
      </w:pPr>
      <w:r>
        <w:t xml:space="preserve">[Überliefert von Muslim]</w:t>
      </w:r>
    </w:p>
    <w:p>
      <w:pPr>
        <w:pStyle w:val="FirstParagraph"/>
      </w:pPr>
      <w:r>
        <w:rPr>
          <w:bCs/>
          <w:b/>
        </w:rPr>
        <w:t xml:space="preserve">Grund für das Verbot des öffentlichen Anprangerns</w:t>
      </w:r>
      <w:r>
        <w:t xml:space="preserve">: Es führt zu schwerwiegenden Schäden: Blutvergießen, Verletzung der Ehre, Chaos im Land. Die Šarīʿah verbietet Schäden, ob sie groß oder klein sind.</w:t>
      </w:r>
    </w:p>
    <w:p>
      <w:pPr>
        <w:pStyle w:val="BodyText"/>
      </w:pPr>
      <w:r>
        <w:rPr>
          <w:bCs/>
          <w:b/>
        </w:rPr>
        <w:t xml:space="preserve">Drittes Recht: Tawqīr as-Sulṭān (Ehrfurcht vor dem Herrscher)</w:t>
      </w:r>
    </w:p>
    <w:p>
      <w:pPr>
        <w:pStyle w:val="BodyText"/>
      </w:pPr>
      <w:r>
        <w:t xml:space="preserve">Es ist Pflicht, den Herrscher zu ehren und zu respektieren. Der Prophet ﷺ sagte (in dem, was bei at-Tirmidhī überliefert wurde): Wer ihn nicht ehrt, dem wird nicht gehorcht – und das schadet dem Gemeinwohl.</w:t>
      </w:r>
    </w:p>
    <w:p>
      <w:pPr>
        <w:pStyle w:val="BodyText"/>
      </w:pPr>
      <w:r>
        <w:rPr>
          <w:bCs/>
          <w:b/>
        </w:rPr>
        <w:t xml:space="preserve">Viertes Recht: ʿAdam al-Khurūj ʿalā al-Ḥākim al-Muslim (Kein Aufstand gegen den muslimischen Herrscher)</w:t>
      </w:r>
    </w:p>
    <w:p>
      <w:pPr>
        <w:pStyle w:val="BodyText"/>
      </w:pPr>
      <w:r>
        <w:t xml:space="preserve">Es ist verboten, gegen den muslimischen Herrscher aufzustehen – auch wenn er ein Sünder (Fāsiq) ist.</w:t>
      </w:r>
    </w:p>
    <w:p>
      <w:pPr>
        <w:pStyle w:val="BodyText"/>
      </w:pPr>
      <w:r>
        <w:t xml:space="preserve">Der Prophet ﷺ sagte in Ṣaḥīḥ Muslim:</w:t>
      </w:r>
    </w:p>
    <w:p>
      <w:pPr>
        <w:pStyle w:val="BlockText"/>
      </w:pPr>
      <w:r>
        <w:rPr>
          <w:iCs/>
          <w:i/>
        </w:rPr>
        <w:t xml:space="preserve">„خِيَارُ أَئِمَّتِكُمُ الَّذِينَ تُحِبُّونَهُمْ وَيُحِبُّونَكُمْ، وَتُصَلُّونَ عَلَيْهِمْ وَيُصَلُّونَ عَلَيْكُمْ، وَشِرَارُ أَئِمَّتِكُمُ الَّذِينَ تُبْغِضُونَهُمْ وَيُبْغِضُونَكُمْ، وَتَلْعَنُونَهُمْ وَيَلْعَنُونَكُمْ"</w:t>
      </w:r>
    </w:p>
    <w:p>
      <w:pPr>
        <w:pStyle w:val="BlockText"/>
      </w:pPr>
      <w:r>
        <w:t xml:space="preserve">„Die Besten eurer Herrscher sind diejenigen, die ihr liebt und die euch lieben, für die ihr Fürsprache haltet und die für euch Fürsprache halten. Die Schlechtesten eurer Herrscher sind diejenigen, die ihr hasst und die euch hassen, die ihr verflucht und die euch verfluchen."</w:t>
      </w:r>
    </w:p>
    <w:p>
      <w:pPr>
        <w:pStyle w:val="BlockText"/>
      </w:pPr>
      <w:r>
        <w:t xml:space="preserve">[Überliefert von Muslim]</w:t>
      </w:r>
    </w:p>
    <w:p>
      <w:pPr>
        <w:pStyle w:val="FirstParagraph"/>
      </w:pPr>
      <w:r>
        <w:t xml:space="preserve">Als die Ṣaḥābah fragten: „Sollen wir nicht gegen sie mit dem Schwert aufstehen?" – antwortete der Prophet ﷺ:</w:t>
      </w:r>
    </w:p>
    <w:p>
      <w:pPr>
        <w:pStyle w:val="BlockText"/>
      </w:pPr>
      <w:r>
        <w:rPr>
          <w:iCs/>
          <w:i/>
        </w:rPr>
        <w:t xml:space="preserve">„لَا، مَا أَقَامُوا فِيكُمُ الصَّلَاةَ، وَإِذَا رَأَيْتُمْ مِنْ وُلَاتِكُمْ شَيْئًا تَكْرَهُونَهُ، فَاكْرَهُوا عَمَلَهُ وَلَا تَنْزِعُوا يَدًا مِنْ طَاعَةٍ"</w:t>
      </w:r>
    </w:p>
    <w:p>
      <w:pPr>
        <w:pStyle w:val="BlockText"/>
      </w:pPr>
      <w:r>
        <w:t xml:space="preserve">„Nein, solange sie das Gebet unter euch aufrechterhalten. Und wenn ihr von euren Herrschern etwas seht, das ihr verabscheut, dann verabscheut ihr Handeln – aber zieht nicht die Hand von der Gehorsamspflicht zurück."</w:t>
      </w:r>
    </w:p>
    <w:p>
      <w:pPr>
        <w:pStyle w:val="FirstParagraph"/>
      </w:pPr>
      <w:r>
        <w:t xml:space="preserve">In einem anderen Hadith aus Ṣaḥīḥ al-Bukhārī:</w:t>
      </w:r>
    </w:p>
    <w:p>
      <w:pPr>
        <w:pStyle w:val="BlockText"/>
      </w:pPr>
      <w:r>
        <w:rPr>
          <w:iCs/>
          <w:i/>
        </w:rPr>
        <w:t xml:space="preserve">„تُؤَدُّونَ الَّذِي لَهُمْ، وَتَسْأَلُونَ اللهَ الَّذِي لَكُمْ"</w:t>
      </w:r>
    </w:p>
    <w:p>
      <w:pPr>
        <w:pStyle w:val="BlockText"/>
      </w:pPr>
      <w:r>
        <w:t xml:space="preserve">„Gebt ihnen das, was ihnen zusteht, und bittet Allah um das, was euch zusteht."</w:t>
      </w:r>
    </w:p>
    <w:p>
      <w:pPr>
        <w:pStyle w:val="FirstParagraph"/>
      </w:pPr>
      <w:r>
        <w:t xml:space="preserve">Per Konsens ist es verboten, gegen den muslimischen Herrscher aufzustehen –</w:t>
      </w:r>
      <w:r>
        <w:t xml:space="preserve"> </w:t>
      </w:r>
      <w:r>
        <w:rPr>
          <w:bCs/>
          <w:b/>
        </w:rPr>
        <w:t xml:space="preserve">außer</w:t>
      </w:r>
      <w:r>
        <w:t xml:space="preserve"> </w:t>
      </w:r>
      <w:r>
        <w:t xml:space="preserve">wenn er offensichtlichen Kufr (kufr bawāḥ) begeht, für den es bei uns einen klaren Beweis von Allah hat.</w:t>
      </w:r>
    </w:p>
    <w:p>
      <w:pPr>
        <w:pStyle w:val="BodyText"/>
      </w:pPr>
      <w:r>
        <w:rPr>
          <w:bCs/>
          <w:b/>
        </w:rPr>
        <w:t xml:space="preserve">Wann darf man sich gegen den Herrscher erheben?</w:t>
      </w:r>
    </w:p>
    <w:p>
      <w:pPr>
        <w:pStyle w:val="BodyText"/>
      </w:pPr>
      <w:r>
        <w:t xml:space="preserve">Wenn er in offensichtlichem Kufr (kufr bawāḥ) handelt – d.h.:</w:t>
      </w:r>
    </w:p>
    <w:p>
      <w:pPr>
        <w:numPr>
          <w:ilvl w:val="0"/>
          <w:numId w:val="1043"/>
        </w:numPr>
        <w:pStyle w:val="Compact"/>
      </w:pPr>
      <w:r>
        <w:t xml:space="preserve">Der Kufr muss</w:t>
      </w:r>
      <w:r>
        <w:t xml:space="preserve"> </w:t>
      </w:r>
      <w:r>
        <w:rPr>
          <w:bCs/>
          <w:b/>
        </w:rPr>
        <w:t xml:space="preserve">offensichtlich und klar</w:t>
      </w:r>
      <w:r>
        <w:t xml:space="preserve"> </w:t>
      </w:r>
      <w:r>
        <w:t xml:space="preserve">sein, kein Verdacht</w:t>
      </w:r>
    </w:p>
    <w:p>
      <w:pPr>
        <w:numPr>
          <w:ilvl w:val="0"/>
          <w:numId w:val="1043"/>
        </w:numPr>
        <w:pStyle w:val="Compact"/>
      </w:pPr>
      <w:r>
        <w:t xml:space="preserve">Es muss ein</w:t>
      </w:r>
      <w:r>
        <w:t xml:space="preserve"> </w:t>
      </w:r>
      <w:r>
        <w:rPr>
          <w:bCs/>
          <w:b/>
        </w:rPr>
        <w:t xml:space="preserve">klarer Beweis von Allah</w:t>
      </w:r>
      <w:r>
        <w:t xml:space="preserve"> </w:t>
      </w:r>
      <w:r>
        <w:t xml:space="preserve">dafür vorhanden sein</w:t>
      </w:r>
    </w:p>
    <w:p>
      <w:pPr>
        <w:numPr>
          <w:ilvl w:val="0"/>
          <w:numId w:val="1043"/>
        </w:numPr>
        <w:pStyle w:val="Compact"/>
      </w:pPr>
      <w:r>
        <w:t xml:space="preserve">Die allgemeinen Bedingungen und das Fehlen von Hindernissen müssen geprüft werden</w:t>
      </w:r>
    </w:p>
    <w:p>
      <w:pPr>
        <w:pStyle w:val="FirstParagraph"/>
      </w:pPr>
      <w:r>
        <w:t xml:space="preserve">Beispiel: Imām Aḥmad ﷜ erhob sich</w:t>
      </w:r>
      <w:r>
        <w:t xml:space="preserve"> </w:t>
      </w:r>
      <w:r>
        <w:rPr>
          <w:bCs/>
          <w:b/>
        </w:rPr>
        <w:t xml:space="preserve">nicht</w:t>
      </w:r>
      <w:r>
        <w:t xml:space="preserve"> </w:t>
      </w:r>
      <w:r>
        <w:t xml:space="preserve">gegen die Herrschenden seiner Zeit, obwohl diese die Erschaffung des Qurʾān behaupteten – und die Gelehrten des Salaf einig waren, dass dies Kufr sei. Doch der Aufstand war trotzdem nicht erlaubt, weil die Bedingungen für die Takfīr des konkreten Einzelnen nicht vollständig erfüllt waren.</w:t>
      </w:r>
    </w:p>
    <w:p>
      <w:r>
        <w:pict>
          <v:rect style="width:0;height:1.5pt" o:hralign="center" o:hrstd="t" o:hr="t"/>
        </w:pict>
      </w:r>
    </w:p>
    <w:bookmarkEnd w:id="74"/>
    <w:bookmarkEnd w:id="75"/>
    <w:bookmarkStart w:id="76" w:name="schlussworte"/>
    <w:p>
      <w:pPr>
        <w:pStyle w:val="Heading2"/>
      </w:pPr>
      <w:r>
        <w:t xml:space="preserve">Schlussworte</w:t>
      </w:r>
    </w:p>
    <w:p>
      <w:pPr>
        <w:pStyle w:val="FirstParagraph"/>
      </w:pPr>
      <w:r>
        <w:t xml:space="preserve">Der Verfasser – möge Allah ihn behüten – schließt:</w:t>
      </w:r>
    </w:p>
    <w:p>
      <w:pPr>
        <w:pStyle w:val="BlockText"/>
      </w:pPr>
      <w:r>
        <w:rPr>
          <w:iCs/>
          <w:i/>
        </w:rPr>
        <w:t xml:space="preserve">„هَذِهِ عَقِيدَةُ أَهْلِ السُّنَّةِ وَالْجَمَاعَةِ، عَقِيدَةُ أَصْحَابِ رَسُولِ اللهِ ﷺ، مَنِ اسْتَمْسَكَ بِهَا كَانَ نَاجِيًا، وَمَنِ انْحَرَفَ عَنْهَا ضَلَّ وَكَانَ مُتَوَعَّدًا بِالنَّارِ"</w:t>
      </w:r>
    </w:p>
    <w:p>
      <w:pPr>
        <w:pStyle w:val="BlockText"/>
      </w:pPr>
      <w:r>
        <w:t xml:space="preserve">„Dies ist die ʿAqīdah von Ahl as-Sunnah wal-Jamāʿah, die ʿAqīdah der Gefährten des Gesandten Allahs ﷺ. Wer an ihr festhält, wird gerettet; und wer davon abweicht, geht in die Irre und ist mit dem Feuer bedroht."</w:t>
      </w:r>
    </w:p>
    <w:p>
      <w:pPr>
        <w:pStyle w:val="BlockText"/>
      </w:pPr>
      <w:r>
        <w:rPr>
          <w:iCs/>
          <w:i/>
        </w:rPr>
        <w:t xml:space="preserve">وَصَلَّى اللهُ عَلَى نَبِيِّنَا مُحَمَّدٍ وَعَلَى آلِهِ وَصَحْبِهِ وَسَلَّمَ</w:t>
      </w:r>
    </w:p>
    <w:p>
      <w:pPr>
        <w:pStyle w:val="BlockText"/>
      </w:pPr>
      <w:r>
        <w:t xml:space="preserve">Und Allah segne unseren Propheten Muḥammad, seine Familie und seine Gefährten und schenke ihm Heil.</w:t>
      </w:r>
    </w:p>
    <w:p>
      <w:r>
        <w:pict>
          <v:rect style="width:0;height:1.5pt" o:hralign="center" o:hrstd="t" o:hr="t"/>
        </w:pict>
      </w:r>
    </w:p>
    <w:bookmarkEnd w:id="76"/>
    <w:bookmarkStart w:id="77" w:name="terminologie-glossar"/>
    <w:p>
      <w:pPr>
        <w:pStyle w:val="Heading2"/>
      </w:pPr>
      <w:r>
        <w:t xml:space="preserve">Terminologie-Glossar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Arabischer Begriff</w:t>
            </w:r>
          </w:p>
        </w:tc>
        <w:tc>
          <w:tcPr/>
          <w:p>
            <w:pPr>
              <w:pStyle w:val="Compact"/>
              <w:jc w:val="left"/>
            </w:pPr>
            <w:r>
              <w:t xml:space="preserve">Transliteration</w:t>
            </w:r>
          </w:p>
        </w:tc>
        <w:tc>
          <w:tcPr/>
          <w:p>
            <w:pPr>
              <w:pStyle w:val="Compact"/>
              <w:jc w:val="left"/>
            </w:pPr>
            <w:r>
              <w:t xml:space="preserve">Deutsche Bedeutung</w:t>
            </w:r>
          </w:p>
        </w:tc>
      </w:tr>
      <w:tr>
        <w:tc>
          <w:tcPr/>
          <w:p>
            <w:pPr>
              <w:pStyle w:val="Compact"/>
              <w:jc w:val="left"/>
            </w:pPr>
            <w:r>
              <w:t xml:space="preserve">العقيدة</w:t>
            </w:r>
          </w:p>
        </w:tc>
        <w:tc>
          <w:tcPr/>
          <w:p>
            <w:pPr>
              <w:pStyle w:val="Compact"/>
              <w:jc w:val="left"/>
            </w:pPr>
            <w:r>
              <w:t xml:space="preserve">ʿAqīdah</w:t>
            </w:r>
          </w:p>
        </w:tc>
        <w:tc>
          <w:tcPr/>
          <w:p>
            <w:pPr>
              <w:pStyle w:val="Compact"/>
              <w:jc w:val="left"/>
            </w:pPr>
            <w:r>
              <w:t xml:space="preserve">Glaubenslehre, Glaubensüberzeugung</w:t>
            </w:r>
          </w:p>
        </w:tc>
      </w:tr>
      <w:tr>
        <w:tc>
          <w:tcPr/>
          <w:p>
            <w:pPr>
              <w:pStyle w:val="Compact"/>
              <w:jc w:val="left"/>
            </w:pPr>
            <w:r>
              <w:t xml:space="preserve">التوحيد</w:t>
            </w:r>
          </w:p>
        </w:tc>
        <w:tc>
          <w:tcPr/>
          <w:p>
            <w:pPr>
              <w:pStyle w:val="Compact"/>
              <w:jc w:val="left"/>
            </w:pPr>
            <w:r>
              <w:t xml:space="preserve">Tawḥīd</w:t>
            </w:r>
          </w:p>
        </w:tc>
        <w:tc>
          <w:tcPr/>
          <w:p>
            <w:pPr>
              <w:pStyle w:val="Compact"/>
              <w:jc w:val="left"/>
            </w:pPr>
            <w:r>
              <w:t xml:space="preserve">Gotteseinheit, Monotheismus</w:t>
            </w:r>
          </w:p>
        </w:tc>
      </w:tr>
      <w:tr>
        <w:tc>
          <w:tcPr/>
          <w:p>
            <w:pPr>
              <w:pStyle w:val="Compact"/>
              <w:jc w:val="left"/>
            </w:pPr>
            <w:r>
              <w:t xml:space="preserve">الشرك</w:t>
            </w:r>
          </w:p>
        </w:tc>
        <w:tc>
          <w:tcPr/>
          <w:p>
            <w:pPr>
              <w:pStyle w:val="Compact"/>
              <w:jc w:val="left"/>
            </w:pPr>
            <w:r>
              <w:t xml:space="preserve">Širk</w:t>
            </w:r>
          </w:p>
        </w:tc>
        <w:tc>
          <w:tcPr/>
          <w:p>
            <w:pPr>
              <w:pStyle w:val="Compact"/>
              <w:jc w:val="left"/>
            </w:pPr>
            <w:r>
              <w:t xml:space="preserve">Beigesellung, Polytheismus</w:t>
            </w:r>
          </w:p>
        </w:tc>
      </w:tr>
      <w:tr>
        <w:tc>
          <w:tcPr/>
          <w:p>
            <w:pPr>
              <w:pStyle w:val="Compact"/>
              <w:jc w:val="left"/>
            </w:pPr>
            <w:r>
              <w:t xml:space="preserve">الإيمان</w:t>
            </w:r>
          </w:p>
        </w:tc>
        <w:tc>
          <w:tcPr/>
          <w:p>
            <w:pPr>
              <w:pStyle w:val="Compact"/>
              <w:jc w:val="left"/>
            </w:pPr>
            <w:r>
              <w:t xml:space="preserve">Īmān</w:t>
            </w:r>
          </w:p>
        </w:tc>
        <w:tc>
          <w:tcPr/>
          <w:p>
            <w:pPr>
              <w:pStyle w:val="Compact"/>
              <w:jc w:val="left"/>
            </w:pPr>
            <w:r>
              <w:t xml:space="preserve">Glaube</w:t>
            </w:r>
          </w:p>
        </w:tc>
      </w:tr>
      <w:tr>
        <w:tc>
          <w:tcPr/>
          <w:p>
            <w:pPr>
              <w:pStyle w:val="Compact"/>
              <w:jc w:val="left"/>
            </w:pPr>
            <w:r>
              <w:t xml:space="preserve">الكفر</w:t>
            </w:r>
          </w:p>
        </w:tc>
        <w:tc>
          <w:tcPr/>
          <w:p>
            <w:pPr>
              <w:pStyle w:val="Compact"/>
              <w:jc w:val="left"/>
            </w:pPr>
            <w:r>
              <w:t xml:space="preserve">Kufr</w:t>
            </w:r>
          </w:p>
        </w:tc>
        <w:tc>
          <w:tcPr/>
          <w:p>
            <w:pPr>
              <w:pStyle w:val="Compact"/>
              <w:jc w:val="left"/>
            </w:pPr>
            <w:r>
              <w:t xml:space="preserve">Unglaube</w:t>
            </w:r>
          </w:p>
        </w:tc>
      </w:tr>
      <w:tr>
        <w:tc>
          <w:tcPr/>
          <w:p>
            <w:pPr>
              <w:pStyle w:val="Compact"/>
              <w:jc w:val="left"/>
            </w:pPr>
            <w:r>
              <w:t xml:space="preserve">البدعة</w:t>
            </w:r>
          </w:p>
        </w:tc>
        <w:tc>
          <w:tcPr/>
          <w:p>
            <w:pPr>
              <w:pStyle w:val="Compact"/>
              <w:jc w:val="left"/>
            </w:pPr>
            <w:r>
              <w:t xml:space="preserve">Bidʿah</w:t>
            </w:r>
          </w:p>
        </w:tc>
        <w:tc>
          <w:tcPr/>
          <w:p>
            <w:pPr>
              <w:pStyle w:val="Compact"/>
              <w:jc w:val="left"/>
            </w:pPr>
            <w:r>
              <w:t xml:space="preserve">Neuerung in der Religion</w:t>
            </w:r>
          </w:p>
        </w:tc>
      </w:tr>
      <w:tr>
        <w:tc>
          <w:tcPr/>
          <w:p>
            <w:pPr>
              <w:pStyle w:val="Compact"/>
              <w:jc w:val="left"/>
            </w:pPr>
            <w:r>
              <w:t xml:space="preserve">الصحابة</w:t>
            </w:r>
          </w:p>
        </w:tc>
        <w:tc>
          <w:tcPr/>
          <w:p>
            <w:pPr>
              <w:pStyle w:val="Compact"/>
              <w:jc w:val="left"/>
            </w:pPr>
            <w:r>
              <w:t xml:space="preserve">Ṣaḥābah</w:t>
            </w:r>
          </w:p>
        </w:tc>
        <w:tc>
          <w:tcPr/>
          <w:p>
            <w:pPr>
              <w:pStyle w:val="Compact"/>
              <w:jc w:val="left"/>
            </w:pPr>
            <w:r>
              <w:t xml:space="preserve">Die Gefährten des Propheten ﷺ</w:t>
            </w:r>
          </w:p>
        </w:tc>
      </w:tr>
      <w:tr>
        <w:tc>
          <w:tcPr/>
          <w:p>
            <w:pPr>
              <w:pStyle w:val="Compact"/>
              <w:jc w:val="left"/>
            </w:pPr>
            <w:r>
              <w:t xml:space="preserve">الإمامة</w:t>
            </w:r>
          </w:p>
        </w:tc>
        <w:tc>
          <w:tcPr/>
          <w:p>
            <w:pPr>
              <w:pStyle w:val="Compact"/>
              <w:jc w:val="left"/>
            </w:pPr>
            <w:r>
              <w:t xml:space="preserve">al-Imāmah</w:t>
            </w:r>
          </w:p>
        </w:tc>
        <w:tc>
          <w:tcPr/>
          <w:p>
            <w:pPr>
              <w:pStyle w:val="Compact"/>
              <w:jc w:val="left"/>
            </w:pPr>
            <w:r>
              <w:t xml:space="preserve">Die Herrschaft/Führerschaft</w:t>
            </w:r>
          </w:p>
        </w:tc>
      </w:tr>
      <w:tr>
        <w:tc>
          <w:tcPr/>
          <w:p>
            <w:pPr>
              <w:pStyle w:val="Compact"/>
              <w:jc w:val="left"/>
            </w:pPr>
            <w:r>
              <w:t xml:space="preserve">السنة</w:t>
            </w:r>
          </w:p>
        </w:tc>
        <w:tc>
          <w:tcPr/>
          <w:p>
            <w:pPr>
              <w:pStyle w:val="Compact"/>
              <w:jc w:val="left"/>
            </w:pPr>
            <w:r>
              <w:t xml:space="preserve">Sunnah</w:t>
            </w:r>
          </w:p>
        </w:tc>
        <w:tc>
          <w:tcPr/>
          <w:p>
            <w:pPr>
              <w:pStyle w:val="Compact"/>
              <w:jc w:val="left"/>
            </w:pPr>
            <w:r>
              <w:t xml:space="preserve">Die Praxis und Aussagen des Propheten ﷺ</w:t>
            </w:r>
          </w:p>
        </w:tc>
      </w:tr>
      <w:tr>
        <w:tc>
          <w:tcPr/>
          <w:p>
            <w:pPr>
              <w:pStyle w:val="Compact"/>
              <w:jc w:val="left"/>
            </w:pPr>
            <w:r>
              <w:t xml:space="preserve">الإجماع</w:t>
            </w:r>
          </w:p>
        </w:tc>
        <w:tc>
          <w:tcPr/>
          <w:p>
            <w:pPr>
              <w:pStyle w:val="Compact"/>
              <w:jc w:val="left"/>
            </w:pPr>
            <w:r>
              <w:t xml:space="preserve">Ijmāʿ</w:t>
            </w:r>
          </w:p>
        </w:tc>
        <w:tc>
          <w:tcPr/>
          <w:p>
            <w:pPr>
              <w:pStyle w:val="Compact"/>
              <w:jc w:val="left"/>
            </w:pPr>
            <w:r>
              <w:t xml:space="preserve">Konsens der Gelehrten</w:t>
            </w:r>
          </w:p>
        </w:tc>
      </w:tr>
      <w:tr>
        <w:tc>
          <w:tcPr/>
          <w:p>
            <w:pPr>
              <w:pStyle w:val="Compact"/>
              <w:jc w:val="left"/>
            </w:pPr>
            <w:r>
              <w:t xml:space="preserve">الربوبية</w:t>
            </w:r>
          </w:p>
        </w:tc>
        <w:tc>
          <w:tcPr/>
          <w:p>
            <w:pPr>
              <w:pStyle w:val="Compact"/>
              <w:jc w:val="left"/>
            </w:pPr>
            <w:r>
              <w:t xml:space="preserve">Rubūbiyyah</w:t>
            </w:r>
          </w:p>
        </w:tc>
        <w:tc>
          <w:tcPr/>
          <w:p>
            <w:pPr>
              <w:pStyle w:val="Compact"/>
              <w:jc w:val="left"/>
            </w:pPr>
            <w:r>
              <w:t xml:space="preserve">Die Herrschaft Allahs über alles</w:t>
            </w:r>
          </w:p>
        </w:tc>
      </w:tr>
      <w:tr>
        <w:tc>
          <w:tcPr/>
          <w:p>
            <w:pPr>
              <w:pStyle w:val="Compact"/>
              <w:jc w:val="left"/>
            </w:pPr>
            <w:r>
              <w:t xml:space="preserve">الأسماء والصفات</w:t>
            </w:r>
          </w:p>
        </w:tc>
        <w:tc>
          <w:tcPr/>
          <w:p>
            <w:pPr>
              <w:pStyle w:val="Compact"/>
              <w:jc w:val="left"/>
            </w:pPr>
            <w:r>
              <w:t xml:space="preserve">al-Asmāʾ waṣ-Ṣifāt</w:t>
            </w:r>
          </w:p>
        </w:tc>
        <w:tc>
          <w:tcPr/>
          <w:p>
            <w:pPr>
              <w:pStyle w:val="Compact"/>
              <w:jc w:val="left"/>
            </w:pPr>
            <w:r>
              <w:t xml:space="preserve">Allahs Namen und Eigenschaften</w:t>
            </w:r>
          </w:p>
        </w:tc>
      </w:tr>
      <w:tr>
        <w:tc>
          <w:tcPr/>
          <w:p>
            <w:pPr>
              <w:pStyle w:val="Compact"/>
              <w:jc w:val="left"/>
            </w:pPr>
            <w:r>
              <w:t xml:space="preserve">الألوهية</w:t>
            </w:r>
          </w:p>
        </w:tc>
        <w:tc>
          <w:tcPr/>
          <w:p>
            <w:pPr>
              <w:pStyle w:val="Compact"/>
              <w:jc w:val="left"/>
            </w:pPr>
            <w:r>
              <w:t xml:space="preserve">al-Ulūhiyyah</w:t>
            </w:r>
          </w:p>
        </w:tc>
        <w:tc>
          <w:tcPr/>
          <w:p>
            <w:pPr>
              <w:pStyle w:val="Compact"/>
              <w:jc w:val="left"/>
            </w:pPr>
            <w:r>
              <w:t xml:space="preserve">Die Gottheit (Alleinige Anbetungswürdigkeit)</w:t>
            </w:r>
          </w:p>
        </w:tc>
      </w:tr>
      <w:tr>
        <w:tc>
          <w:tcPr/>
          <w:p>
            <w:pPr>
              <w:pStyle w:val="Compact"/>
              <w:jc w:val="left"/>
            </w:pPr>
            <w:r>
              <w:t xml:space="preserve">القدر</w:t>
            </w:r>
          </w:p>
        </w:tc>
        <w:tc>
          <w:tcPr/>
          <w:p>
            <w:pPr>
              <w:pStyle w:val="Compact"/>
              <w:jc w:val="left"/>
            </w:pPr>
            <w:r>
              <w:t xml:space="preserve">Qadar</w:t>
            </w:r>
          </w:p>
        </w:tc>
        <w:tc>
          <w:tcPr/>
          <w:p>
            <w:pPr>
              <w:pStyle w:val="Compact"/>
              <w:jc w:val="left"/>
            </w:pPr>
            <w:r>
              <w:t xml:space="preserve">Göttliche Vorherbestimmung</w:t>
            </w:r>
          </w:p>
        </w:tc>
      </w:tr>
      <w:tr>
        <w:tc>
          <w:tcPr/>
          <w:p>
            <w:pPr>
              <w:pStyle w:val="Compact"/>
              <w:jc w:val="left"/>
            </w:pPr>
            <w:r>
              <w:t xml:space="preserve">السلف الصالح</w:t>
            </w:r>
          </w:p>
        </w:tc>
        <w:tc>
          <w:tcPr/>
          <w:p>
            <w:pPr>
              <w:pStyle w:val="Compact"/>
              <w:jc w:val="left"/>
            </w:pPr>
            <w:r>
              <w:t xml:space="preserve">as-Salaf aṣ-Ṣāliḥ</w:t>
            </w:r>
          </w:p>
        </w:tc>
        <w:tc>
          <w:tcPr/>
          <w:p>
            <w:pPr>
              <w:pStyle w:val="Compact"/>
              <w:jc w:val="left"/>
            </w:pPr>
            <w:r>
              <w:t xml:space="preserve">Die frommen Vorfahren (erste drei Generationen)</w:t>
            </w:r>
          </w:p>
        </w:tc>
      </w:tr>
      <w:tr>
        <w:tc>
          <w:tcPr/>
          <w:p>
            <w:pPr>
              <w:pStyle w:val="Compact"/>
              <w:jc w:val="left"/>
            </w:pPr>
            <w:r>
              <w:t xml:space="preserve">الردة</w:t>
            </w:r>
          </w:p>
        </w:tc>
        <w:tc>
          <w:tcPr/>
          <w:p>
            <w:pPr>
              <w:pStyle w:val="Compact"/>
              <w:jc w:val="left"/>
            </w:pPr>
            <w:r>
              <w:t xml:space="preserve">ar-Riddah</w:t>
            </w:r>
          </w:p>
        </w:tc>
        <w:tc>
          <w:tcPr/>
          <w:p>
            <w:pPr>
              <w:pStyle w:val="Compact"/>
              <w:jc w:val="left"/>
            </w:pPr>
            <w:r>
              <w:t xml:space="preserve">Apostasie, Abfall vom Islam</w:t>
            </w:r>
          </w:p>
        </w:tc>
      </w:tr>
      <w:tr>
        <w:tc>
          <w:tcPr/>
          <w:p>
            <w:pPr>
              <w:pStyle w:val="Compact"/>
              <w:jc w:val="left"/>
            </w:pPr>
            <w:r>
              <w:t xml:space="preserve">المبايعة</w:t>
            </w:r>
          </w:p>
        </w:tc>
        <w:tc>
          <w:tcPr/>
          <w:p>
            <w:pPr>
              <w:pStyle w:val="Compact"/>
              <w:jc w:val="left"/>
            </w:pPr>
            <w:r>
              <w:t xml:space="preserve">al-Mubāyaʿah</w:t>
            </w:r>
          </w:p>
        </w:tc>
        <w:tc>
          <w:tcPr/>
          <w:p>
            <w:pPr>
              <w:pStyle w:val="Compact"/>
              <w:jc w:val="left"/>
            </w:pPr>
            <w:r>
              <w:t xml:space="preserve">Treueeid, Huldigungseid</w:t>
            </w:r>
          </w:p>
        </w:tc>
      </w:tr>
      <w:tr>
        <w:tc>
          <w:tcPr/>
          <w:p>
            <w:pPr>
              <w:pStyle w:val="Compact"/>
              <w:jc w:val="left"/>
            </w:pPr>
            <w:r>
              <w:t xml:space="preserve">الجهاد</w:t>
            </w:r>
          </w:p>
        </w:tc>
        <w:tc>
          <w:tcPr/>
          <w:p>
            <w:pPr>
              <w:pStyle w:val="Compact"/>
              <w:jc w:val="left"/>
            </w:pPr>
            <w:r>
              <w:t xml:space="preserve">Jihād</w:t>
            </w:r>
          </w:p>
        </w:tc>
        <w:tc>
          <w:tcPr/>
          <w:p>
            <w:pPr>
              <w:pStyle w:val="Compact"/>
              <w:jc w:val="left"/>
            </w:pPr>
            <w:r>
              <w:t xml:space="preserve">Anstrengung/Kampf auf dem Wege Allahs</w:t>
            </w:r>
          </w:p>
        </w:tc>
      </w:tr>
      <w:tr>
        <w:tc>
          <w:tcPr/>
          <w:p>
            <w:pPr>
              <w:pStyle w:val="Compact"/>
              <w:jc w:val="left"/>
            </w:pPr>
            <w:r>
              <w:t xml:space="preserve">الفقه</w:t>
            </w:r>
          </w:p>
        </w:tc>
        <w:tc>
          <w:tcPr/>
          <w:p>
            <w:pPr>
              <w:pStyle w:val="Compact"/>
              <w:jc w:val="left"/>
            </w:pPr>
            <w:r>
              <w:t xml:space="preserve">Fiqh</w:t>
            </w:r>
          </w:p>
        </w:tc>
        <w:tc>
          <w:tcPr/>
          <w:p>
            <w:pPr>
              <w:pStyle w:val="Compact"/>
              <w:jc w:val="left"/>
            </w:pPr>
            <w:r>
              <w:t xml:space="preserve">Islamische Rechtswissenschaft</w:t>
            </w:r>
          </w:p>
        </w:tc>
      </w:tr>
      <w:tr>
        <w:tc>
          <w:tcPr/>
          <w:p>
            <w:pPr>
              <w:pStyle w:val="Compact"/>
              <w:jc w:val="left"/>
            </w:pPr>
            <w:r>
              <w:t xml:space="preserve">العبادة</w:t>
            </w:r>
          </w:p>
        </w:tc>
        <w:tc>
          <w:tcPr/>
          <w:p>
            <w:pPr>
              <w:pStyle w:val="Compact"/>
              <w:jc w:val="left"/>
            </w:pPr>
            <w:r>
              <w:t xml:space="preserve">ʿIbādah</w:t>
            </w:r>
          </w:p>
        </w:tc>
        <w:tc>
          <w:tcPr/>
          <w:p>
            <w:pPr>
              <w:pStyle w:val="Compact"/>
              <w:jc w:val="left"/>
            </w:pPr>
            <w:r>
              <w:t xml:space="preserve">Anbetung, Gottesdienst</w:t>
            </w:r>
          </w:p>
        </w:tc>
      </w:tr>
      <w:tr>
        <w:tc>
          <w:tcPr/>
          <w:p>
            <w:pPr>
              <w:pStyle w:val="Compact"/>
              <w:jc w:val="left"/>
            </w:pPr>
            <w:r>
              <w:t xml:space="preserve">التكفير</w:t>
            </w:r>
          </w:p>
        </w:tc>
        <w:tc>
          <w:tcPr/>
          <w:p>
            <w:pPr>
              <w:pStyle w:val="Compact"/>
              <w:jc w:val="left"/>
            </w:pPr>
            <w:r>
              <w:t xml:space="preserve">at-Takfīr</w:t>
            </w:r>
          </w:p>
        </w:tc>
        <w:tc>
          <w:tcPr/>
          <w:p>
            <w:pPr>
              <w:pStyle w:val="Compact"/>
              <w:jc w:val="left"/>
            </w:pPr>
            <w:r>
              <w:t xml:space="preserve">Das Urteil des Unglaubens über jemanden</w:t>
            </w:r>
          </w:p>
        </w:tc>
      </w:tr>
      <w:tr>
        <w:tc>
          <w:tcPr/>
          <w:p>
            <w:pPr>
              <w:pStyle w:val="Compact"/>
              <w:jc w:val="left"/>
            </w:pPr>
            <w:r>
              <w:t xml:space="preserve">الدعاء</w:t>
            </w:r>
          </w:p>
        </w:tc>
        <w:tc>
          <w:tcPr/>
          <w:p>
            <w:pPr>
              <w:pStyle w:val="Compact"/>
              <w:jc w:val="left"/>
            </w:pPr>
            <w:r>
              <w:t xml:space="preserve">Duʿāʾ</w:t>
            </w:r>
          </w:p>
        </w:tc>
        <w:tc>
          <w:tcPr/>
          <w:p>
            <w:pPr>
              <w:pStyle w:val="Compact"/>
              <w:jc w:val="left"/>
            </w:pPr>
            <w:r>
              <w:t xml:space="preserve">Bittgebet</w:t>
            </w:r>
          </w:p>
        </w:tc>
      </w:tr>
      <w:tr>
        <w:tc>
          <w:tcPr/>
          <w:p>
            <w:pPr>
              <w:pStyle w:val="Compact"/>
              <w:jc w:val="left"/>
            </w:pPr>
            <w:r>
              <w:t xml:space="preserve">الصلاة</w:t>
            </w:r>
          </w:p>
        </w:tc>
        <w:tc>
          <w:tcPr/>
          <w:p>
            <w:pPr>
              <w:pStyle w:val="Compact"/>
              <w:jc w:val="left"/>
            </w:pPr>
            <w:r>
              <w:t xml:space="preserve">Ṣalāh</w:t>
            </w:r>
          </w:p>
        </w:tc>
        <w:tc>
          <w:tcPr/>
          <w:p>
            <w:pPr>
              <w:pStyle w:val="Compact"/>
              <w:jc w:val="left"/>
            </w:pPr>
            <w:r>
              <w:t xml:space="preserve">Das rituelle Gebet</w:t>
            </w:r>
          </w:p>
        </w:tc>
      </w:tr>
      <w:tr>
        <w:tc>
          <w:tcPr/>
          <w:p>
            <w:pPr>
              <w:pStyle w:val="Compact"/>
              <w:jc w:val="left"/>
            </w:pPr>
            <w:r>
              <w:t xml:space="preserve">الزكاة</w:t>
            </w:r>
          </w:p>
        </w:tc>
        <w:tc>
          <w:tcPr/>
          <w:p>
            <w:pPr>
              <w:pStyle w:val="Compact"/>
              <w:jc w:val="left"/>
            </w:pPr>
            <w:r>
              <w:t xml:space="preserve">Zakāh</w:t>
            </w:r>
          </w:p>
        </w:tc>
        <w:tc>
          <w:tcPr/>
          <w:p>
            <w:pPr>
              <w:pStyle w:val="Compact"/>
              <w:jc w:val="left"/>
            </w:pPr>
            <w:r>
              <w:t xml:space="preserve">Die Pflichtabgabe</w:t>
            </w:r>
          </w:p>
        </w:tc>
      </w:tr>
      <w:tr>
        <w:tc>
          <w:tcPr/>
          <w:p>
            <w:pPr>
              <w:pStyle w:val="Compact"/>
              <w:jc w:val="left"/>
            </w:pPr>
            <w:r>
              <w:t xml:space="preserve">الحج</w:t>
            </w:r>
          </w:p>
        </w:tc>
        <w:tc>
          <w:tcPr/>
          <w:p>
            <w:pPr>
              <w:pStyle w:val="Compact"/>
              <w:jc w:val="left"/>
            </w:pPr>
            <w:r>
              <w:t xml:space="preserve">Ḥajj</w:t>
            </w:r>
          </w:p>
        </w:tc>
        <w:tc>
          <w:tcPr/>
          <w:p>
            <w:pPr>
              <w:pStyle w:val="Compact"/>
              <w:jc w:val="left"/>
            </w:pPr>
            <w:r>
              <w:t xml:space="preserve">Die Pilgerfahrt</w:t>
            </w:r>
          </w:p>
        </w:tc>
      </w:tr>
      <w:tr>
        <w:tc>
          <w:tcPr/>
          <w:p>
            <w:pPr>
              <w:pStyle w:val="Compact"/>
              <w:jc w:val="left"/>
            </w:pPr>
            <w:r>
              <w:t xml:space="preserve">الصوم</w:t>
            </w:r>
          </w:p>
        </w:tc>
        <w:tc>
          <w:tcPr/>
          <w:p>
            <w:pPr>
              <w:pStyle w:val="Compact"/>
              <w:jc w:val="left"/>
            </w:pPr>
            <w:r>
              <w:t xml:space="preserve">Ṣawm</w:t>
            </w:r>
          </w:p>
        </w:tc>
        <w:tc>
          <w:tcPr/>
          <w:p>
            <w:pPr>
              <w:pStyle w:val="Compact"/>
              <w:jc w:val="left"/>
            </w:pPr>
            <w:r>
              <w:t xml:space="preserve">Das Fasten</w:t>
            </w:r>
          </w:p>
        </w:tc>
      </w:tr>
      <w:tr>
        <w:tc>
          <w:tcPr/>
          <w:p>
            <w:pPr>
              <w:pStyle w:val="Compact"/>
              <w:jc w:val="left"/>
            </w:pPr>
            <w:r>
              <w:t xml:space="preserve">الشريعة</w:t>
            </w:r>
          </w:p>
        </w:tc>
        <w:tc>
          <w:tcPr/>
          <w:p>
            <w:pPr>
              <w:pStyle w:val="Compact"/>
              <w:jc w:val="left"/>
            </w:pPr>
            <w:r>
              <w:t xml:space="preserve">Šarīʿah</w:t>
            </w:r>
          </w:p>
        </w:tc>
        <w:tc>
          <w:tcPr/>
          <w:p>
            <w:pPr>
              <w:pStyle w:val="Compact"/>
              <w:jc w:val="left"/>
            </w:pPr>
            <w:r>
              <w:t xml:space="preserve">Islamisches Gesetz</w:t>
            </w:r>
          </w:p>
        </w:tc>
      </w:tr>
      <w:tr>
        <w:tc>
          <w:tcPr/>
          <w:p>
            <w:pPr>
              <w:pStyle w:val="Compact"/>
              <w:jc w:val="left"/>
            </w:pPr>
            <w:r>
              <w:t xml:space="preserve">التوكل</w:t>
            </w:r>
          </w:p>
        </w:tc>
        <w:tc>
          <w:tcPr/>
          <w:p>
            <w:pPr>
              <w:pStyle w:val="Compact"/>
              <w:jc w:val="left"/>
            </w:pPr>
            <w:r>
              <w:t xml:space="preserve">Tawakkul</w:t>
            </w:r>
          </w:p>
        </w:tc>
        <w:tc>
          <w:tcPr/>
          <w:p>
            <w:pPr>
              <w:pStyle w:val="Compact"/>
              <w:jc w:val="left"/>
            </w:pPr>
            <w:r>
              <w:t xml:space="preserve">Gottvertrauen</w:t>
            </w:r>
          </w:p>
        </w:tc>
      </w:tr>
      <w:tr>
        <w:tc>
          <w:tcPr/>
          <w:p>
            <w:pPr>
              <w:pStyle w:val="Compact"/>
              <w:jc w:val="left"/>
            </w:pPr>
            <w:r>
              <w:t xml:space="preserve">الخشوع</w:t>
            </w:r>
          </w:p>
        </w:tc>
        <w:tc>
          <w:tcPr/>
          <w:p>
            <w:pPr>
              <w:pStyle w:val="Compact"/>
              <w:jc w:val="left"/>
            </w:pPr>
            <w:r>
              <w:t xml:space="preserve">Khušūʿ</w:t>
            </w:r>
          </w:p>
        </w:tc>
        <w:tc>
          <w:tcPr/>
          <w:p>
            <w:pPr>
              <w:pStyle w:val="Compact"/>
              <w:jc w:val="left"/>
            </w:pPr>
            <w:r>
              <w:t xml:space="preserve">Innere Andacht</w:t>
            </w:r>
          </w:p>
        </w:tc>
      </w:tr>
    </w:tbl>
    <w:p>
      <w:r>
        <w:pict>
          <v:rect style="width:0;height:1.5pt" o:hralign="center" o:hrstd="t" o:hr="t"/>
        </w:pict>
      </w:r>
    </w:p>
    <w:p>
      <w:pPr>
        <w:pStyle w:val="FirstParagraph"/>
      </w:pPr>
      <w:r>
        <w:rPr>
          <w:iCs/>
          <w:i/>
        </w:rPr>
        <w:t xml:space="preserve">Ende der deutschen Übersetzung</w:t>
      </w:r>
    </w:p>
    <w:p>
      <w:pPr>
        <w:pStyle w:val="BodyText"/>
      </w:pPr>
      <w:r>
        <w:rPr>
          <w:iCs/>
          <w:i/>
        </w:rPr>
        <w:t xml:space="preserve">Übersetzt aus dem Arabischen mit größtmöglicher Treue zum Original. Unklare Stellen wurden entsprechend markiert. Alle Qurʾān-Verse sind im arabischen Original belassen und mit einer deutschen Übersetzung sowie der Surah:Vers-Referenz versehen.</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Wichtige Lektionen f��r die allgemeine Ummah in der ��Aq��dah</dc:title>
  <dc:creator>��aykh A���mad ibn Mu���ammad ibn a���-�����diq an-Na������r</dc:creator>
  <cp:keywords/>
  <dcterms:created xsi:type="dcterms:W3CDTF">2026-06-29T19:48:44Z</dcterms:created>
  <dcterms:modified xsi:type="dcterms:W3CDTF">2026-06-29T19:48:44Z</dcterms:modified>
</cp:coreProperties>
</file>

<file path=docProps/custom.xml><?xml version="1.0" encoding="utf-8"?>
<Properties xmlns="http://schemas.openxmlformats.org/officeDocument/2006/custom-properties" xmlns:vt="http://schemas.openxmlformats.org/officeDocument/2006/docPropsVTypes"/>
</file>