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salafitischen Regeln und Maßstäbe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Seiner Gestalt"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Erkenntnis (Maṣādir at-Talaqqī)</w:t>
        </w:r>
      </w:hyperlink>
    </w:p>
    <w:p>
      <w:pPr>
        <w:numPr>
          <w:ilvl w:val="0"/>
          <w:numId w:val="1001"/>
        </w:numPr>
        <w:pStyle w:val="Compact"/>
      </w:pPr>
      <w:hyperlink w:anchor="tor-1">
        <w:r>
          <w:rPr>
            <w:rStyle w:val="Hyperlink"/>
          </w:rPr>
          <w:t xml:space="preserve">Tor 1 – Die sechs Säulen des Īmān</w:t>
        </w:r>
      </w:hyperlink>
    </w:p>
    <w:p>
      <w:pPr>
        <w:numPr>
          <w:ilvl w:val="0"/>
          <w:numId w:val="1002"/>
        </w:numPr>
        <w:pStyle w:val="Compact"/>
      </w:pPr>
      <w:hyperlink w:anchor="pillar-1">
        <w:r>
          <w:rPr>
            <w:rStyle w:val="Hyperlink"/>
          </w:rPr>
          <w:t xml:space="preserve">1. Säule: Īmān billāh</w:t>
        </w:r>
      </w:hyperlink>
    </w:p>
    <w:p>
      <w:pPr>
        <w:numPr>
          <w:ilvl w:val="0"/>
          <w:numId w:val="1002"/>
        </w:numPr>
        <w:pStyle w:val="Compact"/>
      </w:pPr>
      <w:hyperlink w:anchor="pillar-2">
        <w:r>
          <w:rPr>
            <w:rStyle w:val="Hyperlink"/>
          </w:rPr>
          <w:t xml:space="preserve">2. Säule: Īmān bil-Malāʾikah</w:t>
        </w:r>
      </w:hyperlink>
    </w:p>
    <w:p>
      <w:pPr>
        <w:numPr>
          <w:ilvl w:val="0"/>
          <w:numId w:val="1002"/>
        </w:numPr>
        <w:pStyle w:val="Compact"/>
      </w:pPr>
      <w:hyperlink w:anchor="pillar-3">
        <w:r>
          <w:rPr>
            <w:rStyle w:val="Hyperlink"/>
          </w:rPr>
          <w:t xml:space="preserve">3. Säule: Īmān bil-Kutub</w:t>
        </w:r>
      </w:hyperlink>
    </w:p>
    <w:p>
      <w:pPr>
        <w:numPr>
          <w:ilvl w:val="0"/>
          <w:numId w:val="1002"/>
        </w:numPr>
        <w:pStyle w:val="Compact"/>
      </w:pPr>
      <w:hyperlink w:anchor="pillar-4">
        <w:r>
          <w:rPr>
            <w:rStyle w:val="Hyperlink"/>
          </w:rPr>
          <w:t xml:space="preserve">4. Säule: Īmān bir-Rusul</w:t>
        </w:r>
      </w:hyperlink>
    </w:p>
    <w:p>
      <w:pPr>
        <w:numPr>
          <w:ilvl w:val="0"/>
          <w:numId w:val="1002"/>
        </w:numPr>
        <w:pStyle w:val="Compact"/>
      </w:pPr>
      <w:hyperlink w:anchor="pillar-5">
        <w:r>
          <w:rPr>
            <w:rStyle w:val="Hyperlink"/>
          </w:rPr>
          <w:t xml:space="preserve">5. Säule: Īmān bil-Yawm al-Ākhir</w:t>
        </w:r>
      </w:hyperlink>
    </w:p>
    <w:p>
      <w:pPr>
        <w:numPr>
          <w:ilvl w:val="0"/>
          <w:numId w:val="1002"/>
        </w:numPr>
        <w:pStyle w:val="Compact"/>
      </w:pPr>
      <w:hyperlink w:anchor="pillar-6">
        <w:r>
          <w:rPr>
            <w:rStyle w:val="Hyperlink"/>
          </w:rPr>
          <w:t xml:space="preserve">6. Säule: Īmān bil-Qadar</w:t>
        </w:r>
      </w:hyperlink>
    </w:p>
    <w:p>
      <w:pPr>
        <w:numPr>
          <w:ilvl w:val="0"/>
          <w:numId w:val="1003"/>
        </w:numPr>
        <w:pStyle w:val="Compact"/>
      </w:pPr>
      <w:hyperlink w:anchor="tor-2">
        <w:r>
          <w:rPr>
            <w:rStyle w:val="Hyperlink"/>
          </w:rPr>
          <w:t xml:space="preserve">Tor 2 – Der Musammā des Īmān</w:t>
        </w:r>
      </w:hyperlink>
    </w:p>
    <w:p>
      <w:pPr>
        <w:numPr>
          <w:ilvl w:val="0"/>
          <w:numId w:val="1003"/>
        </w:numPr>
        <w:pStyle w:val="Compact"/>
      </w:pPr>
      <w:hyperlink w:anchor="sahaba">
        <w:r>
          <w:rPr>
            <w:rStyle w:val="Hyperlink"/>
          </w:rPr>
          <w:t xml:space="preserve">Aṣ-Ṣaḥābah</w:t>
        </w:r>
      </w:hyperlink>
    </w:p>
    <w:p>
      <w:pPr>
        <w:numPr>
          <w:ilvl w:val="0"/>
          <w:numId w:val="1003"/>
        </w:numPr>
        <w:pStyle w:val="Compact"/>
      </w:pPr>
      <w:hyperlink w:anchor="imama">
        <w:r>
          <w:rPr>
            <w:rStyle w:val="Hyperlink"/>
          </w:rPr>
          <w:t xml:space="preserve">Al-Imāmah</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und schenke Heil unserem Propheten Muḥammad,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die beiden Lasten (Menschen und Dschinn,</w:t>
      </w:r>
      <w:r>
        <w:t xml:space="preserve">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lasse.[^1]</w:t>
      </w:r>
    </w:p>
    <w:p>
      <w:pPr>
        <w:pStyle w:val="BodyText"/>
      </w:pPr>
      <w:r>
        <w:t xml:space="preserve">[^1]: 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FirstParagraph"/>
      </w:pPr>
      <w:r>
        <w:t xml:space="preserve">Abb. 1 — Übersicht der Tore der ʿAqīdah (مجمل أبواب العقيدة)</w:t>
      </w:r>
    </w:p>
    <w:p>
      <w:pPr>
        <w:pStyle w:val="BodyText"/>
      </w:pPr>
      <w:r>
        <w:t xml:space="preserve">مجمل أبواب العقيدة</w:t>
      </w:r>
      <w:r>
        <w:t xml:space="preserve">Gesamtübersicht der Tore der ʿAqīdah</w:t>
      </w:r>
    </w:p>
    <w:p>
      <w:pPr>
        <w:pStyle w:val="BodyText"/>
      </w:pPr>
      <w:r>
        <w:t xml:space="preserve">▼</w:t>
      </w:r>
    </w:p>
    <w:p>
      <w:pPr>
        <w:pStyle w:val="BodyText"/>
      </w:pPr>
      <w:r>
        <w:t xml:space="preserve">الباب الأول</w:t>
      </w:r>
      <w:r>
        <w:t xml:space="preserve">Tor 1 — Arkān al-Īmān</w:t>
      </w:r>
      <w:r>
        <w:t xml:space="preserve">Die sechs Säulen des Īmān:</w:t>
      </w:r>
    </w:p>
    <w:p>
      <w:pPr>
        <w:numPr>
          <w:ilvl w:val="0"/>
          <w:numId w:val="1004"/>
        </w:numPr>
        <w:pStyle w:val="Compact"/>
      </w:pPr>
      <w:r>
        <w:t xml:space="preserve">Īmān billāh (Rubūbiyyah · Asmāʾ waṣ-Ṣifāt · Ulūhiyyah)</w:t>
      </w:r>
    </w:p>
    <w:p>
      <w:pPr>
        <w:numPr>
          <w:ilvl w:val="0"/>
          <w:numId w:val="1004"/>
        </w:numPr>
        <w:pStyle w:val="Compact"/>
      </w:pPr>
      <w:r>
        <w:t xml:space="preserve">Īmān bil-Malāʾikah</w:t>
      </w:r>
    </w:p>
    <w:p>
      <w:pPr>
        <w:numPr>
          <w:ilvl w:val="0"/>
          <w:numId w:val="1004"/>
        </w:numPr>
        <w:pStyle w:val="Compact"/>
      </w:pPr>
      <w:r>
        <w:t xml:space="preserve">Īmān bil-Kutub</w:t>
      </w:r>
    </w:p>
    <w:p>
      <w:pPr>
        <w:numPr>
          <w:ilvl w:val="0"/>
          <w:numId w:val="1004"/>
        </w:numPr>
        <w:pStyle w:val="Compact"/>
      </w:pPr>
      <w:r>
        <w:t xml:space="preserve">Īmān bir-Rusul</w:t>
      </w:r>
    </w:p>
    <w:p>
      <w:pPr>
        <w:numPr>
          <w:ilvl w:val="0"/>
          <w:numId w:val="1004"/>
        </w:numPr>
        <w:pStyle w:val="Compact"/>
      </w:pPr>
      <w:r>
        <w:t xml:space="preserve">Īmān bil-Yawm al-Ākhir</w:t>
      </w:r>
    </w:p>
    <w:p>
      <w:pPr>
        <w:numPr>
          <w:ilvl w:val="0"/>
          <w:numId w:val="1004"/>
        </w:numPr>
        <w:pStyle w:val="Compact"/>
      </w:pPr>
      <w:r>
        <w:t xml:space="preserve">Īmān bil-Qadar</w:t>
      </w:r>
    </w:p>
    <w:p>
      <w:pPr>
        <w:pStyle w:val="FirstParagraph"/>
      </w:pPr>
      <w:r>
        <w:t xml:space="preserve">الباب الثاني</w:t>
      </w:r>
      <w:r>
        <w:t xml:space="preserve">Tor 2 — Anschließendes</w:t>
      </w:r>
      <w:r>
        <w:t xml:space="preserve">Was sich an die Säulen anschließt:</w:t>
      </w:r>
    </w:p>
    <w:p>
      <w:pPr>
        <w:numPr>
          <w:ilvl w:val="0"/>
          <w:numId w:val="1005"/>
        </w:numPr>
        <w:pStyle w:val="Compact"/>
      </w:pPr>
      <w:r>
        <w:t xml:space="preserve">Musammā al-Īmān (Benennung des Īmān)</w:t>
      </w:r>
    </w:p>
    <w:p>
      <w:pPr>
        <w:numPr>
          <w:ilvl w:val="0"/>
          <w:numId w:val="1005"/>
        </w:numPr>
        <w:pStyle w:val="Compact"/>
      </w:pPr>
      <w:r>
        <w:t xml:space="preserve">Aṣ-Ṣaḥābah</w:t>
      </w:r>
    </w:p>
    <w:p>
      <w:pPr>
        <w:numPr>
          <w:ilvl w:val="0"/>
          <w:numId w:val="1005"/>
        </w:numPr>
        <w:pStyle w:val="Compact"/>
      </w:pPr>
      <w:r>
        <w:t xml:space="preserve">Al-Imāmah</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gerade,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sodass Allah</w:t>
      </w:r>
      <w:r>
        <w:t xml:space="preserve"> </w:t>
      </w:r>
      <w:r>
        <w:t xml:space="preserve">ﷻ</w:t>
      </w:r>
      <w:r>
        <w:t xml:space="preserve"> </w:t>
      </w:r>
      <w:r>
        <w:t xml:space="preserve">ihn nicht an einem Ort sieht, an dem Er ihn nicht zu sehen wünscht (d. h. an einem Ort des Ungehorsams);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6"/>
        </w:numPr>
        <w:pStyle w:val="Compact"/>
      </w:pPr>
      <w:r>
        <w:rPr>
          <w:bCs/>
          <w:b/>
        </w:rPr>
        <w:t xml:space="preserve">Das erste Tor:</w:t>
      </w:r>
      <w:r>
        <w:t xml:space="preserve"> </w:t>
      </w:r>
      <w:r>
        <w:t xml:space="preserve">Die sechs Säulen des Īmān (Arkān al-Īmān as-sittah).</w:t>
      </w:r>
    </w:p>
    <w:p>
      <w:pPr>
        <w:numPr>
          <w:ilvl w:val="0"/>
          <w:numId w:val="1006"/>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Erkenntnis (Maṣādir at-Talaqqī)</w:t>
      </w:r>
    </w:p>
    <w:p>
      <w:pPr>
        <w:pStyle w:val="FirstParagraph"/>
      </w:pPr>
      <w:r>
        <w:t xml:space="preserve">Abb. 2 — Die Erkenntnisquellen bei Ahl as-Sunnah wal-Jamāʿah (مصدر التلقي)</w:t>
      </w:r>
    </w:p>
    <w:p>
      <w:pPr>
        <w:pStyle w:val="BodyText"/>
      </w:pPr>
      <w:r>
        <w:t xml:space="preserve">مصدر التلقي عند أهل السنة والجماعة</w:t>
      </w:r>
      <w:r>
        <w:t xml:space="preserve">Quelle der Erkenntnis bei Ahl as-Sunnah wal-Jamāʿah</w:t>
      </w:r>
    </w:p>
    <w:p>
      <w:pPr>
        <w:pStyle w:val="BodyText"/>
      </w:pPr>
      <w:r>
        <w:t xml:space="preserve">▼</w:t>
      </w:r>
    </w:p>
    <w:p>
      <w:pPr>
        <w:pStyle w:val="BodyText"/>
      </w:pPr>
      <w:r>
        <w:t xml:space="preserve">الكتاب</w:t>
      </w:r>
      <w:r>
        <w:t xml:space="preserve">Al-Qurʾān</w:t>
      </w:r>
      <w:r>
        <w:t xml:space="preserve">Das Buch Allahs</w:t>
      </w:r>
    </w:p>
    <w:p>
      <w:pPr>
        <w:pStyle w:val="BodyText"/>
      </w:pPr>
      <w:r>
        <w:t xml:space="preserve">السنة</w:t>
      </w:r>
      <w:r>
        <w:t xml:space="preserve">As-Sunnah</w:t>
      </w:r>
      <w:r>
        <w:t xml:space="preserve">verbal · faktisch · billigend</w:t>
      </w:r>
    </w:p>
    <w:p>
      <w:pPr>
        <w:numPr>
          <w:ilvl w:val="0"/>
          <w:numId w:val="1007"/>
        </w:numPr>
        <w:pStyle w:val="Compact"/>
      </w:pPr>
      <w:r>
        <w:t xml:space="preserve">Mutawātir</w:t>
      </w:r>
    </w:p>
    <w:p>
      <w:pPr>
        <w:numPr>
          <w:ilvl w:val="0"/>
          <w:numId w:val="1007"/>
        </w:numPr>
        <w:pStyle w:val="Compact"/>
      </w:pPr>
      <w:r>
        <w:t xml:space="preserve">Āḥād</w:t>
      </w:r>
    </w:p>
    <w:p>
      <w:pPr>
        <w:pStyle w:val="FirstParagraph"/>
      </w:pPr>
      <w:r>
        <w:t xml:space="preserve">الإجماع</w:t>
      </w:r>
      <w:r>
        <w:t xml:space="preserve">Al-Iǧmāʿ</w:t>
      </w:r>
      <w:r>
        <w:t xml:space="preserve">Konsens der Muǧtahidūn der Ummah</w:t>
      </w:r>
    </w:p>
    <w:p>
      <w:pPr>
        <w:pStyle w:val="BodyText"/>
      </w:pPr>
      <w:r>
        <w:t xml:space="preserve">Vor Irrtum rettende Grundregel (قاعدة منجية من الضلال)</w:t>
      </w:r>
      <w:r>
        <w:t xml:space="preserve">„Das Verständnis von Qurʾān und Sunnah muss mit dem Verständnis der rechtschaffenen Salaf übereinstimmen."</w:t>
      </w:r>
    </w:p>
    <w:p>
      <w:pPr>
        <w:pStyle w:val="BodyText"/>
      </w:pPr>
      <w:r>
        <w:t xml:space="preserve">Mit „Quelle der Erkenntnis" (maṣdar at-talaqqī) ist gemeint: Woher wird die ʿAqīdah entnommen?</w:t>
      </w:r>
    </w:p>
    <w:p>
      <w:pPr>
        <w:pStyle w:val="BodyText"/>
      </w:pPr>
      <w:r>
        <w:t xml:space="preserve">Die Quelle der Erkenntnis bei Ahl as-Sunnah wal-Jamāʿah geht auf drei Dinge zurück:</w:t>
      </w:r>
    </w:p>
    <w:p>
      <w:pPr>
        <w:pStyle w:val="BodyText"/>
      </w:pPr>
      <w:r>
        <w:rPr>
          <w:bCs/>
          <w:b/>
        </w:rPr>
        <w:t xml:space="preserve">Erstens: Al-Kitāb (das Buch).</w:t>
      </w:r>
      <w:r>
        <w:t xml:space="preserve"> </w:t>
      </w:r>
      <w:r>
        <w:t xml:space="preserve">Damit meinen wir den Qurʾān; denn der Qurʾān ist die Rede Allahs</w:t>
      </w:r>
      <w:r>
        <w:t xml:space="preserve"> </w:t>
      </w:r>
      <w:r>
        <w:t xml:space="preserve">ﷻ</w:t>
      </w:r>
      <w:r>
        <w:t xml:space="preserve"> </w:t>
      </w:r>
      <w:r>
        <w:t xml:space="preserve">– wirklich und wahrhaftig (ḥaqīqatan).</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verbal (qawliyyah), faktisch (fiʿliyyah), billigend (taqrīriyyah) oder unterlassend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(mit den Sinnen) bezeugen. Und wenn etwas verborgen ist, kann man es nicht mit dem Verstand begründen; man begründet es vielmehr nur durch den Bericht (al-ḫabar).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Erkenntnis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 (also die ersten drei Generationen).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Īmān</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8"/>
        </w:numPr>
        <w:pStyle w:val="Compact"/>
      </w:pPr>
      <w:r>
        <w:t xml:space="preserve">Der Glaube an Allah (al-Īmān billāh).</w:t>
      </w:r>
    </w:p>
    <w:p>
      <w:pPr>
        <w:numPr>
          <w:ilvl w:val="0"/>
          <w:numId w:val="1008"/>
        </w:numPr>
        <w:pStyle w:val="Compact"/>
      </w:pPr>
      <w:r>
        <w:t xml:space="preserve">Der Glaube an die Engel (al-Īmān bil-Malāʾikah).</w:t>
      </w:r>
    </w:p>
    <w:p>
      <w:pPr>
        <w:numPr>
          <w:ilvl w:val="0"/>
          <w:numId w:val="1008"/>
        </w:numPr>
        <w:pStyle w:val="Compact"/>
      </w:pPr>
      <w:r>
        <w:t xml:space="preserve">Der Glaube an die Bücher (al-Īmān bil-Kutub).</w:t>
      </w:r>
    </w:p>
    <w:p>
      <w:pPr>
        <w:numPr>
          <w:ilvl w:val="0"/>
          <w:numId w:val="1008"/>
        </w:numPr>
        <w:pStyle w:val="Compact"/>
      </w:pPr>
      <w:r>
        <w:t xml:space="preserve">Der Glaube an die Gesandten (al-Īmān bir-Rusul).</w:t>
      </w:r>
    </w:p>
    <w:p>
      <w:pPr>
        <w:numPr>
          <w:ilvl w:val="0"/>
          <w:numId w:val="1008"/>
        </w:numPr>
        <w:pStyle w:val="Compact"/>
      </w:pPr>
      <w:r>
        <w:t xml:space="preserve">Der Glaube an den Jüngsten Tag (al-Īmān bil-Yawm al-Ākhir).</w:t>
      </w:r>
    </w:p>
    <w:p>
      <w:pPr>
        <w:numPr>
          <w:ilvl w:val="0"/>
          <w:numId w:val="1008"/>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Īmān billāh – Der Glaube an Allah</w:t>
      </w:r>
    </w:p>
    <w:p>
      <w:pPr>
        <w:pStyle w:val="FirstParagraph"/>
      </w:pPr>
      <w:r>
        <w:t xml:space="preserve">Abb. 3 — Der Glaube an Allah (الإيمان بالله)</w:t>
      </w:r>
    </w:p>
    <w:p>
      <w:pPr>
        <w:pStyle w:val="BodyText"/>
      </w:pPr>
      <w:r>
        <w:t xml:space="preserve">الإيمان بالله</w:t>
      </w:r>
      <w:r>
        <w:t xml:space="preserve">Der Glaube an Allah</w:t>
      </w:r>
    </w:p>
    <w:p>
      <w:pPr>
        <w:pStyle w:val="BodyText"/>
      </w:pPr>
      <w:r>
        <w:t xml:space="preserve">beruht auf dem Tawḥīd Allahs in (يقوم على توحيد الله في):</w:t>
      </w:r>
    </w:p>
    <w:p>
      <w:pPr>
        <w:pStyle w:val="BodyText"/>
      </w:pPr>
      <w:r>
        <w:t xml:space="preserve">▼</w:t>
      </w:r>
    </w:p>
    <w:p>
      <w:pPr>
        <w:pStyle w:val="BodyText"/>
      </w:pPr>
      <w:r>
        <w:t xml:space="preserve">ربوبيته</w:t>
      </w:r>
      <w:r>
        <w:t xml:space="preserve">Tawḥīd ar-Rubūbiyyah</w:t>
      </w:r>
      <w:r>
        <w:t xml:space="preserve">Einheit in der Herrschaft</w:t>
      </w:r>
    </w:p>
    <w:p>
      <w:pPr>
        <w:pStyle w:val="BodyText"/>
      </w:pPr>
      <w:r>
        <w:t xml:space="preserve">أسمائه وصفاته</w:t>
      </w:r>
      <w:r>
        <w:t xml:space="preserve">Tawḥīd al-Asmāʾ waṣ-Ṣifāt</w:t>
      </w:r>
      <w:r>
        <w:t xml:space="preserve">Einheit in den Namen und Eigenschaften</w:t>
      </w:r>
    </w:p>
    <w:p>
      <w:pPr>
        <w:pStyle w:val="BodyText"/>
      </w:pPr>
      <w:r>
        <w:t xml:space="preserve">ألوهيته</w:t>
      </w:r>
      <w:r>
        <w:t xml:space="preserve">Tawḥīd al-Ulūhiyyah</w:t>
      </w:r>
      <w:r>
        <w:t xml:space="preserve">Einheit in der Anbetung</w:t>
      </w:r>
    </w:p>
    <w:p>
      <w:pPr>
        <w:pStyle w:val="BodyText"/>
      </w:pPr>
      <w:r>
        <w:t xml:space="preserve">Früchte des Glaubens an Allah (ثمرات الإيمان بالله)</w:t>
      </w:r>
      <w:r>
        <w:t xml:space="preserve">Glückseligkeit · Allahs Schutzfreundschaft (Wilāyah) · das Paradies · Festigung auf Erden · vollkommene Sicherheit und Rechtleitung</w:t>
      </w:r>
    </w:p>
    <w:p>
      <w:pPr>
        <w:pStyle w:val="BodyText"/>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9"/>
        </w:numPr>
        <w:pStyle w:val="Compact"/>
      </w:pPr>
      <w:r>
        <w:rPr>
          <w:bCs/>
          <w:b/>
        </w:rPr>
        <w:t xml:space="preserve">Das Erste:</w:t>
      </w:r>
      <w:r>
        <w:t xml:space="preserve"> </w:t>
      </w:r>
      <w:r>
        <w:t xml:space="preserve">Der Tawḥīd Allahs in Seiner Herrschaft (ar-Rubūbiyyah).</w:t>
      </w:r>
    </w:p>
    <w:p>
      <w:pPr>
        <w:numPr>
          <w:ilvl w:val="0"/>
          <w:numId w:val="1009"/>
        </w:numPr>
        <w:pStyle w:val="Compact"/>
      </w:pPr>
      <w:r>
        <w:rPr>
          <w:bCs/>
          <w:b/>
        </w:rPr>
        <w:t xml:space="preserve">Das Zweite:</w:t>
      </w:r>
      <w:r>
        <w:t xml:space="preserve"> </w:t>
      </w:r>
      <w:r>
        <w:t xml:space="preserve">Der Tawḥīd Allahs in Seinen Namen und Eigenschaften (al-Asmāʾ waṣ-Ṣifāt).</w:t>
      </w:r>
    </w:p>
    <w:p>
      <w:pPr>
        <w:numPr>
          <w:ilvl w:val="0"/>
          <w:numId w:val="1009"/>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(Glory be to Him,</w:t>
      </w:r>
      <w:r>
        <w:t xml:space="preserve"> </w:t>
      </w:r>
      <w:r>
        <w:rPr>
          <w:iCs/>
          <w:i/>
        </w:rPr>
        <w:t xml:space="preserve">subḥānahu</w:t>
      </w:r>
      <w:r>
        <w:t xml:space="preserve">) als Einzigen anzuerkennen.</w:t>
      </w:r>
    </w:p>
    <w:p>
      <w:pPr>
        <w:numPr>
          <w:ilvl w:val="0"/>
          <w:numId w:val="1010"/>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11"/>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verbunden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12"/>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beispielhaft, nicht erschöpfend,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das rechtschaffene Werk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 Beistand. Wer also will, dass Allah ihm beisteht,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der Beistand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Werke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Werke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FirstParagraph"/>
      </w:pPr>
      <w:r>
        <w:t xml:space="preserve">Abb. 4 — Tawḥīd ar-Rubūbiyyah (ربوبية الله)</w:t>
      </w:r>
    </w:p>
    <w:p>
      <w:pPr>
        <w:pStyle w:val="BodyText"/>
      </w:pPr>
      <w:r>
        <w:t xml:space="preserve">ربوبية الله</w:t>
      </w:r>
      <w:r>
        <w:t xml:space="preserve">Die Herrschaft Allahs (Rubūbiyyah)</w:t>
      </w:r>
    </w:p>
    <w:p>
      <w:pPr>
        <w:pStyle w:val="BodyText"/>
      </w:pPr>
      <w:r>
        <w:t xml:space="preserve">beruht auf (تقوم على):</w:t>
      </w:r>
    </w:p>
    <w:p>
      <w:pPr>
        <w:pStyle w:val="BodyText"/>
      </w:pPr>
      <w:r>
        <w:t xml:space="preserve">▼</w:t>
      </w:r>
    </w:p>
    <w:p>
      <w:pPr>
        <w:pStyle w:val="BodyText"/>
      </w:pPr>
      <w:r>
        <w:t xml:space="preserve">وجود الله</w:t>
      </w:r>
      <w:r>
        <w:t xml:space="preserve">Die Existenz Allahs</w:t>
      </w:r>
      <w:r>
        <w:t xml:space="preserve">belegt durch Fiṭrah, Šarʿ, ʿAql und Ḥiss</w:t>
      </w:r>
    </w:p>
    <w:p>
      <w:pPr>
        <w:pStyle w:val="BodyText"/>
      </w:pPr>
      <w:r>
        <w:t xml:space="preserve">إفراد الله بأفعاله</w:t>
      </w:r>
      <w:r>
        <w:t xml:space="preserve">Allah allein in Seinen Handlungen</w:t>
      </w:r>
      <w:r>
        <w:t xml:space="preserve">Erschaffung · Herrschaft (Mulk) · Lenkung (Tadbīr)</w:t>
      </w:r>
    </w:p>
    <w:p>
      <w:pPr>
        <w:pStyle w:val="BodyText"/>
      </w:pPr>
      <w:r>
        <w:t xml:space="preserve">نواقض توحيد الربوبية — Nullifiers des Rubūbiyyah-Tawḥīd</w:t>
      </w:r>
    </w:p>
    <w:p>
      <w:pPr>
        <w:pStyle w:val="BodyText"/>
      </w:pPr>
      <w:r>
        <w:t xml:space="preserve">Leugnen der Existenz Allahs nach außen hin (إنكار وجود الله في الظاهر)</w:t>
      </w:r>
    </w:p>
    <w:p>
      <w:pPr>
        <w:pStyle w:val="BodyText"/>
      </w:pPr>
      <w:r>
        <w:t xml:space="preserve">Behauptung eines unabhängig Handelnden neben Allah (إثبات فاعل مستقل مع الله)</w:t>
      </w:r>
    </w:p>
    <w:p>
      <w:pPr>
        <w:pStyle w:val="BodyText"/>
      </w:pPr>
      <w:r>
        <w:t xml:space="preserve">Zuschreibung der Gnade an einen anderen als Allah in eigenständiger Weise (إضافة النعمة لغير الله)</w:t>
      </w:r>
    </w:p>
    <w:p>
      <w:pPr>
        <w:pStyle w:val="BodyText"/>
      </w:pPr>
      <w:r>
        <w:t xml:space="preserve">Wichtiger Hinweis (تنبيه مهم)</w:t>
      </w:r>
      <w:r>
        <w:t xml:space="preserve">Tawḥīd ar-Rubūbiyyah allein genügt nicht für den Glauben an Allah.</w:t>
      </w:r>
    </w:p>
    <w:p>
      <w:pPr>
        <w:pStyle w:val="BodyText"/>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3"/>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3"/>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Magier."</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bekämpfte sie der Prophet</w:t>
      </w:r>
      <w:r>
        <w:t xml:space="preserve"> </w:t>
      </w:r>
      <w:r>
        <w:t xml:space="preserve">ﷺ</w:t>
      </w:r>
      <w:r>
        <w:t xml:space="preserve"> </w:t>
      </w:r>
      <w:r>
        <w:t xml:space="preserve">und erklärte ihr Blut für vergießbar.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326433965bfa3fa3c319fe6a64995cfd45a4978"/>
    <w:p>
      <w:pPr>
        <w:pStyle w:val="Heading4"/>
      </w:pPr>
      <w:r>
        <w:t xml:space="preserve">Die Nullifiers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Nullifiers sind:</w:t>
      </w:r>
    </w:p>
    <w:p>
      <w:pPr>
        <w:numPr>
          <w:ilvl w:val="0"/>
          <w:numId w:val="1014"/>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4"/>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4"/>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Nullifier: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Nullifier: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5"/>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5"/>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Nullifier: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Nullifiers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FirstParagraph"/>
      </w:pPr>
      <w:r>
        <w:t xml:space="preserve">Abb. 5 — Allahs Namen und Eigenschaften (أسماء الله وصفاته)</w:t>
      </w:r>
    </w:p>
    <w:p>
      <w:pPr>
        <w:pStyle w:val="BodyText"/>
      </w:pPr>
      <w:r>
        <w:t xml:space="preserve">أسماء الله وصفاته</w:t>
      </w:r>
      <w:r>
        <w:t xml:space="preserve">Allahs Namen und Eigenschaften</w:t>
      </w:r>
    </w:p>
    <w:p>
      <w:pPr>
        <w:pStyle w:val="BodyText"/>
      </w:pPr>
      <w:r>
        <w:t xml:space="preserve">beruht auf drei Grundlagen (ثلاثة أسس):</w:t>
      </w:r>
    </w:p>
    <w:p>
      <w:pPr>
        <w:pStyle w:val="BodyText"/>
      </w:pPr>
      <w:r>
        <w:t xml:space="preserve">▼</w:t>
      </w:r>
    </w:p>
    <w:p>
      <w:pPr>
        <w:pStyle w:val="BodyText"/>
      </w:pPr>
      <w:r>
        <w:t xml:space="preserve">1. Grundlage</w:t>
      </w:r>
      <w:r>
        <w:t xml:space="preserve">Bejahen, was Allah Sich selbst zuschrieb, und verneinen, was Er von Sich verneinte (إثبات ما أثبته الله لنفسه)</w:t>
      </w:r>
    </w:p>
    <w:p>
      <w:pPr>
        <w:pStyle w:val="BodyText"/>
      </w:pPr>
      <w:r>
        <w:t xml:space="preserve">2. Grundlage</w:t>
      </w:r>
      <w:r>
        <w:t xml:space="preserve">Verneinen jeder Ähnlichkeit in den Eigenheiten (نفي المماثلة في الخصائص)</w:t>
      </w:r>
    </w:p>
    <w:p>
      <w:pPr>
        <w:pStyle w:val="BodyText"/>
      </w:pPr>
      <w:r>
        <w:t xml:space="preserve">3. Grundlage</w:t>
      </w:r>
      <w:r>
        <w:t xml:space="preserve">Verzicht auf das Erstreben der Art und Weise (قطع الطمع عن معرفة الكيفية)</w:t>
      </w:r>
    </w:p>
    <w:p>
      <w:pPr>
        <w:pStyle w:val="BodyText"/>
      </w:pPr>
      <w:r>
        <w:t xml:space="preserve">نواقض توحيد الأسماء والصفات — Nullifiers</w:t>
      </w:r>
    </w:p>
    <w:p>
      <w:pPr>
        <w:pStyle w:val="BodyText"/>
      </w:pPr>
      <w:r>
        <w:t xml:space="preserve">at-Taʿṭīl (التعطيل)</w:t>
      </w:r>
      <w:r>
        <w:t xml:space="preserve">Verneinung der Eigenschaften</w:t>
      </w:r>
    </w:p>
    <w:p>
      <w:pPr>
        <w:numPr>
          <w:ilvl w:val="0"/>
          <w:numId w:val="1016"/>
        </w:numPr>
        <w:pStyle w:val="Compact"/>
      </w:pPr>
      <w:r>
        <w:t xml:space="preserve">at-Taʾwīl (التأويل)</w:t>
      </w:r>
    </w:p>
    <w:p>
      <w:pPr>
        <w:numPr>
          <w:ilvl w:val="0"/>
          <w:numId w:val="1016"/>
        </w:numPr>
        <w:pStyle w:val="Compact"/>
      </w:pPr>
      <w:r>
        <w:t xml:space="preserve">at-Tafwīḍ (التفويض)</w:t>
      </w:r>
    </w:p>
    <w:p>
      <w:pPr>
        <w:pStyle w:val="FirstParagraph"/>
      </w:pPr>
      <w:r>
        <w:t xml:space="preserve">at-Tamṯīl (التمثيل)</w:t>
      </w:r>
      <w:r>
        <w:t xml:space="preserve">Vergleich mit dem Geschaffenen</w:t>
      </w:r>
    </w:p>
    <w:p>
      <w:pPr>
        <w:pStyle w:val="BodyText"/>
      </w:pPr>
      <w:r>
        <w:t xml:space="preserve">Beide Nullifiers werden zusammengefasst unter: al-Ilḥād (الإلحاد) — die Abweichung</w:t>
      </w:r>
    </w:p>
    <w:p>
      <w:pPr>
        <w:pStyle w:val="BodyText"/>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7"/>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7"/>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in den Eigenheiten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sodass sie Ihm eigentümlich ist und niemand mit Ihm darin teilhat.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8"/>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3361d23b109f0598b98bb53bd740bc8cec349ec"/>
    <w:p>
      <w:pPr>
        <w:pStyle w:val="Heading4"/>
      </w:pPr>
      <w:r>
        <w:t xml:space="preserve">Die Nullifiers (Nawāqiḍ) des Tawḥīd al-Asmāʾ waṣ-Ṣifāt</w:t>
      </w:r>
    </w:p>
    <w:p>
      <w:pPr>
        <w:pStyle w:val="FirstParagraph"/>
      </w:pPr>
      <w:r>
        <w:rPr>
          <w:bCs/>
          <w:b/>
        </w:rPr>
        <w:t xml:space="preserve">Die Nullifiers gehen auf zwei Dinge zurück:</w:t>
      </w:r>
    </w:p>
    <w:p>
      <w:pPr>
        <w:numPr>
          <w:ilvl w:val="0"/>
          <w:numId w:val="1019"/>
        </w:numPr>
        <w:pStyle w:val="Compact"/>
      </w:pPr>
      <w:r>
        <w:rPr>
          <w:bCs/>
          <w:b/>
        </w:rPr>
        <w:t xml:space="preserve">Das Erste:</w:t>
      </w:r>
      <w:r>
        <w:t xml:space="preserve"> </w:t>
      </w:r>
      <w:r>
        <w:t xml:space="preserve">at-Tamṯīl (der Vergleich).</w:t>
      </w:r>
    </w:p>
    <w:p>
      <w:pPr>
        <w:numPr>
          <w:ilvl w:val="0"/>
          <w:numId w:val="1019"/>
        </w:numPr>
        <w:pStyle w:val="Compact"/>
      </w:pPr>
      <w:r>
        <w:rPr>
          <w:bCs/>
          <w:b/>
        </w:rPr>
        <w:t xml:space="preserve">Das Zweite:</w:t>
      </w:r>
      <w:r>
        <w:t xml:space="preserve"> </w:t>
      </w:r>
      <w:r>
        <w:t xml:space="preserve">at-Taʿṭīl (die Verneinung/Entleerung).</w:t>
      </w:r>
    </w:p>
    <w:p>
      <w:pPr>
        <w:pStyle w:val="FirstParagraph"/>
      </w:pPr>
      <w:r>
        <w:rPr>
          <w:bCs/>
          <w:b/>
        </w:rPr>
        <w:t xml:space="preserve">Der erste Nullifier: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Nullifier: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Ihm zukommt,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20"/>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20"/>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21"/>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überantworten (nicht für unbekannt erklären), sondern nur die Art und Weise (al-kayfiyyah) überantworten,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Nullifier des Tawḥīd al-Asmāʾ waṣ-Ṣifāt.</w:t>
      </w:r>
    </w:p>
    <w:p>
      <w:pPr>
        <w:pStyle w:val="BodyText"/>
      </w:pPr>
      <w:r>
        <w:rPr>
          <w:bCs/>
          <w:b/>
        </w:rPr>
        <w:t xml:space="preserve">Diese Nullifiers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22"/>
        </w:numPr>
        <w:pStyle w:val="Compact"/>
      </w:pPr>
      <w:r>
        <w:rPr>
          <w:iCs/>
          <w:i/>
        </w:rPr>
        <w:t xml:space="preserve">Beispiele:</w:t>
      </w:r>
    </w:p>
    <w:p>
      <w:pPr>
        <w:numPr>
          <w:ilvl w:val="0"/>
          <w:numId w:val="1023"/>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23"/>
        </w:numPr>
        <w:pStyle w:val="Compact"/>
      </w:pPr>
      <w:r>
        <w:t xml:space="preserve">Es ist dem Diener Pflicht, ohne Ähnlichkeit zu bejahen; der Mumaṯṯil (Vergleichende) aber kommt und bejaht zusammen mit der Ähnlichkeit – so begeht er Ilḥād.</w:t>
      </w:r>
    </w:p>
    <w:p>
      <w:pPr>
        <w:numPr>
          <w:ilvl w:val="0"/>
          <w:numId w:val="1023"/>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FirstParagraph"/>
      </w:pPr>
      <w:r>
        <w:t xml:space="preserve">Abb. 6 — Die Anbetungswürdigkeit Allahs (ألوهية الله)</w:t>
      </w:r>
    </w:p>
    <w:p>
      <w:pPr>
        <w:pStyle w:val="BodyText"/>
      </w:pPr>
      <w:r>
        <w:t xml:space="preserve">ألوهية الله</w:t>
      </w:r>
      <w:r>
        <w:t xml:space="preserve">Die Anbetungswürdigkeit Allahs (Ulūhiyyah)</w:t>
      </w:r>
    </w:p>
    <w:p>
      <w:pPr>
        <w:pStyle w:val="BodyText"/>
      </w:pPr>
      <w:r>
        <w:t xml:space="preserve">▼</w:t>
      </w:r>
    </w:p>
    <w:p>
      <w:pPr>
        <w:pStyle w:val="BodyText"/>
      </w:pPr>
      <w:r>
        <w:t xml:space="preserve">إفراد الله بالعبادة</w:t>
      </w:r>
      <w:r>
        <w:t xml:space="preserve">Allah allein anbeten</w:t>
      </w:r>
      <w:r>
        <w:t xml:space="preserve">al-ʿIbādah:</w:t>
      </w:r>
    </w:p>
    <w:p>
      <w:pPr>
        <w:numPr>
          <w:ilvl w:val="0"/>
          <w:numId w:val="1024"/>
        </w:numPr>
        <w:pStyle w:val="Compact"/>
      </w:pPr>
      <w:r>
        <w:t xml:space="preserve">al-Mutaʿabbad bihi: umfassender Name für alles, was Allah liebt</w:t>
      </w:r>
    </w:p>
    <w:p>
      <w:pPr>
        <w:numPr>
          <w:ilvl w:val="0"/>
          <w:numId w:val="1024"/>
        </w:numPr>
        <w:pStyle w:val="Compact"/>
      </w:pPr>
      <w:r>
        <w:t xml:space="preserve">at-Taʿabbud: höchste Demut mit höchster Liebe</w:t>
      </w:r>
    </w:p>
    <w:p>
      <w:pPr>
        <w:pStyle w:val="FirstParagraph"/>
      </w:pPr>
      <w:r>
        <w:t xml:space="preserve">معنى الإله: المعبود</w:t>
      </w:r>
      <w:r>
        <w:t xml:space="preserve">Bedeutung von „Ilāh"</w:t>
      </w:r>
      <w:r>
        <w:t xml:space="preserve">Lā ilāha illā Allāh = es gibt keinen wahrhaft Anzubetenden außer Allah</w:t>
      </w:r>
    </w:p>
    <w:p>
      <w:pPr>
        <w:pStyle w:val="BodyText"/>
      </w:pPr>
      <w:r>
        <w:t xml:space="preserve">نواقض توحيد الألوهية — Nullifiers</w:t>
      </w:r>
    </w:p>
    <w:p>
      <w:pPr>
        <w:pStyle w:val="BodyText"/>
      </w:pPr>
      <w:r>
        <w:t xml:space="preserve">aš-Širk al-Aṣghar (الشرك الأصغر)</w:t>
      </w:r>
      <w:r>
        <w:t xml:space="preserve">Definition · Beispiele · Urteile</w:t>
      </w:r>
    </w:p>
    <w:p>
      <w:pPr>
        <w:pStyle w:val="BodyText"/>
      </w:pPr>
      <w:r>
        <w:t xml:space="preserve">aš-Širk al-Akbar (الشرك الأكبر)</w:t>
      </w:r>
      <w:r>
        <w:t xml:space="preserve">Definition · Beispiele · Ursachen · Urteile</w:t>
      </w:r>
    </w:p>
    <w:p>
      <w:pPr>
        <w:pStyle w:val="BodyText"/>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bekämpfte die Götzendiener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5"/>
        </w:numPr>
        <w:pStyle w:val="Compact"/>
      </w:pPr>
      <w:r>
        <w:rPr>
          <w:bCs/>
          <w:b/>
        </w:rPr>
        <w:t xml:space="preserve">Das Erste:</w:t>
      </w:r>
      <w:r>
        <w:t xml:space="preserve"> </w:t>
      </w:r>
      <w:r>
        <w:t xml:space="preserve">Die Kenntnis der Bedeutung von „al-Ilāh".</w:t>
      </w:r>
    </w:p>
    <w:p>
      <w:pPr>
        <w:numPr>
          <w:ilvl w:val="0"/>
          <w:numId w:val="1025"/>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6"/>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6"/>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Werken,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042e6b6b23d9d799a05aac8a2cb7fc6c2da0875"/>
    <w:p>
      <w:pPr>
        <w:pStyle w:val="Heading4"/>
      </w:pPr>
      <w:r>
        <w:t xml:space="preserve">Die Nullifiers (Nawāqiḍ) des Tawḥīd al-Ulūhiyyah</w:t>
      </w:r>
    </w:p>
    <w:p>
      <w:pPr>
        <w:pStyle w:val="FirstParagraph"/>
      </w:pPr>
      <w:r>
        <w:rPr>
          <w:bCs/>
          <w:b/>
        </w:rPr>
        <w:t xml:space="preserve">Die Nullifiers gehen auf zwei Dinge zurück:</w:t>
      </w:r>
    </w:p>
    <w:p>
      <w:pPr>
        <w:numPr>
          <w:ilvl w:val="0"/>
          <w:numId w:val="1027"/>
        </w:numPr>
        <w:pStyle w:val="Compact"/>
      </w:pPr>
      <w:r>
        <w:rPr>
          <w:bCs/>
          <w:b/>
        </w:rPr>
        <w:t xml:space="preserve">Das Erste:</w:t>
      </w:r>
      <w:r>
        <w:t xml:space="preserve"> </w:t>
      </w:r>
      <w:r>
        <w:t xml:space="preserve">aš-Širk al-Akbar (der große Širk) – er ist ein Nullifier des Fundaments (aṣl) der Ulūhiyyah.</w:t>
      </w:r>
    </w:p>
    <w:p>
      <w:pPr>
        <w:numPr>
          <w:ilvl w:val="0"/>
          <w:numId w:val="1027"/>
        </w:numPr>
        <w:pStyle w:val="Compact"/>
      </w:pPr>
      <w:r>
        <w:rPr>
          <w:bCs/>
          <w:b/>
        </w:rPr>
        <w:t xml:space="preserve">Das Zweite:</w:t>
      </w:r>
      <w:r>
        <w:t xml:space="preserve"> </w:t>
      </w:r>
      <w:r>
        <w:t xml:space="preserve">aš-Širk al-Aṣghar (der kleine Širk) – er ist ein Nullifier der pflichtgemäßen Vollkommenheit (kamāl wāǧib) der Ulūhiyyah.</w:t>
      </w:r>
    </w:p>
    <w:bookmarkStart w:id="37" w:name="X6e6e82a83f9b9efe59ef919f8fea137c4ac576d"/>
    <w:p>
      <w:pPr>
        <w:pStyle w:val="Heading5"/>
      </w:pPr>
      <w:r>
        <w:t xml:space="preserve">Der erste Nullifier: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8"/>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9"/>
        </w:numPr>
        <w:pStyle w:val="Compact"/>
      </w:pPr>
      <w:r>
        <w:t xml:space="preserve">Das Bittgebet der Anbetung (duʿāʾ ʿibādah).</w:t>
      </w:r>
    </w:p>
    <w:p>
      <w:pPr>
        <w:numPr>
          <w:ilvl w:val="0"/>
          <w:numId w:val="1029"/>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30"/>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30"/>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und deren Blut er für vergießbar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„Wahrlich, Wir sandten Nūḥ zu seinem Volk: Warne dein Volk, bevor eine schmerzhafte Strafe über sie kommt. Er sagte: O mein Volk, ich bin euch ein deutlicher Warner: Dient Allah, fürchtet Ihn und gehorcht mir" [Nūḥ: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Träger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Träger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Trägers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 Werk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8d3a78b3f13745274e0c2da59eb4afb0cf3c97"/>
    <w:p>
      <w:pPr>
        <w:pStyle w:val="Heading5"/>
      </w:pPr>
      <w:r>
        <w:t xml:space="preserve">Der zweite Nullifier: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31"/>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31"/>
        </w:numPr>
        <w:pStyle w:val="Compact"/>
      </w:pPr>
      <w:r>
        <w:rPr>
          <w:bCs/>
          <w:b/>
        </w:rPr>
        <w:t xml:space="preserve">Das Zweite:</w:t>
      </w:r>
      <w:r>
        <w:t xml:space="preserve"> </w:t>
      </w:r>
      <w:r>
        <w:t xml:space="preserve">dass es ein Mittel zum großen Širk ist.</w:t>
      </w:r>
    </w:p>
    <w:p>
      <w:pPr>
        <w:numPr>
          <w:ilvl w:val="0"/>
          <w:numId w:val="1032"/>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33"/>
        </w:numPr>
        <w:pStyle w:val="Compact"/>
      </w:pPr>
      <w:r>
        <w:rPr>
          <w:iCs/>
          <w:i/>
        </w:rPr>
        <w:t xml:space="preserve">Weiteres Beispiel:</w:t>
      </w:r>
      <w:r>
        <w:t xml:space="preserve"> </w:t>
      </w:r>
      <w:r>
        <w:t xml:space="preserve">Das Heranziehen von etwas, das weder eine gesetzlich (šarʿī) noch eine schicksalhaft (qadarī)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34"/>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34"/>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34"/>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Īmān bil-Malāʾikah – Der Glaube an die Engel</w:t>
      </w:r>
    </w:p>
    <w:p>
      <w:pPr>
        <w:pStyle w:val="FirstParagraph"/>
      </w:pPr>
      <w:r>
        <w:t xml:space="preserve">Abb. 7 — Der Glaube an die Engel (الإيمان بالملائكة)</w:t>
      </w:r>
    </w:p>
    <w:p>
      <w:pPr>
        <w:pStyle w:val="BodyText"/>
      </w:pPr>
      <w:r>
        <w:t xml:space="preserve">الإيمان بالملائكة</w:t>
      </w:r>
      <w:r>
        <w:t xml:space="preserve">Der Glaube an die Engel</w:t>
      </w:r>
    </w:p>
    <w:p>
      <w:pPr>
        <w:pStyle w:val="BodyText"/>
      </w:pPr>
      <w:r>
        <w:t xml:space="preserve">▼</w:t>
      </w:r>
    </w:p>
    <w:p>
      <w:pPr>
        <w:pStyle w:val="BodyText"/>
      </w:pPr>
      <w:r>
        <w:t xml:space="preserve">الإيمان المجمل</w:t>
      </w:r>
      <w:r>
        <w:t xml:space="preserve">Der allgemeine Glaube</w:t>
      </w:r>
      <w:r>
        <w:t xml:space="preserve">Der Glaube an ihre Existenz (al-īmān bi-wuǧūdihim)</w:t>
      </w:r>
    </w:p>
    <w:p>
      <w:pPr>
        <w:pStyle w:val="BodyText"/>
      </w:pPr>
      <w:r>
        <w:t xml:space="preserve">Man überschreitet bei ihrer Beschreibung nicht Qurʾān und Sunnah (لا يتجاوز في التعريف بهم القرآن والسنة)</w:t>
      </w:r>
    </w:p>
    <w:p>
      <w:pPr>
        <w:pStyle w:val="BodyText"/>
      </w:pPr>
      <w:r>
        <w:t xml:space="preserve">الإيمان المفصل</w:t>
      </w:r>
      <w:r>
        <w:t xml:space="preserve">Der detaillierte Glaube</w:t>
      </w:r>
      <w:r>
        <w:t xml:space="preserve">Glaube an ihre Namen · ihre Eigenschaften · ihre Werke</w:t>
      </w:r>
    </w:p>
    <w:p>
      <w:pPr>
        <w:pStyle w:val="BodyText"/>
      </w:pPr>
      <w:r>
        <w:t xml:space="preserve">Der Glaube an die Engel hat eine Wirkung auf die Überzeugung und das Verhalten des Dieners (للإيمان بالملائكة أثر على اعتقاد العبد وسلوكه)</w:t>
      </w:r>
    </w:p>
    <w:p>
      <w:pPr>
        <w:pStyle w:val="BodyText"/>
      </w:pPr>
      <w:r>
        <w:t xml:space="preserve">نواقض الإيمان بالملائكة — Nullifiers des Glaubens an die Engel</w:t>
      </w:r>
    </w:p>
    <w:p>
      <w:pPr>
        <w:pStyle w:val="BodyText"/>
      </w:pPr>
      <w:r>
        <w:t xml:space="preserve">Sie herabwürdigen (تنقص الملائكة)</w:t>
      </w:r>
    </w:p>
    <w:p>
      <w:pPr>
        <w:pStyle w:val="BodyText"/>
      </w:pPr>
      <w:r>
        <w:t xml:space="preserve">Glauben, sie kennten das absolute Verborgene (يعلمون الغيب المطلق)</w:t>
      </w:r>
    </w:p>
    <w:p>
      <w:pPr>
        <w:pStyle w:val="BodyText"/>
      </w:pPr>
      <w:r>
        <w:t xml:space="preserve">Glauben, sie seien Töchter Allahs (أنهم بنات الله)</w:t>
      </w:r>
    </w:p>
    <w:p>
      <w:pPr>
        <w:pStyle w:val="BodyText"/>
      </w:pPr>
      <w:r>
        <w:t xml:space="preserve">Glauben, sie verdienten Anbetung (يستحقون العبادة)</w:t>
      </w:r>
    </w:p>
    <w:p>
      <w:pPr>
        <w:pStyle w:val="BodyText"/>
      </w:pPr>
      <w:r>
        <w:t xml:space="preserve">An einige glauben, an andere nicht (ببعضهم دون بعض)</w:t>
      </w:r>
    </w:p>
    <w:p>
      <w:pPr>
        <w:pStyle w:val="BodyText"/>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(mit den Sinnen) bezeugen, und sie haben kein Gegenstück (in unserer Welt); so können wir sie nur über den Weg von Buch und Sunnah erkennen.</w:t>
      </w:r>
    </w:p>
    <w:p>
      <w:pPr>
        <w:pStyle w:val="BodyText"/>
      </w:pPr>
      <w:r>
        <w:rPr>
          <w:bCs/>
          <w:b/>
        </w:rPr>
        <w:t xml:space="preserve">Und die Engel sind, wie es in Buch und Sunnah (vorkommt):</w:t>
      </w:r>
    </w:p>
    <w:p>
      <w:pPr>
        <w:numPr>
          <w:ilvl w:val="0"/>
          <w:numId w:val="1035"/>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5"/>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5"/>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„Und Unsere Gesandten kamen zu Ibrāhīm mit der frohen Botschaft. Sie sagten: Frieden! Er sagte: Friede! Und es dauerte nicht lange, da brachte er ein gebratenes Kalb. Als er aber sah, dass ihre Hände nicht danach griffen, fand er sie befremdlich" [Hūd: 69-70].</w:t>
      </w:r>
    </w:p>
    <w:p>
      <w:pPr>
        <w:numPr>
          <w:ilvl w:val="0"/>
          <w:numId w:val="1035"/>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5"/>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„von schöner Gestalt (Kraft); dann richtete er sich auf" [an-Naǧm: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„Behüte Allah! Das ist kein Mensch; das ist nur ein edler Engel" [Yūsuf: 31]; denn bei ihnen stand fest, dass die Engel von schöner Gestalt sind.</w:t>
      </w:r>
    </w:p>
    <w:p>
      <w:pPr>
        <w:numPr>
          <w:ilvl w:val="0"/>
          <w:numId w:val="1035"/>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5"/>
        </w:numPr>
        <w:pStyle w:val="Compact"/>
      </w:pPr>
      <w:r>
        <w:rPr>
          <w:bCs/>
          <w:b/>
        </w:rPr>
        <w:t xml:space="preserve">Sie kehren ein,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„Und Unsere Gesandten kamen zu Ibrāhīm mit der frohen Botschaft …" [Hūd: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„Und wenn Allah gewollt hätte, hätte Er wahrlich Engel herabgesandt" [al-Muʾminūn: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6"/>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7"/>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7"/>
        </w:numPr>
        <w:pStyle w:val="Compact"/>
      </w:pPr>
      <w:r>
        <w:rPr>
          <w:bCs/>
          <w:b/>
        </w:rPr>
        <w:t xml:space="preserve">Die dritte Kategorie:</w:t>
      </w:r>
      <w:r>
        <w:t xml:space="preserve"> </w:t>
      </w:r>
      <w:r>
        <w:t xml:space="preserve">Der Glaube an das, was wir an Werken von ihnen kennen. Die Engel – Allah</w:t>
      </w:r>
      <w:r>
        <w:t xml:space="preserve"> </w:t>
      </w:r>
      <w:r>
        <w:t xml:space="preserve">ﷻ</w:t>
      </w:r>
      <w:r>
        <w:t xml:space="preserve"> </w:t>
      </w:r>
      <w:r>
        <w:t xml:space="preserve">befahl ihnen Werke, sie widersetzen sich Allah</w:t>
      </w:r>
      <w:r>
        <w:t xml:space="preserve"> </w:t>
      </w:r>
      <w:r>
        <w:t xml:space="preserve">ﷻ</w:t>
      </w:r>
      <w:r>
        <w:t xml:space="preserve"> </w:t>
      </w:r>
      <w:r>
        <w:t xml:space="preserve">nicht in dem, was Er ihnen befiehlt, und tun, was ihnen befohlen wird. Wenn wir durch Buch und Sunnah etwas von ihren Werken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„Oder meinen sie, dass Wir ihr Geheimes und ihre vertraulichen Gespräche nicht hören? Doch! Und Unsere Gesandten sind bei ihnen und schreiben (es) auf" [az-Zuḫruf: 80] – und anderes von den Werken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Werke aufzeichnen und niederschreiben. Dies alles gehört zu den Früchten des Glaubens an die Engel.</w:t>
      </w:r>
    </w:p>
    <w:bookmarkEnd w:id="47"/>
    <w:bookmarkStart w:id="48" w:name="Xb47c1042dbef449b85bc8bb839b45af17cf4301"/>
    <w:p>
      <w:pPr>
        <w:pStyle w:val="Heading3"/>
      </w:pPr>
      <w:r>
        <w:t xml:space="preserve">Die Nullifiers (Nawāqiḍ) des Glaubens an die Engel</w:t>
      </w:r>
    </w:p>
    <w:p>
      <w:pPr>
        <w:pStyle w:val="FirstParagraph"/>
      </w:pPr>
      <w:r>
        <w:rPr>
          <w:bCs/>
          <w:b/>
        </w:rPr>
        <w:t xml:space="preserve">Der erste Nullifier: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„Sag: Wer (auch immer) Ǧibrīl feind ist – er ist es, der ihn (den Qurʾān) mit Allahs Erlaubnis auf dein Herz herabkommen ließ, das bestätigend, was vor ihm war, als Rechtleitung und frohe Botschaft für die Gläubigen" [al-Baqarah: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rPr>
          <w:bCs/>
          <w:b/>
        </w:rPr>
        <w:t xml:space="preserve">Der zweite Nullifier: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„Hat euer Herr etwa für euch die Söhne erwählt und Sich selbst unter den Engeln Töchter genommen? Ihr sagt da wahrlich ein gewaltiges Wort" [al-Isrāʾ: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„Und sie machen die Engel, die die Diener des Allerbarmers sind, zu weiblichen Wesen. Waren sie denn Zeugen ihrer Erschaffung? Ihr Zeugnis wird aufgeschrieben, und sie werden befragt werden" [az-Zuḫruf: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„Und sie sagen: Der Allerbarmer hat Sich Kinder genommen. Preis sei Ihm! Nein, vielmehr sind es geehrte Diener" [al-Anbiyāʾ: 26].</w:t>
      </w:r>
    </w:p>
    <w:p>
      <w:pPr>
        <w:pStyle w:val="BodyText"/>
      </w:pPr>
      <w:r>
        <w:rPr>
          <w:bCs/>
          <w:b/>
        </w:rPr>
        <w:t xml:space="preserve">Der dritte Nullifier: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„Und Er gebietet euch nicht, euch die Engel und die Propheten zu Herren zu nehmen. Sollte Er euch den Unglauben gebieten, nachdem ihr Muslime seid?" [Āl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Nullifier: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„Und Er lehrte Ādam die Namen alle, dann legte Er sie den Engeln vor und sagte: Teilt Mir die Namen dieser (Dinge) mit, wenn ihr wahrhaftig seid" [al-Baqarah: 31], woraufhin die Engel sagten:</w:t>
      </w:r>
      <w:r>
        <w:t xml:space="preserve"> </w:t>
      </w:r>
      <w:r>
        <w:rPr>
          <w:iCs/>
          <w:i/>
        </w:rPr>
        <w:t xml:space="preserve">﴿سُبْحَـٰنَكَ لَا عِلْمَ لَنَآ إِلَّا مَا عَلَّمْتَنَآ ۖ إِنَّكَ أَنتَ ٱلْعَلِيمُ ٱلْحَكِيمُ﴾</w:t>
      </w:r>
      <w:r>
        <w:t xml:space="preserve"> </w:t>
      </w:r>
      <w:r>
        <w:t xml:space="preserve">„Sie sagten: Preis sei Dir! Wir haben kein Wissen außer dem, was Du uns gelehrt hast. Du bist ja der Allwissende, der Allweise" [al-Baqarah: 32]; das belegt, dass sie das Verborgene nicht kennen.</w:t>
      </w:r>
    </w:p>
    <w:p>
      <w:pPr>
        <w:pStyle w:val="BodyText"/>
      </w:pPr>
      <w:r>
        <w:rPr>
          <w:bCs/>
          <w:b/>
        </w:rPr>
        <w:t xml:space="preserve">Der fünfte Nullifier: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t xml:space="preserve">۞</w:t>
      </w:r>
    </w:p>
    <w:bookmarkEnd w:id="48"/>
    <w:bookmarkEnd w:id="49"/>
    <w:bookmarkStart w:id="53" w:name="pillar-3"/>
    <w:p>
      <w:pPr>
        <w:pStyle w:val="Heading2"/>
      </w:pPr>
      <w:r>
        <w:t xml:space="preserve">3. Säule: Īmān bil-Kutub – Der Glaube an die Bücher</w:t>
      </w:r>
    </w:p>
    <w:p>
      <w:pPr>
        <w:pStyle w:val="FirstParagraph"/>
      </w:pPr>
      <w:r>
        <w:t xml:space="preserve">Abb. 8 — Der Glaube an die Bücher (الإيمان بالكتب)</w:t>
      </w:r>
    </w:p>
    <w:p>
      <w:pPr>
        <w:pStyle w:val="BodyText"/>
      </w:pPr>
      <w:r>
        <w:t xml:space="preserve">الإيمان بالكتب</w:t>
      </w:r>
      <w:r>
        <w:t xml:space="preserve">Der Glaube an die Bücher</w:t>
      </w:r>
    </w:p>
    <w:p>
      <w:pPr>
        <w:pStyle w:val="BodyText"/>
      </w:pPr>
      <w:r>
        <w:t xml:space="preserve">▼</w:t>
      </w:r>
    </w:p>
    <w:p>
      <w:pPr>
        <w:pStyle w:val="BodyText"/>
      </w:pPr>
      <w:r>
        <w:t xml:space="preserve">الإيمان المجمل</w:t>
      </w:r>
      <w:r>
        <w:t xml:space="preserve">Der allgemeine Glaube</w:t>
      </w:r>
      <w:r>
        <w:t xml:space="preserve">Glaube an jedes Buch, das Allah herabsandte</w:t>
      </w:r>
    </w:p>
    <w:p>
      <w:pPr>
        <w:pStyle w:val="BodyText"/>
      </w:pPr>
      <w:r>
        <w:t xml:space="preserve">Es sind jene, die die Rede Allahs enthielten, die Er auf Seine Gesandten herabsandte</w:t>
      </w:r>
    </w:p>
    <w:p>
      <w:pPr>
        <w:pStyle w:val="BodyText"/>
      </w:pPr>
      <w:r>
        <w:t xml:space="preserve">الإيمان المفصل</w:t>
      </w:r>
      <w:r>
        <w:t xml:space="preserve">Der detaillierte Glaube</w:t>
      </w:r>
      <w:r>
        <w:t xml:space="preserve">Glaube an ihre Namen · Anerkennung · Befolgung dessen, was im Qurʾān steht</w:t>
      </w:r>
    </w:p>
    <w:p>
      <w:pPr>
        <w:pStyle w:val="BodyText"/>
      </w:pPr>
      <w:r>
        <w:t xml:space="preserve">نواقض الإيمان بالكتب — Nullifiers</w:t>
      </w:r>
    </w:p>
    <w:p>
      <w:pPr>
        <w:pStyle w:val="BodyText"/>
      </w:pPr>
      <w:r>
        <w:t xml:space="preserve">Glauben, sie enthielten verfälschte Rede</w:t>
      </w:r>
    </w:p>
    <w:p>
      <w:pPr>
        <w:pStyle w:val="BodyText"/>
      </w:pPr>
      <w:r>
        <w:t xml:space="preserve">Glauben, der Qurʾān sei verfälscht oder unvollständig</w:t>
      </w:r>
    </w:p>
    <w:p>
      <w:pPr>
        <w:pStyle w:val="BodyText"/>
      </w:pPr>
      <w:r>
        <w:t xml:space="preserve">Nicht-Richten nach Allahs Buch aus Abwendung oder Verweigerung</w:t>
      </w:r>
    </w:p>
    <w:p>
      <w:pPr>
        <w:pStyle w:val="BodyText"/>
      </w:pPr>
      <w:r>
        <w:t xml:space="preserve">An einige glauben, an andere nicht</w:t>
      </w:r>
    </w:p>
    <w:p>
      <w:pPr>
        <w:pStyle w:val="BodyText"/>
      </w:pPr>
      <w:r>
        <w:t xml:space="preserve">خصائص القرآن — Besonderheiten des Qurʾān</w:t>
      </w:r>
    </w:p>
    <w:p>
      <w:pPr>
        <w:pStyle w:val="BodyText"/>
      </w:pPr>
      <w:r>
        <w:t xml:space="preserve">stückweise herabgesandt (munaǧǧam)</w:t>
      </w:r>
    </w:p>
    <w:p>
      <w:pPr>
        <w:pStyle w:val="BodyText"/>
      </w:pPr>
      <w:r>
        <w:t xml:space="preserve">bleibendes Wunder (muʿǧizah bāqiyah)</w:t>
      </w:r>
    </w:p>
    <w:p>
      <w:pPr>
        <w:pStyle w:val="BodyText"/>
      </w:pPr>
      <w:r>
        <w:t xml:space="preserve">Wächter über die Bücher (muhaymin)</w:t>
      </w:r>
    </w:p>
    <w:p>
      <w:pPr>
        <w:pStyle w:val="BodyText"/>
      </w:pPr>
      <w:r>
        <w:t xml:space="preserve">bewahrt (maḥfūẓ)</w:t>
      </w:r>
    </w:p>
    <w:p>
      <w:pPr>
        <w:pStyle w:val="BodyText"/>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„Begehrt ihr denn, dass sie euch glauben, wo doch eine Gruppe von ihnen das Wort Allahs hörte und es dann, nachdem sie es begriffen hatten, wissentlich verfälschte?" [al-Baqarah: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„Und sag: Ich glaube an das, was Allah an Buch herabgesandt hat" [aš-Šūrā: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8"/>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„Wahrlich, Wir sandten die Tawrāh herab, in der Rechtleitung und Licht sind" [al-Māʾidah: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„Und Wir gaben ihm (ʿĪsā) das Inǧīl" [al-Ḥadīd: 27]. Und der Zabūr, wie Allah, der Erhabene, sagt:</w:t>
      </w:r>
      <w:r>
        <w:t xml:space="preserve"> </w:t>
      </w:r>
      <w:r>
        <w:rPr>
          <w:iCs/>
          <w:i/>
        </w:rPr>
        <w:t xml:space="preserve">﴿وَءَاتَيْنَا دَاوُۥدَ زَبُورًا﴾</w:t>
      </w:r>
      <w:r>
        <w:t xml:space="preserve"> </w:t>
      </w:r>
      <w:r>
        <w:t xml:space="preserve">„Und Wir gaben Dāwūd einen Zabūr (Psalter)" [an-Nisāʾ: 163]. Und die Blätter Ibrāhīms und Mūsās (Ṣuḥuf Ibrāhīm wa-Mūsā), wie Allah, der Erhabene, sagt:</w:t>
      </w:r>
      <w:r>
        <w:t xml:space="preserve"> </w:t>
      </w:r>
      <w:r>
        <w:rPr>
          <w:iCs/>
          <w:i/>
        </w:rPr>
        <w:t xml:space="preserve">﴿صُحُفِ إِبْرَٰهِيمَ وَمُوسَىٰ﴾</w:t>
      </w:r>
      <w:r>
        <w:t xml:space="preserve"> </w:t>
      </w:r>
      <w:r>
        <w:t xml:space="preserve">„die Blätter Ibrāhīms und Mūsās" [al-Aʿlā: 19].</w:t>
      </w:r>
    </w:p>
    <w:p>
      <w:pPr>
        <w:numPr>
          <w:ilvl w:val="0"/>
          <w:numId w:val="1038"/>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8"/>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326f67497765ad03e18ff435a9e2f10366d53a1"/>
    <w:p>
      <w:pPr>
        <w:pStyle w:val="Heading3"/>
      </w:pPr>
      <w:r>
        <w:t xml:space="preserve">Die Nullifiers (Nawāqiḍ) des Glaubens an die Bücher</w:t>
      </w:r>
    </w:p>
    <w:p>
      <w:pPr>
        <w:pStyle w:val="FirstParagraph"/>
      </w:pPr>
      <w:r>
        <w:rPr>
          <w:bCs/>
          <w:b/>
        </w:rPr>
        <w:t xml:space="preserve">Der erste Nullifier: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„Und wenn zu ihnen gesagt wird: Glaubt an das, was Allah herabgesandt hat, sagen sie: Wir glauben an das, was auf uns herabgesandt wurde, und verleugnen das, was danach kam, obwohl es die Wahrheit ist, das bestätigend, was ihnen vorliegt" [al-Baqarah: 91].</w:t>
      </w:r>
    </w:p>
    <w:p>
      <w:pPr>
        <w:pStyle w:val="BodyText"/>
      </w:pPr>
      <w:r>
        <w:rPr>
          <w:bCs/>
          <w:b/>
        </w:rPr>
        <w:t xml:space="preserve">Der zweite Nullifier: Das Nicht-Richten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Nullifiers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„Und wenn zu ihnen gesagt wird: Kommt her zu dem, was Allah herabgesandt hat, und zum Gesandten, siehst du die Heuchler sich entschieden von dir abwenden" [an-Nisāʾ: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Nullifier: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„Wahrlich, Wir sind es, die Wir die Ermahnung (den Qurʾān) herabgesandt haben, und Wir werden wahrlich ihr Hüter sein" [al-Ḥiǧr: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Wer also glaubt, der Qurʾān sei verfälscht oder unvollständig, ist mit einem der Nullifiers des Glaubens an die Bücher gekommen.</w:t>
      </w:r>
    </w:p>
    <w:p>
      <w:pPr>
        <w:pStyle w:val="BodyText"/>
      </w:pPr>
      <w:r>
        <w:rPr>
          <w:bCs/>
          <w:b/>
        </w:rPr>
        <w:t xml:space="preserve">Der vierte Nullifier: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„Und einen Qurʾān haben Wir in Abschnitte geteilt, damit du ihn den Menschen in Abständen vorträgst; und Wir sandten ihn nach und nach herab" [al-Isrāʾ: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„So (geschieht es), damit Wir dein Herz damit festigen; und Wir haben ihn wohlgeordnet vorgetragen" [al-Furqān: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„Segensreich ist Der, der Seinem Diener die Unterscheidung (al-Furqān) herabgesandt hat, damit er den Weltenbewohnern ein Warner sei" [al-Furqān: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„Und Wir haben zu dir das Buch mit der Wahrheit herabgesandt, das bestätigend, was von dem Buch vor ihm war, und als Wächter darüber" [al-Māʾidah: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„Wahrlich, Wir sind es, die Wir die Ermahnung herabgesandt haben, und Wir werden wahrlich ihr Hüter sein" [al-Ḥiǧr: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„Wahrlich, Wir sandten die Tawrāh herab, in der Rechtleitung und Licht sind; nach ihr richteten die Propheten, die sich (Allah) ergeben hatten, für die Juden, ebenso die Gottesgelehrten und die Rabbiner, gemäß dem, was ihnen vom Buch Allahs anvertraut worden war und dessen Zeugen sie waren" [al-Māʾidah: 44].</w:t>
      </w:r>
    </w:p>
    <w:p>
      <w:pPr>
        <w:pStyle w:val="BodyText"/>
      </w:pPr>
      <w:r>
        <w:t xml:space="preserve">۞</w:t>
      </w:r>
    </w:p>
    <w:bookmarkEnd w:id="52"/>
    <w:bookmarkEnd w:id="53"/>
    <w:bookmarkStart w:id="58" w:name="pillar-4"/>
    <w:p>
      <w:pPr>
        <w:pStyle w:val="Heading2"/>
      </w:pPr>
      <w:r>
        <w:t xml:space="preserve">4. Säule: Īmān bir-Rusul – Der Glaube an die Gesandten</w:t>
      </w:r>
    </w:p>
    <w:p>
      <w:pPr>
        <w:pStyle w:val="FirstParagraph"/>
      </w:pPr>
      <w:r>
        <w:t xml:space="preserve">Abb. 9 — Der Glaube an die Gesandten (الإيمان بالرسل)</w:t>
      </w:r>
    </w:p>
    <w:p>
      <w:pPr>
        <w:pStyle w:val="BodyText"/>
      </w:pPr>
      <w:r>
        <w:t xml:space="preserve">الإيمان بالرسل</w:t>
      </w:r>
      <w:r>
        <w:t xml:space="preserve">Der Glaube an die Gesandten</w:t>
      </w:r>
    </w:p>
    <w:p>
      <w:pPr>
        <w:pStyle w:val="BodyText"/>
      </w:pPr>
      <w:r>
        <w:t xml:space="preserve">▼</w:t>
      </w:r>
    </w:p>
    <w:p>
      <w:pPr>
        <w:pStyle w:val="BodyText"/>
      </w:pPr>
      <w:r>
        <w:t xml:space="preserve">الإيمان المجمل</w:t>
      </w:r>
      <w:r>
        <w:t xml:space="preserve">Der allgemeine Glaube</w:t>
      </w:r>
      <w:r>
        <w:t xml:space="preserve">Glaube an jeden Gesandten und Propheten</w:t>
      </w:r>
    </w:p>
    <w:p>
      <w:pPr>
        <w:pStyle w:val="BodyText"/>
      </w:pPr>
      <w:r>
        <w:t xml:space="preserve">Sie sind jene, denen ein Gesetz (Šarʿ) zur Verkündung offenbart wurde</w:t>
      </w:r>
    </w:p>
    <w:p>
      <w:pPr>
        <w:pStyle w:val="BodyText"/>
      </w:pPr>
      <w:r>
        <w:t xml:space="preserve">الإيمان المفصل</w:t>
      </w:r>
      <w:r>
        <w:t xml:space="preserve">Der detaillierte Glaube</w:t>
      </w:r>
      <w:r>
        <w:t xml:space="preserve">Glaube an ihre Namen · Anerkennung · Befolgung dessen, was unser Prophet brachte</w:t>
      </w:r>
    </w:p>
    <w:p>
      <w:pPr>
        <w:pStyle w:val="BodyText"/>
      </w:pPr>
      <w:r>
        <w:t xml:space="preserve">نواقض الإيمان بالرسل — Nullifiers</w:t>
      </w:r>
    </w:p>
    <w:p>
      <w:pPr>
        <w:pStyle w:val="BodyText"/>
      </w:pPr>
      <w:r>
        <w:t xml:space="preserve">Sie herabwürdigen oder schmähen</w:t>
      </w:r>
    </w:p>
    <w:p>
      <w:pPr>
        <w:pStyle w:val="BodyText"/>
      </w:pPr>
      <w:r>
        <w:t xml:space="preserve">Glauben, sie kennten das absolute Verborgene</w:t>
      </w:r>
    </w:p>
    <w:p>
      <w:pPr>
        <w:pStyle w:val="BodyText"/>
      </w:pPr>
      <w:r>
        <w:t xml:space="preserve">Glauben, sie hätten etwas von den Eigenheiten der Rubūbiyyah/Ulūhiyyah</w:t>
      </w:r>
    </w:p>
    <w:p>
      <w:pPr>
        <w:pStyle w:val="BodyText"/>
      </w:pPr>
      <w:r>
        <w:t xml:space="preserve">Richten nach anderen als den Gesandten</w:t>
      </w:r>
    </w:p>
    <w:p>
      <w:pPr>
        <w:pStyle w:val="BodyText"/>
      </w:pPr>
      <w:r>
        <w:t xml:space="preserve">An einige glauben, an andere nicht</w:t>
      </w:r>
    </w:p>
    <w:p>
      <w:pPr>
        <w:pStyle w:val="BodyText"/>
      </w:pPr>
      <w:r>
        <w:t xml:space="preserve">خصائص الرسل / خصائص النبي ﷺ</w:t>
      </w:r>
    </w:p>
    <w:p>
      <w:pPr>
        <w:pStyle w:val="BodyText"/>
      </w:pPr>
      <w:r>
        <w:t xml:space="preserve">Eigenheiten der Gesandten</w:t>
      </w:r>
      <w:r>
        <w:t xml:space="preserve">Offenbarung (Waḥy) · Unfehlbarkeit (ʿIṣmah) · ihre Augen schlafen, nicht ihre Herzen · die Erde verzehrt ihre Körper nicht · lebendig in ihren Gräbern, betend</w:t>
      </w:r>
    </w:p>
    <w:p>
      <w:pPr>
        <w:pStyle w:val="BodyText"/>
      </w:pPr>
      <w:r>
        <w:t xml:space="preserve">Eigenheiten des Propheten ﷺ</w:t>
      </w:r>
      <w:r>
        <w:t xml:space="preserve">der beste der Propheten · gesandt zu den beiden Lasten · die große Fürsprache · die umfassenden Worte (Ǧawāmiʿ al-Kalim) · mit ihm wurde das Prophetentum versiegelt</w:t>
      </w:r>
    </w:p>
    <w:p>
      <w:pPr>
        <w:pStyle w:val="BodyText"/>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„Und diejenigen, die an Allah und Seine Gesandten glauben und zwischen keinem von ihnen einen Unterschied machen – jenen wird Er ihren Lohn geben. Und Allah ist Allvergebend, Barmherzig" [an-Nisāʾ: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9"/>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9"/>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9"/>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c0fc7d8861eeded0a3ea87b7c8bd120b21c9cd"/>
    <w:p>
      <w:pPr>
        <w:pStyle w:val="Heading3"/>
      </w:pPr>
      <w:r>
        <w:t xml:space="preserve">Die Nullifiers (Nawāqiḍ) des Glaubens an die Gesandten</w:t>
      </w:r>
    </w:p>
    <w:p>
      <w:pPr>
        <w:pStyle w:val="FirstParagraph"/>
      </w:pPr>
      <w:r>
        <w:rPr>
          <w:bCs/>
          <w:b/>
        </w:rPr>
        <w:t xml:space="preserve">Der erste Nullifier: Der Glaube an einige Gesandte unter Ausschluss anderer.</w:t>
      </w:r>
      <w:r>
        <w:t xml:space="preserve"> </w:t>
      </w:r>
      <w:r>
        <w:t xml:space="preserve">Wer an einige Gesandte glaubt und an andere nicht, hat einen der Nullifiers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„Diejenigen, die Allah und Seine Gesandten verleugnen und zwischen Allah und Seinen Gesandten einen Unterschied machen wollen und sagen: Wir glauben an einige und verleugnen andere, und dazwischen einen Weg einschlagen wollen – das sind die wahren Ungläubigen. Und für die Ungläubigen haben Wir eine schmachvolle Strafe bereitet" [an-Nisāʾ: 150-151]; wer also zwischen den Gesandten im Glauben trennt, ist ein Ungläubiger.</w:t>
      </w:r>
    </w:p>
    <w:p>
      <w:pPr>
        <w:pStyle w:val="BodyText"/>
      </w:pPr>
      <w:r>
        <w:rPr>
          <w:bCs/>
          <w:b/>
        </w:rPr>
        <w:t xml:space="preserve">Der zweite Nullifier: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Nullifier: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„Fürwahr, ungläubig sind diejenigen, die sagen: Allah ist der Messias, der Sohn Maryams. Sag: Wer vermöchte gegen Allah etwas (auszurichten), wenn Er den Messias, den Sohn Maryams, seine Mutter und alle, die auf der Erde sind, vernichten wollte?" [al-Māʾidah: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„Der Messias, der Sohn Maryams, ist nur ein Gesandter, vor dem bereits Gesandte dahingegangen sind. Und seine Mutter war eine Wahrhaftige; beide pflegten Speise zu essen. Schau, wie Wir ihnen die Zeichen klarmachen, und dann schau, wie sie sich abwenden lassen" [al-Māʾidah: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„Und Wir sandten vor dir keine Gesandten, ohne dass sie Speise aßen und auf den Märkten umhergingen" [al-Furqān: 20]. Und Allah befahl den Gesandten zu sagen:</w:t>
      </w:r>
      <w:r>
        <w:t xml:space="preserve"> </w:t>
      </w:r>
      <w:r>
        <w:rPr>
          <w:iCs/>
          <w:i/>
        </w:rPr>
        <w:t xml:space="preserve">﴿إِنَّمَآ أَنَا۠ بَشَرٌ مِّثْلُكُمْ يُوحَىٰٓ إِلَىَّ أَنَّمَآ إِلَـٰهُكُمْ إِلَـٰهٌ وَٰحِدٌ﴾</w:t>
      </w:r>
      <w:r>
        <w:t xml:space="preserve"> </w:t>
      </w:r>
      <w:r>
        <w:t xml:space="preserve">„Ich bin nur ein Mensch wie ihr; mir wird (als Offenbarung) eingegeben, dass euer Gott nur ein einziger Gott ist" [al-Kahf: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Nullifier: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„Sag: Ich vermag mir selbst weder Nutzen noch Schaden (zu verschaffen), außer was Allah will. Wenn ich das Verborgene kennte, würde ich mir viel Gutes verschaffen, und Übles würde mir nicht widerfahren. Ich bin nur ein Warner und ein Freudenbote für Leute, die glauben" [al-Aʿrāf: 188]. Das belegt, dass die Propheten das Verborgene nicht kennen; wer glaubt, sie kennten das Verborgene, hat seinen Glauben an die Gesandten zunichtegemacht.</w:t>
      </w:r>
    </w:p>
    <w:p>
      <w:pPr>
        <w:pStyle w:val="BodyText"/>
      </w:pPr>
      <w:r>
        <w:rPr>
          <w:bCs/>
          <w:b/>
        </w:rPr>
        <w:t xml:space="preserve">Der fünfte Nullifier: Das Herabwürdigen der Gesandten und das Geringschätzen ihrer oder das Schmähen (sabb) ihrer.</w:t>
      </w:r>
      <w:r>
        <w:t xml:space="preserve"> </w:t>
      </w:r>
      <w:r>
        <w:t xml:space="preserve">Wer die Gesandten schmäht oder herabwürdigt, ist mit einem der Nullifiers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„Wahrlich, diejenigen, die Allah und Seinen Gesandten Leid zufügen – Allah verflucht sie im Diesseits und Jenseits, und Er hat für sie eine schmachvolle Strafe bereitet" [al-Aḥzāb: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„Sag: Ich bin nur ein Mensch wie ihr; mir wird (als Offenbarung) eingegeben, dass euer Gott nur ein einziger Gott ist" [al-Kahf: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„Wer dem Gesandten gehorcht, der gehorcht (damit) Allah" [an-Nisāʾ: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„Das sind die Gesandten; Wir haben die einen von ihnen vor den anderen bevorzugt" [al-Baqarah: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den beiden Lasten (aṯ-ṯaqalān): den Dschinn und den Menschen,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„Und Wir haben dich nur als Bringer froher Botschaft und als Warner für alle Menschen gesandt; aber die meisten Menschen wissen nicht" [Sabaʾ: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„Und (gedenke,) als Wir eine kleine Schar Dschinn zu dir lenkten, die dem Qurʾān zuhörten. Als sie ihm beiwohnten, sagten sie: Seid still! Als er dann zu Ende war, kehrten sie zu ihrem Volk zurück, um zu warnen. Sie sagten: O unser Volk, wir haben ein Buch gehört, das nach Mūsā herabgesandt wurde, das bestätigend, was vor ihm war, und das zur Wahrheit und zu einem geraden Weg leitet. O unser Volk, erhört den Rufer Allahs und glaubt an ihn, so vergibt Er euch (etwas) von euren Sünden und schützt euch vor einer schmerzhaften Strafe. Und wer den Rufer Allahs nicht erhört, kann sich (Ihm) auf der Erde nicht entziehen, und er hat außer Ihm keine Beschützer. Jene befinden sich in deutlichem Irrtum" [al-Aḥqāf: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„Vielleicht wird dein Herr dich zu einer lobenswerten Stätte erwecken" [al-Isrāʾ: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„Muḥammad ist nicht der Vater irgendeines eurer Männer, sondern der Gesandte Allahs und das Siegel der Propheten. Und Allah ist über alles Wissend" [al-Aḥzāb: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Īmān bil-Yawm al-Ākhir – Der Glaube an den Jüngsten Tag</w:t>
      </w:r>
    </w:p>
    <w:p>
      <w:pPr>
        <w:pStyle w:val="FirstParagraph"/>
      </w:pPr>
      <w:r>
        <w:t xml:space="preserve">Abb. 10 — Der Glaube an den Jüngsten Tag (الإيمان باليوم الآخر)</w:t>
      </w:r>
    </w:p>
    <w:p>
      <w:pPr>
        <w:pStyle w:val="BodyText"/>
      </w:pPr>
      <w:r>
        <w:t xml:space="preserve">الإيمان باليوم الآخر</w:t>
      </w:r>
      <w:r>
        <w:t xml:space="preserve">Der Glaube an den Jüngsten Tag</w:t>
      </w:r>
    </w:p>
    <w:p>
      <w:pPr>
        <w:pStyle w:val="BodyText"/>
      </w:pPr>
      <w:r>
        <w:t xml:space="preserve">▼</w:t>
      </w:r>
    </w:p>
    <w:p>
      <w:pPr>
        <w:pStyle w:val="BodyText"/>
      </w:pPr>
      <w:r>
        <w:t xml:space="preserve">الإيمان المجمل</w:t>
      </w:r>
      <w:r>
        <w:t xml:space="preserve">Der allgemeine Glaube</w:t>
      </w:r>
      <w:r>
        <w:t xml:space="preserve">Glaube, dass es einen Tag gibt, an dem Allah die Schöpfung auferweckt und für ihre Werke vergilt</w:t>
      </w:r>
    </w:p>
    <w:p>
      <w:pPr>
        <w:pStyle w:val="BodyText"/>
      </w:pPr>
      <w:r>
        <w:t xml:space="preserve">Alles, was nach dem Tod geschieht (ما يكون بعد الموت)</w:t>
      </w:r>
    </w:p>
    <w:p>
      <w:pPr>
        <w:pStyle w:val="BodyText"/>
      </w:pPr>
      <w:r>
        <w:t xml:space="preserve">الإيمان المفصل</w:t>
      </w:r>
      <w:r>
        <w:t xml:space="preserve">Der detaillierte Glaube</w:t>
      </w:r>
    </w:p>
    <w:p>
      <w:pPr>
        <w:numPr>
          <w:ilvl w:val="0"/>
          <w:numId w:val="1040"/>
        </w:numPr>
        <w:pStyle w:val="Compact"/>
      </w:pPr>
      <w:r>
        <w:rPr>
          <w:bCs/>
          <w:b/>
        </w:rPr>
        <w:t xml:space="preserve">Barzaḫ-Leben:</w:t>
      </w:r>
      <w:r>
        <w:t xml:space="preserve"> </w:t>
      </w:r>
      <w:r>
        <w:t xml:space="preserve">Prüfung im Grab · Strafe/Wonne des Grabes · Stoß ins Horn</w:t>
      </w:r>
    </w:p>
    <w:p>
      <w:pPr>
        <w:numPr>
          <w:ilvl w:val="0"/>
          <w:numId w:val="1040"/>
        </w:numPr>
        <w:pStyle w:val="Compact"/>
      </w:pPr>
      <w:r>
        <w:rPr>
          <w:bCs/>
          <w:b/>
        </w:rPr>
        <w:t xml:space="preserve">Jenseits-Leben:</w:t>
      </w:r>
      <w:r>
        <w:t xml:space="preserve"> </w:t>
      </w:r>
      <w:r>
        <w:t xml:space="preserve">Auferstehung · Versammlung · Fürsprache · Austeilung der Bücher · Abrechnung · Wägung · Becken · Brücke · Übergang · Paradies und Hölle</w:t>
      </w:r>
    </w:p>
    <w:p>
      <w:pPr>
        <w:pStyle w:val="FirstParagraph"/>
      </w:pPr>
      <w:r>
        <w:t xml:space="preserve">نواقض الإيمان باليوم الآخر — Nullifiers</w:t>
      </w:r>
    </w:p>
    <w:p>
      <w:pPr>
        <w:pStyle w:val="BodyText"/>
      </w:pPr>
      <w:r>
        <w:t xml:space="preserve">Umdeutung des Jüngsten Tages (تأويله)</w:t>
      </w:r>
    </w:p>
    <w:p>
      <w:pPr>
        <w:pStyle w:val="BodyText"/>
      </w:pPr>
      <w:r>
        <w:t xml:space="preserve">Leugnen und Verleugnen (إنكاره وجحده)</w:t>
      </w:r>
    </w:p>
    <w:p>
      <w:pPr>
        <w:pStyle w:val="BodyText"/>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„Und es wird gesagt: Heute vergessen Wir euch, so wie ihr die Begegnung mit diesem eurem Tag vergessen habt; und eure Zuflucht ist das Feuer, und ihr habt keine Helfer" [al-Ǧāṯiyah: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Werke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41"/>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41"/>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„Und die Leute Firʿawns umschloss die böse Strafe: das Feuer, dem sie morgens und abends vorgeführt werden. Und am Tag, da die Stunde anbricht (, wird gesagt): Lasst die Leute Firʿawns in die härteste Strafe eingehen!" [Ġāfir: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„Und es wird ins Horn geblasen, und da fallen alle, die in den Himmeln und auf der Erde sind, tot nieder, außer wem Allah will. Hierauf wird ein weiteres Mal hineingeblasen, und da stehen sie sogleich auf und schauen" [az-Zumar: 68].</w:t>
      </w:r>
    </w:p>
    <w:p>
      <w:pPr>
        <w:pStyle w:val="BodyText"/>
      </w:pPr>
      <w:r>
        <w:rPr>
          <w:bCs/>
          <w:b/>
        </w:rPr>
        <w:t xml:space="preserve">Es sind zwei Stöße:</w:t>
      </w:r>
    </w:p>
    <w:p>
      <w:pPr>
        <w:numPr>
          <w:ilvl w:val="0"/>
          <w:numId w:val="1042"/>
        </w:numPr>
        <w:pStyle w:val="Compact"/>
      </w:pPr>
      <w:r>
        <w:t xml:space="preserve">Der Stoß des Schreckens und des Todes (nafḫat al-fazaʿ waṣ-ṣaʿq).</w:t>
      </w:r>
    </w:p>
    <w:p>
      <w:pPr>
        <w:numPr>
          <w:ilvl w:val="0"/>
          <w:numId w:val="1042"/>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„Diejenigen, die ungläubig sind, behaupten, dass sie nicht auferweckt werden. Sag: Doch, bei meinem Herrn, ihr werdet ganz gewiss auferweckt werden; hierauf wird euch ganz gewiss kundgetan, was ihr getan habt. Und dies ist Allah ein Leichtes" [at-Taġābun: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43"/>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„Und Wir versammeln sie am Tag der Auferstehung auf ihren Gesichtern, blind, stumm und taub; ihre Zuflucht ist die Hölle. Jedes Mal, wenn sie schwächer wird, mehren Wir ihnen die Feuerglut" [al-Isrāʾ: 97] – wir suchen Zuflucht bei Allah vor dem Im-Stich-gelassen-Werden.</w:t>
      </w:r>
    </w:p>
    <w:p>
      <w:pPr>
        <w:numPr>
          <w:ilvl w:val="0"/>
          <w:numId w:val="1043"/>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„Am Tag, da Wir die Gottesfürchtigen als (geehrte) Abordnung zum Allerbarmer versammeln" [Maryam: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 anderes Land als unser Land:</w:t>
      </w:r>
      <w:r>
        <w:t xml:space="preserve"> </w:t>
      </w:r>
      <w:r>
        <w:rPr>
          <w:iCs/>
          <w:i/>
        </w:rPr>
        <w:t xml:space="preserve">﴿يَوْمَ تُبَدَّلُ ٱلْأَرْضُ غَيْرَ ٱلْأَرْضِ وَٱلسَّمَـٰوَٰتُ ۖ وَبَرَزُوا۟ لِلَّهِ ٱلْوَٰحِدِ ٱلْقَهَّارِ﴾</w:t>
      </w:r>
      <w:r>
        <w:t xml:space="preserve"> </w:t>
      </w:r>
      <w:r>
        <w:t xml:space="preserve">„Am Tag, da die Erde durch eine andere Erde ausgewechselt wird, und (auch) die Himmel; und sie vor Allah, den Einen, den Allbezwinger, hintreten" [Ibrāhīm: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„und wenn die wilden Tiere versammelt werden" [at-Takwīr: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Werke der Kinder Ādams aufgeschrieben sind. Der eine nimmt sein Buch mit seiner Rechten, der andere nimmt sein Buch mit seiner Linken hinter seinem Rücken.</w:t>
      </w:r>
    </w:p>
    <w:p>
      <w:pPr>
        <w:numPr>
          <w:ilvl w:val="0"/>
          <w:numId w:val="1044"/>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„Nehmt, lest mein Buch! Ich habe ja damit gerechnet, dass ich meiner Abrechnung begegnen werde" [al-Ḥāqqah: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„So wird er in einem zufriedenen Leben sein, in einem hoch gelegenen Garten, dessen Früchte nahe (erreichbar) sind. Esst und trinkt als wohlbekömmlich für das, was ihr in den vergangenen Tagen vorausgeschickt habt" [al-Ḥāqqah: 21-24].</w:t>
      </w:r>
    </w:p>
    <w:p>
      <w:pPr>
        <w:numPr>
          <w:ilvl w:val="0"/>
          <w:numId w:val="1044"/>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„O wäre mir mein Buch doch nicht gegeben worden, und wüsste ich nicht, was meine Abrechnung ist! O wäre sie (der Tod) doch das Ende gewesen! Mein Besitz hat mir nichts genützt, dahingeschwunden ist meine Macht" [al-Ḥāqqah: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„Ergreift ihn und fesselt ihn, hierauf setzt ihn dem Höllenbrand aus, hierauf steckt ihn in eine Kette, deren Länge siebzig Ellen ist" [al-Ḥāqqah: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Werke, damit ihnen dafür vergolten wird.</w:t>
      </w:r>
    </w:p>
    <w:p>
      <w:pPr>
        <w:pStyle w:val="BodyText"/>
      </w:pPr>
      <w:r>
        <w:rPr>
          <w:bCs/>
          <w:b/>
        </w:rPr>
        <w:t xml:space="preserve">Die Abrechnung ist zweierlei:</w:t>
      </w:r>
    </w:p>
    <w:p>
      <w:pPr>
        <w:numPr>
          <w:ilvl w:val="0"/>
          <w:numId w:val="1045"/>
        </w:numPr>
        <w:pStyle w:val="Compact"/>
      </w:pPr>
      <w:r>
        <w:rPr>
          <w:bCs/>
          <w:b/>
        </w:rPr>
        <w:t xml:space="preserve">Eine leichte Abrechnung (ḥisāb yasīr)</w:t>
      </w:r>
      <w:r>
        <w:t xml:space="preserve"> </w:t>
      </w:r>
      <w:r>
        <w:t xml:space="preserve">– das ist die (bloße) Vorlage (al-ʿarḍ).</w:t>
      </w:r>
    </w:p>
    <w:p>
      <w:pPr>
        <w:numPr>
          <w:ilvl w:val="0"/>
          <w:numId w:val="1045"/>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Werke;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Werke und die Bücher gewogen, und ebenso wird der Diener selbst gewogen. Bei der Wägung der Werke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„Das Wägen erfolgt an jenem Tag der Wahrheit (entsprechend). Wessen Waagschalen schwer sind, das sind die Erfolgreichen. Wessen Waagschalen aber leicht sind, das sind diejenigen, die ihre Seelen verloren haben dafür, dass sie an Unseren Zeichen Unrecht zu tun pflegten" [al-Aʿrāf: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dem Rücken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Werke:</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„Und Wir nehmen weg, was in ihren Herzen an Groll ist – als Brüder (liegen sie) auf Ruhebetten einander gegenüber" [al-Ḥiǧr: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„(Manche) Gesichter werden an jenem Tag strahlend sein, zu ihrem Herrn schauend" [al-Qiyāmah: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6"/>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„Und beeilt euch um Vergebung von eurem Herrn und (um) einen (Paradies-)Garten, dessen Breite (die) der Himmel und der Erde ist, bereitet für die Gottesfürchtigen" [Āl ʿImrān: 133], und über die Hölle:</w:t>
      </w:r>
      <w:r>
        <w:t xml:space="preserve"> </w:t>
      </w:r>
      <w:r>
        <w:rPr>
          <w:iCs/>
          <w:i/>
        </w:rPr>
        <w:t xml:space="preserve">﴿وَٱتَّقُوا۟ ٱلنَّارَ ٱلَّتِىٓ أُعِدَّتْ لِلْكَـٰفِرِينَ﴾</w:t>
      </w:r>
      <w:r>
        <w:t xml:space="preserve"> </w:t>
      </w:r>
      <w:r>
        <w:t xml:space="preserve">„Und hütet euch vor dem Feuer, das für die Ungläubigen bereitet ist" [Āl ʿImrān: 131] – das heißt: dass sie schon bereitet und fertiggestellt sind.</w:t>
      </w:r>
    </w:p>
    <w:p>
      <w:pPr>
        <w:numPr>
          <w:ilvl w:val="0"/>
          <w:numId w:val="1046"/>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„Und diejenigen, die glauben und rechtschaffene Werke tun, werden Wir in Gärten eingehen lassen, durcheilt von Bächen, ewig und auf immer darin zu bleiben; darin haben sie gereinigte Gattinnen; und Wir lassen sie in beständigen Schatten eingehen" [an-Nisāʾ: 57]. Und Er, der Erhabene, sagt (über die Früchte des Paradieses):</w:t>
      </w:r>
      <w:r>
        <w:t xml:space="preserve"> </w:t>
      </w:r>
      <w:r>
        <w:rPr>
          <w:iCs/>
          <w:i/>
        </w:rPr>
        <w:t xml:space="preserve">﴿لَّا مَقْطُوعَةٍ وَلَا مَمْنُوعَةٍ﴾</w:t>
      </w:r>
      <w:r>
        <w:t xml:space="preserve"> </w:t>
      </w:r>
      <w:r>
        <w:t xml:space="preserve">„die weder aufhören noch verwehrt sind" [al-Wāqiʿah: 33]. Und Er, der Erhabene, sagt (über die Leute des Feuers):</w:t>
      </w:r>
      <w:r>
        <w:t xml:space="preserve"> </w:t>
      </w:r>
      <w:r>
        <w:rPr>
          <w:iCs/>
          <w:i/>
        </w:rPr>
        <w:t xml:space="preserve">﴿وَمَا هُم بِخَـٰرِجِينَ مِنَ ٱلنَّارِ﴾</w:t>
      </w:r>
      <w:r>
        <w:t xml:space="preserve"> </w:t>
      </w:r>
      <w:r>
        <w:t xml:space="preserve">„und sie werden das Feuer nicht verlassen" [al-Baqarah: 167].</w:t>
      </w:r>
    </w:p>
    <w:bookmarkEnd w:id="69"/>
    <w:bookmarkEnd w:id="70"/>
    <w:bookmarkStart w:id="71" w:name="X1e2bd03af701b00803bea7182624acf4704ff08"/>
    <w:p>
      <w:pPr>
        <w:pStyle w:val="Heading3"/>
      </w:pPr>
      <w:r>
        <w:t xml:space="preserve">Die Nullifiers (Nawāqiḍ) des Glaubens an den Jüngsten Tag</w:t>
      </w:r>
    </w:p>
    <w:p>
      <w:pPr>
        <w:pStyle w:val="FirstParagraph"/>
      </w:pPr>
      <w:r>
        <w:rPr>
          <w:bCs/>
          <w:b/>
        </w:rPr>
        <w:t xml:space="preserve">Der erste Nullifier: Sein Leugnen und Verleugnen (inkāruhu wa-ǧuḥūduhu),</w:t>
      </w:r>
      <w:r>
        <w:t xml:space="preserve"> </w:t>
      </w:r>
      <w:r>
        <w:t xml:space="preserve">wie es die Leute des Unglaubens (taten) und wie es die Dahriyyūn (die Materialisten)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„Wehe an jenem Tag den Leugnern, die den Tag des Gerichts für Lüge erklären! Und nur jeder maßlose Sünder erklärt ihn für Lüge" [al-Muṭaffifīn: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„Und es wird gesagt: Heute vergessen Wir euch, so wie ihr die Begegnung mit diesem eurem Tag vergessen habt" [al-Ǧāṯiyah: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Nullifier: Die Umdeutung des Jüngsten Tages (taʾwīl al-yawm al-āḫir) und dessen, was an ihm geschieht.</w:t>
      </w:r>
      <w:r>
        <w:t xml:space="preserve"> </w:t>
      </w:r>
      <w:r>
        <w:t xml:space="preserve">Wer den Jüngsten Tag umdeutet, ist in einen der Nullifiers des Glaubens an den Jüngsten Tag gefallen – wie jemand, der etwa kommt und sagt: Die Waage ist die Gerechtigkeit, und es gibt keine wirkliche (körperliche) Waage; und die Brücke ist (etwas) Sinnbildliches (maʿnawī), und es gibt keine sinnlich wahrnehmbare Brücke.</w:t>
      </w:r>
    </w:p>
    <w:p>
      <w:pPr>
        <w:pStyle w:val="BodyText"/>
      </w:pPr>
      <w:r>
        <w:t xml:space="preserve">Dies alles gehört zu den Nullifiers; und von den Nullifiers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Īmān bil-Qadar – Der Glaube an die göttliche Vorherbestimmung</w:t>
      </w:r>
    </w:p>
    <w:p>
      <w:pPr>
        <w:pStyle w:val="FirstParagraph"/>
      </w:pPr>
      <w:r>
        <w:t xml:space="preserve">Abb. 11 — Der Glaube an die Vorherbestimmung (الإيمان بالقدر)</w:t>
      </w:r>
    </w:p>
    <w:p>
      <w:pPr>
        <w:pStyle w:val="BodyText"/>
      </w:pPr>
      <w:r>
        <w:t xml:space="preserve">الإيمان بالقدر</w:t>
      </w:r>
      <w:r>
        <w:t xml:space="preserve">Der Glaube an die Vorherbestimmung</w:t>
      </w:r>
    </w:p>
    <w:p>
      <w:pPr>
        <w:pStyle w:val="BodyText"/>
      </w:pPr>
      <w:r>
        <w:t xml:space="preserve">▼</w:t>
      </w:r>
    </w:p>
    <w:p>
      <w:pPr>
        <w:pStyle w:val="BodyText"/>
      </w:pPr>
      <w:r>
        <w:t xml:space="preserve">الإيمان المجمل</w:t>
      </w:r>
      <w:r>
        <w:t xml:space="preserve">Der allgemeine Glaube</w:t>
      </w:r>
      <w:r>
        <w:t xml:space="preserve">Glaube, dass alles nach einem Maß (Qadar) ist und dass allein Allah es festlegt</w:t>
      </w:r>
    </w:p>
    <w:p>
      <w:pPr>
        <w:pStyle w:val="BodyText"/>
      </w:pPr>
      <w:r>
        <w:t xml:space="preserve">Allahs Bemessung der Geschöpfe gemäß Seinem vorausgehenden Wissen und dem Erfordernis Seiner Weisheit</w:t>
      </w:r>
    </w:p>
    <w:p>
      <w:pPr>
        <w:pStyle w:val="BodyText"/>
      </w:pPr>
      <w:r>
        <w:t xml:space="preserve">الإيمان المفصل</w:t>
      </w:r>
      <w:r>
        <w:t xml:space="preserve">Der detaillierte Glaube</w:t>
      </w:r>
      <w:r>
        <w:t xml:space="preserve">Glaube an alles, was die Texte im Einzelnen über den Qadar bringen</w:t>
      </w:r>
    </w:p>
    <w:p>
      <w:pPr>
        <w:pStyle w:val="BodyText"/>
      </w:pPr>
      <w:r>
        <w:t xml:space="preserve">مراتب الإيمان بالقدر — Die vier Stufen</w:t>
      </w:r>
    </w:p>
    <w:p>
      <w:pPr>
        <w:pStyle w:val="BodyText"/>
      </w:pPr>
      <w:r>
        <w:t xml:space="preserve">al-ʿIlm (العلم)</w:t>
      </w:r>
      <w:r>
        <w:t xml:space="preserve">das Wissen</w:t>
      </w:r>
    </w:p>
    <w:p>
      <w:pPr>
        <w:pStyle w:val="BodyText"/>
      </w:pPr>
      <w:r>
        <w:t xml:space="preserve">al-Kitābah (الكتابة)</w:t>
      </w:r>
      <w:r>
        <w:t xml:space="preserve">das Aufschreiben</w:t>
      </w:r>
    </w:p>
    <w:p>
      <w:pPr>
        <w:pStyle w:val="BodyText"/>
      </w:pPr>
      <w:r>
        <w:t xml:space="preserve">al-Mašīʾah (المشيئة)</w:t>
      </w:r>
      <w:r>
        <w:t xml:space="preserve">der Wille</w:t>
      </w:r>
    </w:p>
    <w:p>
      <w:pPr>
        <w:pStyle w:val="BodyText"/>
      </w:pPr>
      <w:r>
        <w:t xml:space="preserve">al-Ḫalq (الخلق)</w:t>
      </w:r>
      <w:r>
        <w:t xml:space="preserve">die Erschaffung</w:t>
      </w:r>
    </w:p>
    <w:p>
      <w:pPr>
        <w:pStyle w:val="BodyText"/>
      </w:pPr>
      <w:r>
        <w:t xml:space="preserve">نواقض الإيمان بالقدر — Nullifiers</w:t>
      </w:r>
    </w:p>
    <w:p>
      <w:pPr>
        <w:pStyle w:val="BodyText"/>
      </w:pPr>
      <w:r>
        <w:t xml:space="preserve">Glauben, Allah habe die Diener (zu ihren Taten) gezwungen (الله جبر العباد) — die Ǧabriyyah</w:t>
      </w:r>
    </w:p>
    <w:p>
      <w:pPr>
        <w:pStyle w:val="BodyText"/>
      </w:pPr>
      <w:r>
        <w:t xml:space="preserve">Glauben, der Diener habe seine eigene Tat erschaffen (العبد خلق فعل نفسه) — die Qadariyyah</w:t>
      </w:r>
    </w:p>
    <w:p>
      <w:pPr>
        <w:pStyle w:val="BodyText"/>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7"/>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7"/>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8"/>
        </w:numPr>
        <w:pStyle w:val="Compact"/>
      </w:pPr>
      <w:r>
        <w:t xml:space="preserve">Das Wissen (al-ʿIlm).</w:t>
      </w:r>
    </w:p>
    <w:p>
      <w:pPr>
        <w:numPr>
          <w:ilvl w:val="0"/>
          <w:numId w:val="1048"/>
        </w:numPr>
        <w:pStyle w:val="Compact"/>
      </w:pPr>
      <w:r>
        <w:t xml:space="preserve">Das Aufschreiben (al-Kitābah).</w:t>
      </w:r>
    </w:p>
    <w:p>
      <w:pPr>
        <w:numPr>
          <w:ilvl w:val="0"/>
          <w:numId w:val="1048"/>
        </w:numPr>
        <w:pStyle w:val="Compact"/>
      </w:pPr>
      <w:r>
        <w:t xml:space="preserve">Der Wille (al-Mašīʾah).</w:t>
      </w:r>
    </w:p>
    <w:p>
      <w:pPr>
        <w:numPr>
          <w:ilvl w:val="0"/>
          <w:numId w:val="1048"/>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„Er umfasst alles mit (Seinem) Wissen" [Ṭāhā: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„Die schlimmsten Tiere (Geschöpfe) bei Allah sind die Tauben und Stummen, die nicht begreifen. Und wenn Allah an ihnen etwas Gutes gekannt hätte, hätte Er sie wahrlich hören lassen; und (selbst) wenn Er sie hätte hören lassen, hätten sie sich abgewandt und wären widerstrebend geblieben" [al-Anfāl: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„Wahrlich, Wir sind es, die Wir die Toten wieder lebendig machen. Und Wir schreiben auf, was sie vorausgeschickt haben und (auch) ihre Spuren. Und alle Dinge haben Wir in einem deutlichen Verzeichnis erfasst" [Yāsīn: 12].</w:t>
      </w:r>
    </w:p>
    <w:p>
      <w:pPr>
        <w:pStyle w:val="BodyText"/>
      </w:pPr>
      <w:r>
        <w:rPr>
          <w:bCs/>
          <w:b/>
        </w:rPr>
        <w:t xml:space="preserve">Das Aufschreiben ist zweierlei:</w:t>
      </w:r>
    </w:p>
    <w:p>
      <w:pPr>
        <w:numPr>
          <w:ilvl w:val="0"/>
          <w:numId w:val="1049"/>
        </w:numPr>
        <w:pStyle w:val="Compact"/>
      </w:pPr>
      <w:r>
        <w:t xml:space="preserve">Ein Aufschreiben in der bewahrten Tafel.</w:t>
      </w:r>
    </w:p>
    <w:p>
      <w:pPr>
        <w:numPr>
          <w:ilvl w:val="0"/>
          <w:numId w:val="1049"/>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„Und ihr wollt nicht, außer dass Allah will" [al-Insān: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„Allah ist der Schöpfer aller Dinge" [az-Zumar: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 (Glory be to Him) 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1dfa8e4b0bbdcef4120ef512416c8909d98f41b"/>
    <w:p>
      <w:pPr>
        <w:pStyle w:val="Heading3"/>
      </w:pPr>
      <w:r>
        <w:t xml:space="preserve">Die Nullifiers (Nawāqiḍ) des Glaubens an den Qadar</w:t>
      </w:r>
    </w:p>
    <w:p>
      <w:pPr>
        <w:pStyle w:val="FirstParagraph"/>
      </w:pPr>
      <w:r>
        <w:rPr>
          <w:bCs/>
          <w:b/>
        </w:rPr>
        <w:t xml:space="preserve">Der erste Nullifier: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Nullifier: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Nullifiers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Der Musammā (die Benennung) des Īmān</w:t>
      </w:r>
    </w:p>
    <w:p>
      <w:pPr>
        <w:pStyle w:val="FirstParagraph"/>
      </w:pPr>
      <w:r>
        <w:t xml:space="preserve">Nachdem wir über das erste Tor gesprochen haben – die sechs Säulen des Īmān –, sprechen wir nun über das zweite Tor, nämlich das, was sich an die sechs Säulen des Īmān anschließt: den Musammā (die Benennung/den Begriff) des Īmān, die Ṣaḥābah und die Imāmah.</w:t>
      </w:r>
    </w:p>
    <w:bookmarkStart w:id="77" w:name="X4762b8aab1f80497609a15bb2fe148165c81e94"/>
    <w:p>
      <w:pPr>
        <w:pStyle w:val="Heading3"/>
      </w:pPr>
      <w:r>
        <w:t xml:space="preserve">Erste Frage: Der Īmān ist Wort und Werk (qawlun wa-ʿamal)</w:t>
      </w:r>
    </w:p>
    <w:p>
      <w:pPr>
        <w:pStyle w:val="FirstParagraph"/>
      </w:pPr>
      <w:r>
        <w:t xml:space="preserve">Der Īmān bei Ahl as-Sunnah wal-Jamāʿah – sie verstehen darunter: Wort und Werk (al-qawl wal-ʿamal). Das bedeutet: das Wort des Herzens – das ist die Überzeugung (al-iʿtiqād) –, das Wort der Zunge, das Werk des Herzens und das Werk der Glieder: All dies wird mit „Īmān" bezeichnet.</w:t>
      </w:r>
    </w:p>
    <w:p>
      <w:pPr>
        <w:pStyle w:val="BodyText"/>
      </w:pPr>
      <w:r>
        <w:t xml:space="preserve">So wird das Wort des Herzens „Īmān" genannt, das Wort der Zunge wird „Īmān" genannt, das Werk des Herzens wird „Īmān" genannt, und das Werk der Glieder wird „Īmān" genannt. Der Īmān umfasst also jedes Wort und jedes Werk.</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Werk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„Die (wahren) Gläubigen sind nur diejenigen, die an Allah und Seinen Gesandten glauben und hierauf nicht zweifeln" [al-Ḥuǧurāt: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„Sagt: Wir glauben an Allah und an das, was zu uns herabgesandt wurde, und an das, was zu Ibrāhīm, Ismāʿīl, Isḥāq, Yaʿqūb und den Stämmen herabgesandt wurde, und (an das,) was Mūsā und ʿĪsā gegeben wurde, und (an das,) was den Propheten von ihrem Herrn gegeben wurde. Wir machen zwischen keinem von ihnen einen Unterschied, und Ihm sind wir ergeben" [al-Baqarah: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das Werk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„Die (wahren) Gläubigen sind ja diejenigen, deren Herzen sich vor Ehrfurcht regen, wenn Allah genannt wird, und die, wenn ihnen Seine Zeichen verlesen werden, dadurch an Glauben zunehmen, und die sich auf ihren Herrn verlassen, die das Gebet verrichten und von dem, womit Wir sie versorgt haben, ausgeben. Das sind die wahren Gläubigen. Für sie sind Rangstufen bei ihrem Herrn (bestimmt) und Vergebung und ehrenvolle Versorgung" [al-Anfāl: 2-4]. Das Beben (des Herzens, al-waǧal) gehört zu den Werken der Herzen, und Er nannte es „Īmān".</w:t>
      </w:r>
    </w:p>
    <w:p>
      <w:pPr>
        <w:pStyle w:val="BodyText"/>
      </w:pPr>
      <w:r>
        <w:rPr>
          <w:bCs/>
          <w:b/>
        </w:rPr>
        <w:t xml:space="preserve">Was das Werk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„Und Allah würde euren Glauben (euer Gebet) nicht verlorengehen lassen" [al-Baqarah: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50"/>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50"/>
        </w:numPr>
        <w:pStyle w:val="Compact"/>
      </w:pPr>
      <w:r>
        <w:t xml:space="preserve">Sein Wort „und der niedrigste ist das Entfernen des Schädlichen vom Weg" – dies ist ein Werk von den Werken der Glieder.</w:t>
      </w:r>
    </w:p>
    <w:p>
      <w:pPr>
        <w:numPr>
          <w:ilvl w:val="0"/>
          <w:numId w:val="1050"/>
        </w:numPr>
        <w:pStyle w:val="Compact"/>
      </w:pPr>
      <w:r>
        <w:t xml:space="preserve">Sein Wort „und die Schamhaftigkeit ist ein Zweig von den Zweigen des Īmān" – dies ist ein Werk von den Werken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das Werk.</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„Diejenigen, zu denen die Menschen sagten: Die Menschen haben (sich) bereits gegen euch versammelt, so fürchtet sie! Doch das mehrte (nur) ihren Glauben" [Āl ʿImrān: 173]. Und Er, der Erhabene, sagt:</w:t>
      </w:r>
      <w:r>
        <w:t xml:space="preserve"> </w:t>
      </w:r>
      <w:r>
        <w:rPr>
          <w:iCs/>
          <w:i/>
        </w:rPr>
        <w:t xml:space="preserve">﴿وَيَزْدَادَ ٱلَّذِينَ ءَامَنُوٓا۟ إِيمَـٰنًا﴾</w:t>
      </w:r>
      <w:r>
        <w:t xml:space="preserve"> </w:t>
      </w:r>
      <w:r>
        <w:t xml:space="preserve">„und damit diejenigen, die glauben, an Glauben zunehmen" [al-Muddaṯṯir: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mehr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„Allah nimmt nur von den Gottesfürchtigen an" [al-Māʾidah: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„So erklärt nicht euch selbst für lauter; Er weiß am besten, wer gottesfürchtig ist" [an-Naǧm: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51"/>
        </w:numPr>
        <w:pStyle w:val="Compact"/>
      </w:pPr>
      <w:r>
        <w:t xml:space="preserve">al-Kufr al-Akbar (den großen Unglauben).</w:t>
      </w:r>
    </w:p>
    <w:p>
      <w:pPr>
        <w:numPr>
          <w:ilvl w:val="0"/>
          <w:numId w:val="1051"/>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52"/>
        </w:numPr>
        <w:pStyle w:val="Compact"/>
      </w:pPr>
      <w:r>
        <w:t xml:space="preserve">al-Kufr al-Aṣlī (den ursprünglichen Unglauben).</w:t>
      </w:r>
    </w:p>
    <w:p>
      <w:pPr>
        <w:numPr>
          <w:ilvl w:val="0"/>
          <w:numId w:val="1052"/>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53"/>
        </w:numPr>
        <w:pStyle w:val="Compact"/>
      </w:pPr>
      <w:r>
        <w:t xml:space="preserve">at-Takḏīb (das Für-Lüge-Erklären).</w:t>
      </w:r>
    </w:p>
    <w:p>
      <w:pPr>
        <w:numPr>
          <w:ilvl w:val="0"/>
          <w:numId w:val="1053"/>
        </w:numPr>
        <w:pStyle w:val="Compact"/>
      </w:pPr>
      <w:r>
        <w:t xml:space="preserve">al-Istikbār (der Hochmut).</w:t>
      </w:r>
    </w:p>
    <w:p>
      <w:pPr>
        <w:numPr>
          <w:ilvl w:val="0"/>
          <w:numId w:val="1053"/>
        </w:numPr>
        <w:pStyle w:val="Compact"/>
      </w:pPr>
      <w:r>
        <w:t xml:space="preserve">al-Iʿrāḍ (die Abwendung).</w:t>
      </w:r>
    </w:p>
    <w:p>
      <w:pPr>
        <w:numPr>
          <w:ilvl w:val="0"/>
          <w:numId w:val="1053"/>
        </w:numPr>
        <w:pStyle w:val="Compact"/>
      </w:pPr>
      <w:r>
        <w:t xml:space="preserve">aš-Šakk (der Zweifel).</w:t>
      </w:r>
    </w:p>
    <w:p>
      <w:pPr>
        <w:numPr>
          <w:ilvl w:val="0"/>
          <w:numId w:val="1053"/>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„außer Iblīs; er weigerte sich und verhielt sich hochmütig und gehörte zu den Ungläubigen" [al-Baqarah: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Nullifiers des Īmān kommt.</w:t>
      </w:r>
    </w:p>
    <w:p>
      <w:pPr>
        <w:pStyle w:val="BodyText"/>
      </w:pPr>
      <w:r>
        <w:rPr>
          <w:bCs/>
          <w:b/>
        </w:rPr>
        <w:t xml:space="preserve">Der Unglaube der Apostasie</w:t>
      </w:r>
      <w:r>
        <w:t xml:space="preserve"> </w:t>
      </w:r>
      <w:r>
        <w:t xml:space="preserve">kann durch das Wort des Herzens geschehen, durch das Wort der Zunge, durch das Werk des Herzens oder durch das Werk der Glieder:</w:t>
      </w:r>
    </w:p>
    <w:p>
      <w:pPr>
        <w:numPr>
          <w:ilvl w:val="0"/>
          <w:numId w:val="1054"/>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54"/>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54"/>
        </w:numPr>
        <w:pStyle w:val="Compact"/>
      </w:pPr>
      <w:r>
        <w:rPr>
          <w:bCs/>
          <w:b/>
        </w:rPr>
        <w:t xml:space="preserve">Das Werk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54"/>
        </w:numPr>
        <w:pStyle w:val="Compact"/>
      </w:pPr>
      <w:r>
        <w:rPr>
          <w:bCs/>
          <w:b/>
        </w:rPr>
        <w:t xml:space="preserve">Das Werk der Glieder:</w:t>
      </w:r>
      <w:r>
        <w:t xml:space="preserve"> </w:t>
      </w:r>
      <w:r>
        <w:t xml:space="preserve">wie wenn jemand sich vor einem Grab oder einem Götzen niederwirft.</w:t>
      </w:r>
    </w:p>
    <w:p>
      <w:pPr>
        <w:pStyle w:val="FirstParagraph"/>
      </w:pPr>
      <w:r>
        <w:t xml:space="preserve">So wie das Wort ein Nullifier von den Nullifiers des Īmān sein kann, so kann ebenso das Werk ein Nullifier von den Nullifiers des Īmān sein.</w:t>
      </w:r>
    </w:p>
    <w:p>
      <w:pPr>
        <w:pStyle w:val="BodyText"/>
      </w:pPr>
      <w:r>
        <w:rPr>
          <w:bCs/>
          <w:b/>
        </w:rPr>
        <w:t xml:space="preserve">Wir haben jedoch eine wichtige Grundregel beim Unglauben der Apostasie, nämlich:</w:t>
      </w:r>
    </w:p>
    <w:p>
      <w:pPr>
        <w:pStyle w:val="BodyText"/>
      </w:pPr>
      <w:r>
        <w:rPr>
          <w:iCs/>
          <w:i/>
        </w:rPr>
        <w:t xml:space="preserve">„Das absolute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wahnsinnig (maǧnūn)?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„Wer Allah verleugnet, nachdem er geglaubt hatte – außer demjenigen, der gezwungen wird, während sein Herz im Glauben Ruhe gefunden hat …" [an-Naḥl: 106]. So erfordert das absolute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Träger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das Werk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„Und wer den Glauben verleugnet, dessen Werk wird hinfällig, und im Jenseits gehört er zu den Verlierern" [al-Māʾidah: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„Und wenn zwei Gruppen von den Gläubigen einander bekämpfen …" [al-Ḥuǧurāt: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Aṣ-Ṣaḥābah (die Prophetengefährten)</w:t>
      </w:r>
    </w:p>
    <w:p>
      <w:pPr>
        <w:pStyle w:val="FirstParagraph"/>
      </w:pPr>
      <w:r>
        <w:t xml:space="preserve">Abb. 12 — Aṣ-Ṣaḥābah (die Prophetengefährten)</w:t>
      </w:r>
    </w:p>
    <w:p>
      <w:pPr>
        <w:pStyle w:val="BodyText"/>
      </w:pPr>
      <w:r>
        <w:t xml:space="preserve">الصحابة</w:t>
      </w:r>
      <w:r>
        <w:t xml:space="preserve">Aṣ-Ṣaḥābah</w:t>
      </w:r>
    </w:p>
    <w:p>
      <w:pPr>
        <w:pStyle w:val="BodyText"/>
      </w:pPr>
      <w:r>
        <w:t xml:space="preserve">▼</w:t>
      </w:r>
    </w:p>
    <w:p>
      <w:pPr>
        <w:pStyle w:val="BodyText"/>
      </w:pPr>
      <w:r>
        <w:t xml:space="preserve">صفاتهم</w:t>
      </w:r>
      <w:r>
        <w:t xml:space="preserve">Ihre Eigenschaften</w:t>
      </w:r>
    </w:p>
    <w:p>
      <w:pPr>
        <w:numPr>
          <w:ilvl w:val="0"/>
          <w:numId w:val="1055"/>
        </w:numPr>
        <w:pStyle w:val="Compact"/>
      </w:pPr>
      <w:r>
        <w:t xml:space="preserve">ihre Rechtschaffenheit (ʿadālah)</w:t>
      </w:r>
    </w:p>
    <w:p>
      <w:pPr>
        <w:numPr>
          <w:ilvl w:val="0"/>
          <w:numId w:val="1055"/>
        </w:numPr>
        <w:pStyle w:val="Compact"/>
      </w:pPr>
      <w:r>
        <w:t xml:space="preserve">die Güte ihrer Herzen</w:t>
      </w:r>
    </w:p>
    <w:p>
      <w:pPr>
        <w:numPr>
          <w:ilvl w:val="0"/>
          <w:numId w:val="1055"/>
        </w:numPr>
        <w:pStyle w:val="Compact"/>
      </w:pPr>
      <w:r>
        <w:t xml:space="preserve">die Besten von allen, die nach ihnen kamen</w:t>
      </w:r>
    </w:p>
    <w:p>
      <w:pPr>
        <w:pStyle w:val="FirstParagraph"/>
      </w:pPr>
      <w:r>
        <w:t xml:space="preserve">Definition</w:t>
      </w:r>
      <w:r>
        <w:t xml:space="preserve">Wer den Propheten ﷺ zu seinen Lebzeiten – nach dessen Berufung – als Gläubiger an ihn sah und darauf starb</w:t>
      </w:r>
    </w:p>
    <w:p>
      <w:pPr>
        <w:pStyle w:val="BodyText"/>
      </w:pPr>
      <w:r>
        <w:t xml:space="preserve">واجب الأمة نحوهم</w:t>
      </w:r>
      <w:r>
        <w:t xml:space="preserve">Pflicht der Ummah ihnen gegenüber</w:t>
      </w:r>
    </w:p>
    <w:p>
      <w:pPr>
        <w:numPr>
          <w:ilvl w:val="0"/>
          <w:numId w:val="1056"/>
        </w:numPr>
        <w:pStyle w:val="Compact"/>
      </w:pPr>
      <w:r>
        <w:t xml:space="preserve">sie zu lieben (maḥabbah)</w:t>
      </w:r>
    </w:p>
    <w:p>
      <w:pPr>
        <w:numPr>
          <w:ilvl w:val="0"/>
          <w:numId w:val="1056"/>
        </w:numPr>
        <w:pStyle w:val="Compact"/>
      </w:pPr>
      <w:r>
        <w:t xml:space="preserve">sie zu ehren und hochzuachten</w:t>
      </w:r>
    </w:p>
    <w:p>
      <w:pPr>
        <w:numPr>
          <w:ilvl w:val="0"/>
          <w:numId w:val="1056"/>
        </w:numPr>
        <w:pStyle w:val="Compact"/>
      </w:pPr>
      <w:r>
        <w:t xml:space="preserve">für sie um Barmherzigkeit zu bitten</w:t>
      </w:r>
    </w:p>
    <w:p>
      <w:pPr>
        <w:numPr>
          <w:ilvl w:val="0"/>
          <w:numId w:val="1056"/>
        </w:numPr>
        <w:pStyle w:val="Compact"/>
      </w:pPr>
      <w:r>
        <w:t xml:space="preserve">sich dessen zu enthalten, was zwischen ihnen vorfiel</w:t>
      </w:r>
    </w:p>
    <w:p>
      <w:pPr>
        <w:pStyle w:val="FirstParagraph"/>
      </w:pPr>
      <w:r>
        <w:t xml:space="preserve">Allah hatte Wohlgefallen an der ʿAqīdah der Ṣaḥābah und ihrem Manhaǧ; es gibt keine Rettung und kein Heil außer durch ihre Nachfolge in Güte.</w:t>
      </w:r>
    </w:p>
    <w:p>
      <w:pPr>
        <w:pStyle w:val="BodyText"/>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Berufung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Berufung sein; wer ihn zu seinen Lebzeiten vor seiner Berufung sah, ist kein Ṣaḥābī, sondern es muss nach der Berufung des Gesandten Allahs</w:t>
      </w:r>
      <w:r>
        <w:t xml:space="preserve"> </w:t>
      </w:r>
      <w:r>
        <w:t xml:space="preserve">ﷺ</w:t>
      </w:r>
      <w:r>
        <w:t xml:space="preserve"> </w:t>
      </w:r>
      <w:r>
        <w:t xml:space="preserve">sein. Und er muss ihn notwendigerweise als Gläubiger an ihn gesehen haben; wer ihn also zu seinen Lebzeiten nach seiner Berufung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„Und allen hat Allah das Beste (das Paradies) versprochen" [al-Ḥadīd: 10]. Die Ṣaḥābah haben (gleichsam) die Brücke überschritten (sie stehen über jedem Zweifel).</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(Ǧihād geleistet),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„Und diejenigen, die nach ihnen gekommen sind, sagen: Unser Herr, vergib uns und unseren Brüdern, die uns im Glauben vorausgegangen sind, und lass in unseren Herzen keinen Groll sein gegen diejenigen, die glauben. Unser Herr, Du bist ja Gütig und Barmherzig" [al-Ḥašr: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ihrem Manhaǧ (Weg);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Wer also will, dass Allah</w:t>
      </w:r>
      <w:r>
        <w:t xml:space="preserve"> </w:t>
      </w:r>
      <w:r>
        <w:t xml:space="preserve">ﷻ</w:t>
      </w:r>
      <w:r>
        <w:t xml:space="preserve"> </w:t>
      </w:r>
      <w:r>
        <w:t xml:space="preserve">Wohlgefallen an ihm hat, der folge den Ṣaḥābah in Güte nach: in ihrer ʿAqīdah und ihrem Manhaǧ.</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Nullifier von den Nullifiers (der korrekten ʿAqīdah).</w:t>
      </w:r>
    </w:p>
    <w:p>
      <w:pPr>
        <w:pStyle w:val="BodyText"/>
      </w:pPr>
      <w:r>
        <w:t xml:space="preserve">۞</w:t>
      </w:r>
    </w:p>
    <w:bookmarkEnd w:id="86"/>
    <w:bookmarkEnd w:id="87"/>
    <w:bookmarkStart w:id="91" w:name="imama"/>
    <w:p>
      <w:pPr>
        <w:pStyle w:val="Heading2"/>
      </w:pPr>
      <w:r>
        <w:t xml:space="preserve">Al-Imāmah (das Imamat / die Führung)</w:t>
      </w:r>
    </w:p>
    <w:p>
      <w:pPr>
        <w:pStyle w:val="FirstParagraph"/>
      </w:pPr>
      <w:r>
        <w:t xml:space="preserve">Abb. 13 — Al-Imāmah (die Führung)</w:t>
      </w:r>
    </w:p>
    <w:p>
      <w:pPr>
        <w:pStyle w:val="BodyText"/>
      </w:pPr>
      <w:r>
        <w:t xml:space="preserve">الإمامة</w:t>
      </w:r>
      <w:r>
        <w:t xml:space="preserve">Al-Imāmah</w:t>
      </w:r>
    </w:p>
    <w:p>
      <w:pPr>
        <w:pStyle w:val="BodyText"/>
      </w:pPr>
      <w:r>
        <w:t xml:space="preserve">▼</w:t>
      </w:r>
    </w:p>
    <w:p>
      <w:pPr>
        <w:pStyle w:val="BodyText"/>
      </w:pPr>
      <w:r>
        <w:t xml:space="preserve">طرق تولية الإمام</w:t>
      </w:r>
      <w:r>
        <w:t xml:space="preserve">Wege der Einsetzung des Imām</w:t>
      </w:r>
    </w:p>
    <w:p>
      <w:pPr>
        <w:numPr>
          <w:ilvl w:val="0"/>
          <w:numId w:val="1057"/>
        </w:numPr>
        <w:pStyle w:val="Compact"/>
      </w:pPr>
      <w:r>
        <w:rPr>
          <w:bCs/>
          <w:b/>
        </w:rPr>
        <w:t xml:space="preserve">Wählend (iḫtiyāriyyah):</w:t>
      </w:r>
      <w:r>
        <w:t xml:space="preserve"> </w:t>
      </w:r>
      <w:r>
        <w:t xml:space="preserve">Bayʿah der Ahl al-Ḥall wal-ʿAqd · Nachfolgebestimmung des Ersten für den Zweiten</w:t>
      </w:r>
    </w:p>
    <w:p>
      <w:pPr>
        <w:numPr>
          <w:ilvl w:val="0"/>
          <w:numId w:val="1057"/>
        </w:numPr>
        <w:pStyle w:val="Compact"/>
      </w:pPr>
      <w:r>
        <w:rPr>
          <w:bCs/>
          <w:b/>
        </w:rPr>
        <w:t xml:space="preserve">Notgedrungen (iḍṭirāriyyah):</w:t>
      </w:r>
      <w:r>
        <w:t xml:space="preserve"> </w:t>
      </w:r>
      <w:r>
        <w:t xml:space="preserve">was auf ungesetzlichem Weg ergriffen wird (Gewaltherrschaft)</w:t>
      </w:r>
    </w:p>
    <w:p>
      <w:pPr>
        <w:pStyle w:val="FirstParagraph"/>
      </w:pPr>
      <w:r>
        <w:t xml:space="preserve">مبايعة الإمام</w:t>
      </w:r>
      <w:r>
        <w:t xml:space="preserve">Bayʿah (Treueid) für den Imām</w:t>
      </w:r>
      <w:r>
        <w:t xml:space="preserve">ist individuelle Pflicht (wāǧib ʿaynī)</w:t>
      </w:r>
    </w:p>
    <w:p>
      <w:pPr>
        <w:pStyle w:val="BodyText"/>
      </w:pPr>
      <w:r>
        <w:t xml:space="preserve">حقوق الإمام</w:t>
      </w:r>
      <w:r>
        <w:t xml:space="preserve">Rechte des Imām</w:t>
      </w:r>
    </w:p>
    <w:p>
      <w:pPr>
        <w:numPr>
          <w:ilvl w:val="0"/>
          <w:numId w:val="1058"/>
        </w:numPr>
        <w:pStyle w:val="Compact"/>
      </w:pPr>
      <w:r>
        <w:t xml:space="preserve">Hören und Gehorchen im Rechten</w:t>
      </w:r>
    </w:p>
    <w:p>
      <w:pPr>
        <w:numPr>
          <w:ilvl w:val="0"/>
          <w:numId w:val="1058"/>
        </w:numPr>
        <w:pStyle w:val="Compact"/>
      </w:pPr>
      <w:r>
        <w:t xml:space="preserve">kein Aufstand gegen ihn</w:t>
      </w:r>
    </w:p>
    <w:p>
      <w:pPr>
        <w:numPr>
          <w:ilvl w:val="0"/>
          <w:numId w:val="1058"/>
        </w:numPr>
        <w:pStyle w:val="Compact"/>
      </w:pPr>
      <w:r>
        <w:t xml:space="preserve">aufrichtiger Rat (Naṣīḥah)</w:t>
      </w:r>
    </w:p>
    <w:p>
      <w:pPr>
        <w:numPr>
          <w:ilvl w:val="0"/>
          <w:numId w:val="1058"/>
        </w:numPr>
        <w:pStyle w:val="Compact"/>
      </w:pPr>
      <w:r>
        <w:t xml:space="preserve">ihn zu ehren</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59"/>
        </w:numPr>
        <w:pStyle w:val="Compact"/>
      </w:pPr>
      <w:r>
        <w:rPr>
          <w:bCs/>
          <w:b/>
        </w:rPr>
        <w:t xml:space="preserve">Der erste:</w:t>
      </w:r>
      <w:r>
        <w:t xml:space="preserve"> </w:t>
      </w:r>
      <w:r>
        <w:t xml:space="preserve">wählend (iḫtiyāriyyah).</w:t>
      </w:r>
    </w:p>
    <w:p>
      <w:pPr>
        <w:numPr>
          <w:ilvl w:val="0"/>
          <w:numId w:val="105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6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6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sind die Leute des Wissens übereingekommen, dass er zum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„O die ihr glaubt, gehorcht Allah, gehorcht dem Gesandten und den Befehlshabern unter euch" [an-Nisāʾ: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Die Verehrung des Machthabers (taʿẓīm as-sulṭān).</w:t>
      </w:r>
      <w:r>
        <w:t xml:space="preserve"> </w:t>
      </w:r>
      <w:r>
        <w:t xml:space="preserve">So ist es Pflicht, den Machthaber zu verehren; denn wird er nicht verehrt,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das Werk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sind übereingekommen,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und schenke Heil unserem Propheten Muḥammad,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2026-07-10T15:43:46Z</dcterms:created>
  <dcterms:modified xsi:type="dcterms:W3CDTF">2026-07-10T15:43:46Z</dcterms:modified>
</cp:coreProperties>
</file>

<file path=docProps/custom.xml><?xml version="1.0" encoding="utf-8"?>
<Properties xmlns="http://schemas.openxmlformats.org/officeDocument/2006/custom-properties" xmlns:vt="http://schemas.openxmlformats.org/officeDocument/2006/docPropsVTypes"/>
</file>