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Regeln und Maßstäbe der frommen Altvorderen (Salaf)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Seinem Ebenbild"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ʿAqīdah (Maṣādir at-Talaqqī)</w:t>
        </w:r>
      </w:hyperlink>
    </w:p>
    <w:p>
      <w:pPr>
        <w:numPr>
          <w:ilvl w:val="0"/>
          <w:numId w:val="1001"/>
        </w:numPr>
        <w:pStyle w:val="Compact"/>
      </w:pPr>
      <w:hyperlink w:anchor="tor-1">
        <w:r>
          <w:rPr>
            <w:rStyle w:val="Hyperlink"/>
          </w:rPr>
          <w:t xml:space="preserve">Tor 1 – Die sechs Säulen des Glaubens</w:t>
        </w:r>
      </w:hyperlink>
    </w:p>
    <w:p>
      <w:pPr>
        <w:numPr>
          <w:ilvl w:val="0"/>
          <w:numId w:val="1002"/>
        </w:numPr>
        <w:pStyle w:val="Compact"/>
      </w:pPr>
      <w:hyperlink w:anchor="pillar-1">
        <w:r>
          <w:rPr>
            <w:rStyle w:val="Hyperlink"/>
          </w:rPr>
          <w:t xml:space="preserve">1. Säule: Glaube an Allah</w:t>
        </w:r>
      </w:hyperlink>
    </w:p>
    <w:p>
      <w:pPr>
        <w:numPr>
          <w:ilvl w:val="0"/>
          <w:numId w:val="1002"/>
        </w:numPr>
        <w:pStyle w:val="Compact"/>
      </w:pPr>
      <w:hyperlink w:anchor="pillar-2">
        <w:r>
          <w:rPr>
            <w:rStyle w:val="Hyperlink"/>
          </w:rPr>
          <w:t xml:space="preserve">2. Säule: Glaube an die Engel</w:t>
        </w:r>
      </w:hyperlink>
    </w:p>
    <w:p>
      <w:pPr>
        <w:numPr>
          <w:ilvl w:val="0"/>
          <w:numId w:val="1002"/>
        </w:numPr>
        <w:pStyle w:val="Compact"/>
      </w:pPr>
      <w:hyperlink w:anchor="pillar-3">
        <w:r>
          <w:rPr>
            <w:rStyle w:val="Hyperlink"/>
          </w:rPr>
          <w:t xml:space="preserve">3. Säule: Glaube an die Bücher</w:t>
        </w:r>
      </w:hyperlink>
    </w:p>
    <w:p>
      <w:pPr>
        <w:numPr>
          <w:ilvl w:val="0"/>
          <w:numId w:val="1002"/>
        </w:numPr>
        <w:pStyle w:val="Compact"/>
      </w:pPr>
      <w:hyperlink w:anchor="pillar-4">
        <w:r>
          <w:rPr>
            <w:rStyle w:val="Hyperlink"/>
          </w:rPr>
          <w:t xml:space="preserve">4. Säule: Glaube an die Gesandten</w:t>
        </w:r>
      </w:hyperlink>
    </w:p>
    <w:p>
      <w:pPr>
        <w:numPr>
          <w:ilvl w:val="0"/>
          <w:numId w:val="1002"/>
        </w:numPr>
        <w:pStyle w:val="Compact"/>
      </w:pPr>
      <w:hyperlink w:anchor="pillar-5">
        <w:r>
          <w:rPr>
            <w:rStyle w:val="Hyperlink"/>
          </w:rPr>
          <w:t xml:space="preserve">5. Säule: Glaube an den Jüngsten Tag</w:t>
        </w:r>
      </w:hyperlink>
    </w:p>
    <w:p>
      <w:pPr>
        <w:numPr>
          <w:ilvl w:val="0"/>
          <w:numId w:val="1002"/>
        </w:numPr>
        <w:pStyle w:val="Compact"/>
      </w:pPr>
      <w:hyperlink w:anchor="pillar-6">
        <w:r>
          <w:rPr>
            <w:rStyle w:val="Hyperlink"/>
          </w:rPr>
          <w:t xml:space="preserve">6. Säule: Glaube an die göttliche Vorherbestimmung</w:t>
        </w:r>
      </w:hyperlink>
    </w:p>
    <w:p>
      <w:pPr>
        <w:numPr>
          <w:ilvl w:val="0"/>
          <w:numId w:val="1003"/>
        </w:numPr>
        <w:pStyle w:val="Compact"/>
      </w:pPr>
      <w:hyperlink w:anchor="tor-2">
        <w:r>
          <w:rPr>
            <w:rStyle w:val="Hyperlink"/>
          </w:rPr>
          <w:t xml:space="preserve">Tor 2 – Die Definition des Glaubens</w:t>
        </w:r>
      </w:hyperlink>
    </w:p>
    <w:p>
      <w:pPr>
        <w:numPr>
          <w:ilvl w:val="0"/>
          <w:numId w:val="1003"/>
        </w:numPr>
        <w:pStyle w:val="Compact"/>
      </w:pPr>
      <w:hyperlink w:anchor="sahaba">
        <w:r>
          <w:rPr>
            <w:rStyle w:val="Hyperlink"/>
          </w:rPr>
          <w:t xml:space="preserve">Die Prophetengefährten</w:t>
        </w:r>
      </w:hyperlink>
    </w:p>
    <w:p>
      <w:pPr>
        <w:numPr>
          <w:ilvl w:val="0"/>
          <w:numId w:val="1003"/>
        </w:numPr>
        <w:pStyle w:val="Compact"/>
      </w:pPr>
      <w:hyperlink w:anchor="imama">
        <w:r>
          <w:rPr>
            <w:rStyle w:val="Hyperlink"/>
          </w:rPr>
          <w:t xml:space="preserve">Das Imamat</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unseren Propheten Muḥammad und schenke ihm Frieden, ebenso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Mensch und Dschinn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SourceCode"/>
      </w:pPr>
      <w:r>
        <w:rPr>
          <w:rStyle w:val="VerbatimChar"/>
        </w:rPr>
        <w:t xml:space="preserve">&lt;div class="flow"&gt;</w:t>
      </w:r>
      <w:r>
        <w:br/>
      </w:r>
      <w:r>
        <w:rPr>
          <w:rStyle w:val="VerbatimChar"/>
        </w:rPr>
        <w:t xml:space="preserve">  &lt;div class="flow-caption"&gt;Abb. 1 — Übersicht der Tore der ʿAqīdah&lt;/div&gt;</w:t>
      </w:r>
      <w:r>
        <w:br/>
      </w:r>
      <w:r>
        <w:rPr>
          <w:rStyle w:val="VerbatimChar"/>
        </w:rPr>
        <w:t xml:space="preserve">  &lt;div class="flow-root"&gt;Gesamtübersicht der Tore der ʿAqīdah&lt;/div&gt;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 accent"&gt;&lt;span class="nt"&gt;Tor 1 — Die Säulen des Glaubens&lt;/span&gt;Die sechs Säulen des Glaubens:</w:t>
      </w:r>
      <w:r>
        <w:br/>
      </w:r>
      <w:r>
        <w:rPr>
          <w:rStyle w:val="VerbatimChar"/>
        </w:rPr>
        <w:t xml:space="preserve">      &lt;ul&gt;&lt;li&gt;Glaube an Allah (Herrschaft · Namen und Eigenschaften · Anbetung)&lt;/li&gt;&lt;li&gt;Glaube an die Engel&lt;/li&gt;&lt;li&gt;Glaube an die Bücher&lt;/li&gt;&lt;li&gt;Glaube an die Gesandten&lt;/li&gt;&lt;li&gt;Glaube an den Jüngsten Tag&lt;/li&gt;&lt;li&gt;Glaube an die göttliche Vorherbestimmung&lt;/li&gt;&lt;/ul&gt;&lt;/div&gt;&lt;/div&gt;</w:t>
      </w:r>
      <w:r>
        <w:br/>
      </w:r>
      <w:r>
        <w:rPr>
          <w:rStyle w:val="VerbatimChar"/>
        </w:rPr>
        <w:t xml:space="preserve">    &lt;div class="flow-col"&gt;&lt;div class="flow-node accent"&gt;&lt;span class="nt"&gt;Tor 2 — Anschließendes&lt;/span&gt;Was sich an die Säulen anschließt:</w:t>
      </w:r>
      <w:r>
        <w:br/>
      </w:r>
      <w:r>
        <w:rPr>
          <w:rStyle w:val="VerbatimChar"/>
        </w:rPr>
        <w:t xml:space="preserve">      &lt;ul&gt;&lt;li&gt;Die Definition des Glaubens&lt;/li&gt;&lt;li&gt;Die Prophetengefährten&lt;/li&gt;&lt;li&gt;Das Imamat&lt;/li&gt;&lt;/ul&gt;&lt;/div&gt;&lt;/div&gt;</w:t>
      </w:r>
      <w:r>
        <w:br/>
      </w:r>
      <w:r>
        <w:rPr>
          <w:rStyle w:val="VerbatimChar"/>
        </w:rPr>
        <w:t xml:space="preserve">  &lt;/div&gt;</w:t>
      </w:r>
      <w:r>
        <w:br/>
      </w:r>
      <w:r>
        <w:rPr>
          <w:rStyle w:val="VerbatimChar"/>
        </w:rPr>
        <w:t xml:space="preserve">&lt;/div&gt;</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standhaft,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4"/>
        </w:numPr>
        <w:pStyle w:val="Compact"/>
      </w:pPr>
      <w:r>
        <w:rPr>
          <w:bCs/>
          <w:b/>
        </w:rPr>
        <w:t xml:space="preserve">Das erste Tor:</w:t>
      </w:r>
      <w:r>
        <w:t xml:space="preserve"> </w:t>
      </w:r>
      <w:r>
        <w:t xml:space="preserve">Die sechs Säulen des Īmān (Arkān al-Īmān as-sittah).</w:t>
      </w:r>
    </w:p>
    <w:p>
      <w:pPr>
        <w:numPr>
          <w:ilvl w:val="0"/>
          <w:numId w:val="1004"/>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ʿAqīdah (Maṣādir at-Talaqqī)</w:t>
      </w:r>
    </w:p>
    <w:p>
      <w:pPr>
        <w:pStyle w:val="SourceCode"/>
      </w:pPr>
      <w:r>
        <w:rPr>
          <w:rStyle w:val="VerbatimChar"/>
        </w:rPr>
        <w:t xml:space="preserve">&lt;div class="flow"&gt;</w:t>
      </w:r>
      <w:r>
        <w:br/>
      </w:r>
      <w:r>
        <w:rPr>
          <w:rStyle w:val="VerbatimChar"/>
        </w:rPr>
        <w:t xml:space="preserve">  &lt;div class="flow-caption"&gt;Abb. 2 — Die Quellen der ʿAqīdah bei Ahl as-Sunnah wal-Jamāʿah (مصدر التلقي)&lt;/div&gt;</w:t>
      </w:r>
      <w:r>
        <w:br/>
      </w:r>
      <w:r>
        <w:rPr>
          <w:rStyle w:val="VerbatimChar"/>
        </w:rPr>
        <w:t xml:space="preserve">  &lt;div class="flow-root"&gt;&lt;span class="ns"&gt;مصدر التلقي عند أهل السنة والجماعة&lt;/span&gt;Quelle der ʿAqīdah bei Ahl as-Sunnah wal-Jamāʿah&lt;/div&gt;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class="ns"&gt;الكتاب&lt;/span&gt;&lt;span class="nt"&gt;Al-Qurʾān&lt;/span&gt;Das Buch Allahs&lt;/div&gt;&lt;/div&gt;</w:t>
      </w:r>
      <w:r>
        <w:br/>
      </w:r>
      <w:r>
        <w:rPr>
          <w:rStyle w:val="VerbatimChar"/>
        </w:rPr>
        <w:t xml:space="preserve">    &lt;div class="flow-col"&gt;&lt;div class="flow-node"&gt;&lt;span class="ns"&gt;السنة&lt;/span&gt;&lt;span class="nt"&gt;As-Sunnah&lt;/span&gt;Wort · Tat · Billigung</w:t>
      </w:r>
      <w:r>
        <w:br/>
      </w:r>
      <w:r>
        <w:rPr>
          <w:rStyle w:val="VerbatimChar"/>
        </w:rPr>
        <w:t xml:space="preserve">      &lt;ul&gt;&lt;li&gt;Mutawātir&lt;/li&gt;&lt;li&gt;Āḥād&lt;/li&gt;&lt;/ul&gt;&lt;/div&gt;&lt;/div&gt;</w:t>
      </w:r>
      <w:r>
        <w:br/>
      </w:r>
      <w:r>
        <w:rPr>
          <w:rStyle w:val="VerbatimChar"/>
        </w:rPr>
        <w:t xml:space="preserve">    &lt;div class="flow-col"&gt;&lt;div class="flow-node"&gt;&lt;span class="ns"&gt;الإجماع&lt;/span&gt;&lt;span class="nt"&gt;Al-Iǧmāʿ&lt;/span&gt;Konsens der Muǧtahidūn der Ummah&lt;/div&gt;&lt;/div&gt;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class="flow-row"&gt;&lt;div class="flow-col"&gt;&lt;div class="flow-node plain"&gt;&lt;span class="nt"&gt;Vor Irrtum rettende Grundregel (قاعدة منجية من الضلال)&lt;/span&gt;„Das Verständnis von Qurʾān und Sunnah muss mit dem Verständnis der rechtschaffenen Salaf (der ersten drei Generationen) übereinstimmen."&lt;/div&gt;&lt;/div&gt;&lt;/div&gt;</w:t>
      </w:r>
      <w:r>
        <w:br/>
      </w:r>
      <w:r>
        <w:rPr>
          <w:rStyle w:val="VerbatimChar"/>
        </w:rPr>
        <w:t xml:space="preserve">&lt;/div&gt;</w:t>
      </w:r>
    </w:p>
    <w:p>
      <w:pPr>
        <w:pStyle w:val="FirstParagraph"/>
      </w:pPr>
      <w:r>
        <w:t xml:space="preserve">Mit „Quelle der ʿAqīdah" (maṣdar at-talaqqī) ist gemeint: Woher wird die ʿAqīdah entnommen?</w:t>
      </w:r>
    </w:p>
    <w:p>
      <w:pPr>
        <w:pStyle w:val="BodyText"/>
      </w:pPr>
      <w:r>
        <w:t xml:space="preserve">Die Quelle der ʿAqīdah bei Ahl as-Sunnah wal-Jamāʿah geht auf drei Dinge zurück:</w:t>
      </w:r>
    </w:p>
    <w:p>
      <w:pPr>
        <w:pStyle w:val="BodyText"/>
      </w:pPr>
      <w:r>
        <w:rPr>
          <w:bCs/>
          <w:b/>
        </w:rPr>
        <w:t xml:space="preserve">Erstens: Al-Kitāb (das Buch).</w:t>
      </w:r>
      <w:r>
        <w:t xml:space="preserve"> </w:t>
      </w:r>
      <w:r>
        <w:t xml:space="preserve">Damit meinen wir den Qurʾān; denn der Qurʾān ist die wirkliche Rede von Allah</w:t>
      </w:r>
      <w:r>
        <w:t xml:space="preserve"> </w:t>
      </w:r>
      <w:r>
        <w:t xml:space="preserve">ﷻ</w:t>
      </w:r>
      <w:r>
        <w:t xml:space="preserve">.</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ein Wort (qawliyyah), eine Tat (fiʿliyyah), eine Billigung (taqrīriyyah) oder ein Unterlassen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bezeugen. Und wenn etwas verborgen ist, kann man es nicht mit dem Verstand begründen; man begründet es vielmehr nur durch den Bericht (Offenbarung).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ʿAqīdah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Glaubens</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5"/>
        </w:numPr>
        <w:pStyle w:val="Compact"/>
      </w:pPr>
      <w:r>
        <w:t xml:space="preserve">Der Glaube an Allah (al-Īmān billāh).</w:t>
      </w:r>
    </w:p>
    <w:p>
      <w:pPr>
        <w:numPr>
          <w:ilvl w:val="0"/>
          <w:numId w:val="1005"/>
        </w:numPr>
        <w:pStyle w:val="Compact"/>
      </w:pPr>
      <w:r>
        <w:t xml:space="preserve">Der Glaube an die Engel (al-Īmān bil-Malāʾikah).</w:t>
      </w:r>
    </w:p>
    <w:p>
      <w:pPr>
        <w:numPr>
          <w:ilvl w:val="0"/>
          <w:numId w:val="1005"/>
        </w:numPr>
        <w:pStyle w:val="Compact"/>
      </w:pPr>
      <w:r>
        <w:t xml:space="preserve">Der Glaube an die Bücher (al-Īmān bil-Kutub).</w:t>
      </w:r>
    </w:p>
    <w:p>
      <w:pPr>
        <w:numPr>
          <w:ilvl w:val="0"/>
          <w:numId w:val="1005"/>
        </w:numPr>
        <w:pStyle w:val="Compact"/>
      </w:pPr>
      <w:r>
        <w:t xml:space="preserve">Der Glaube an die Gesandten (al-Īmān bir-Rusul).</w:t>
      </w:r>
    </w:p>
    <w:p>
      <w:pPr>
        <w:numPr>
          <w:ilvl w:val="0"/>
          <w:numId w:val="1005"/>
        </w:numPr>
        <w:pStyle w:val="Compact"/>
      </w:pPr>
      <w:r>
        <w:t xml:space="preserve">Der Glaube an den Jüngsten Tag (al-Īmān bil-Yawm al-Ākhir).</w:t>
      </w:r>
    </w:p>
    <w:p>
      <w:pPr>
        <w:numPr>
          <w:ilvl w:val="0"/>
          <w:numId w:val="1005"/>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Der Glaube an Allah</w:t>
      </w:r>
    </w:p>
    <w:p>
      <w:pPr>
        <w:pStyle w:val="SourceCode"/>
      </w:pPr>
      <w:r>
        <w:rPr>
          <w:rStyle w:val="VerbatimChar"/>
        </w:rPr>
        <w:t xml:space="preserve">&lt;div class="flow"&gt;</w:t>
      </w:r>
      <w:r>
        <w:br/>
      </w:r>
      <w:r>
        <w:rPr>
          <w:rStyle w:val="VerbatimChar"/>
        </w:rPr>
        <w:t xml:space="preserve">  &lt;div class="flow-caption"&gt;Abb. 3 — Der Glaube an Allah (الإيمان بالله)&lt;/div&gt;</w:t>
      </w:r>
      <w:r>
        <w:br/>
      </w:r>
      <w:r>
        <w:rPr>
          <w:rStyle w:val="VerbatimChar"/>
        </w:rPr>
        <w:t xml:space="preserve">  &lt;div class="flow-root"&gt;&lt;span class="ns"&gt;الإيمان بالله&lt;/span&gt;Der Glaube an Allah&lt;/div&gt;</w:t>
      </w:r>
      <w:r>
        <w:br/>
      </w:r>
      <w:r>
        <w:rPr>
          <w:rStyle w:val="VerbatimChar"/>
        </w:rPr>
        <w:t xml:space="preserve">  &lt;div class="flow-down"&gt;&lt;/div&gt;</w:t>
      </w:r>
      <w:r>
        <w:br/>
      </w:r>
      <w:r>
        <w:rPr>
          <w:rStyle w:val="VerbatimChar"/>
        </w:rPr>
        <w:t xml:space="preserve">  &lt;div class="flow-sub"&gt;beruht auf der Einzigkeit Allahs ﷻ in:&lt;/div&gt;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class="ns"&gt;ربوبيته&lt;/span&gt;&lt;span class="nt"&gt;Tawḥīd ar-Rubūbiyyah&lt;/span&gt;Einheit in der Herrschaft&lt;/div&gt;&lt;/div&gt;</w:t>
      </w:r>
      <w:r>
        <w:br/>
      </w:r>
      <w:r>
        <w:rPr>
          <w:rStyle w:val="VerbatimChar"/>
        </w:rPr>
        <w:t xml:space="preserve">    &lt;div class="flow-col"&gt;&lt;div class="flow-node"&gt;&lt;span class="ns"&gt;أسمائه وصفاته&lt;/span&gt;&lt;span class="nt"&gt;Tawḥīd al-Asmāʾ waṣ-Ṣifāt&lt;/span&gt;Einheit in den Namen und Eigenschaften&lt;/div&gt;&lt;/div&gt;</w:t>
      </w:r>
      <w:r>
        <w:br/>
      </w:r>
      <w:r>
        <w:rPr>
          <w:rStyle w:val="VerbatimChar"/>
        </w:rPr>
        <w:t xml:space="preserve">    &lt;div class="flow-col"&gt;&lt;div class="flow-node"&gt;&lt;span class="ns"&gt;ألوهيته&lt;/span&gt;&lt;span class="nt"&gt;Tawḥīd al-Ulūhiyyah&lt;/span&gt;Einheit in der Anbetung&lt;/div&gt;&lt;/div&gt;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class="flow-row"&gt;&lt;div class="flow-col"&gt;&lt;div class="flow-node plain"&gt;&lt;span class="nt"&gt;Früchte des Glaubens an Allah (ثمرات الإيمان بالله)&lt;/span&gt;Glückseligkeit · Allahs Schutzfreundschaft (Wilāyah) · das Paradies · Festigung auf Erden · vollkommene Sicherheit und Rechtleitung&lt;/div&gt;&lt;/div&gt;&lt;/div&gt;</w:t>
      </w:r>
      <w:r>
        <w:br/>
      </w:r>
      <w:r>
        <w:rPr>
          <w:rStyle w:val="VerbatimChar"/>
        </w:rPr>
        <w:t xml:space="preserve">&lt;/div&gt;</w:t>
      </w:r>
    </w:p>
    <w:p>
      <w:pPr>
        <w:pStyle w:val="FirstParagraph"/>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6"/>
        </w:numPr>
        <w:pStyle w:val="Compact"/>
      </w:pPr>
      <w:r>
        <w:rPr>
          <w:bCs/>
          <w:b/>
        </w:rPr>
        <w:t xml:space="preserve">Das Erste:</w:t>
      </w:r>
      <w:r>
        <w:t xml:space="preserve"> </w:t>
      </w:r>
      <w:r>
        <w:t xml:space="preserve">Der Tawḥīd Allahs in Seiner Herrschaft (ar-Rubūbiyyah).</w:t>
      </w:r>
    </w:p>
    <w:p>
      <w:pPr>
        <w:numPr>
          <w:ilvl w:val="0"/>
          <w:numId w:val="1006"/>
        </w:numPr>
        <w:pStyle w:val="Compact"/>
      </w:pPr>
      <w:r>
        <w:rPr>
          <w:bCs/>
          <w:b/>
        </w:rPr>
        <w:t xml:space="preserve">Das Zweite:</w:t>
      </w:r>
      <w:r>
        <w:t xml:space="preserve"> </w:t>
      </w:r>
      <w:r>
        <w:t xml:space="preserve">Der Tawḥīd Allahs in Seinen Namen und Eigenschaften (al-Asmāʾ waṣ-Ṣifāt).</w:t>
      </w:r>
    </w:p>
    <w:p>
      <w:pPr>
        <w:numPr>
          <w:ilvl w:val="0"/>
          <w:numId w:val="1006"/>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(erhaben ist Er) als Einzigen anzuerkennen.</w:t>
      </w:r>
    </w:p>
    <w:p>
      <w:pPr>
        <w:numPr>
          <w:ilvl w:val="0"/>
          <w:numId w:val="1007"/>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08"/>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beschrieben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09"/>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unter anderem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die rechtschaffene Tat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Seine Hilfe (Unterstützung). Wer also will, dass Allah ihm hilft,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die Hilfe (Unterstützung)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Taten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Taten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SourceCode"/>
      </w:pPr>
      <w:r>
        <w:rPr>
          <w:rStyle w:val="VerbatimChar"/>
        </w:rPr>
        <w:t xml:space="preserve">&lt;div class="flow"&gt;</w:t>
      </w:r>
      <w:r>
        <w:br/>
      </w:r>
      <w:r>
        <w:rPr>
          <w:rStyle w:val="VerbatimChar"/>
        </w:rPr>
        <w:t xml:space="preserve">  &lt;div class="flow-caption"&gt;Abb. 4 — Tawḥīd ar-Rubūbiyyah (ربوبية الله)&lt;/div&gt;</w:t>
      </w:r>
      <w:r>
        <w:br/>
      </w:r>
      <w:r>
        <w:rPr>
          <w:rStyle w:val="VerbatimChar"/>
        </w:rPr>
        <w:t xml:space="preserve">  &lt;div class="flow-root"&gt;&lt;span class="ns"&gt;ربوبية الله&lt;/span&gt;Die Herrschaft Allahs (Rubūbiyyah)&lt;/div&gt;</w:t>
      </w:r>
      <w:r>
        <w:br/>
      </w:r>
      <w:r>
        <w:rPr>
          <w:rStyle w:val="VerbatimChar"/>
        </w:rPr>
        <w:t xml:space="preserve">  &lt;div class="flow-down"&gt;&lt;/div&gt;</w:t>
      </w:r>
      <w:r>
        <w:br/>
      </w:r>
      <w:r>
        <w:rPr>
          <w:rStyle w:val="VerbatimChar"/>
        </w:rPr>
        <w:t xml:space="preserve">  &lt;div class="flow-sub"&gt;beruht auf (تقوم على):&lt;/div&gt;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class="ns"&gt;وجود الله&lt;/span&gt;&lt;span class="nt"&gt;Die Existenz Allahs&lt;/span&gt;belegt durch Fiṭrah, Šarʿ, ʿAql und Ḥiss&lt;/div&gt;&lt;/div&gt;</w:t>
      </w:r>
      <w:r>
        <w:br/>
      </w:r>
      <w:r>
        <w:rPr>
          <w:rStyle w:val="VerbatimChar"/>
        </w:rPr>
        <w:t xml:space="preserve">    &lt;div class="flow-col"&gt;&lt;div class="flow-node"&gt;&lt;span class="ns"&gt;إفراد الله بأفعاله&lt;/span&gt;&lt;span class="nt"&gt;Allah allein in Seinen Handlungen&lt;/span&gt;Erschaffung · Herrschaft (Mulk) · Lenkung (Tadbīr)&lt;/div&gt;&lt;/div&gt;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توحيد الربوبية — Vernichter des Rubūbiyyah-Tawḥīd&lt;/div&gt;</w:t>
      </w:r>
      <w:r>
        <w:br/>
      </w:r>
      <w:r>
        <w:rPr>
          <w:rStyle w:val="VerbatimChar"/>
        </w:rPr>
        <w:t xml:space="preserve">  &lt;div class="flow-row"&gt;</w:t>
      </w:r>
      <w:r>
        <w:br/>
      </w:r>
      <w:r>
        <w:rPr>
          <w:rStyle w:val="VerbatimChar"/>
        </w:rPr>
        <w:t xml:space="preserve">    &lt;div class="flow-col"&gt;&lt;div class="flow-node plain"&gt;Leugnen der Existenz Allahs (إنكار وجود الله في الظاهر)&lt;/div&gt;&lt;/div&gt;</w:t>
      </w:r>
      <w:r>
        <w:br/>
      </w:r>
      <w:r>
        <w:rPr>
          <w:rStyle w:val="VerbatimChar"/>
        </w:rPr>
        <w:t xml:space="preserve">    &lt;div class="flow-col"&gt;&lt;div class="flow-node plain"&gt;Behauptung eines unabhängig Handelnden neben Allah (إثبات فاعل مستقل مع الله)&lt;/div&gt;&lt;/div&gt;</w:t>
      </w:r>
      <w:r>
        <w:br/>
      </w:r>
      <w:r>
        <w:rPr>
          <w:rStyle w:val="VerbatimChar"/>
        </w:rPr>
        <w:t xml:space="preserve">    &lt;div class="flow-col"&gt;&lt;div class="flow-node plain"&gt;Zuschreibung der Gnade an einen anderen als Allah in eigenständiger Weise (إضافة النعمة لغير الله)&lt;/div&gt;&lt;/div&gt;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class="flow-row"&gt;&lt;div class="flow-col"&gt;&lt;div class="flow-node accent"&gt;&lt;span class="nt"&gt;Wichtiger Hinweis (تنبيه مهم)&lt;/span&gt;Tawḥīd ar-Rubūbiyyah allein genügt nicht für den Glauben an Allah.&lt;/div&gt;&lt;/div&gt;&lt;/div&gt;</w:t>
      </w:r>
      <w:r>
        <w:br/>
      </w:r>
      <w:r>
        <w:rPr>
          <w:rStyle w:val="VerbatimChar"/>
        </w:rPr>
        <w:t xml:space="preserve">&lt;/div&gt;</w:t>
      </w:r>
    </w:p>
    <w:p>
      <w:pPr>
        <w:pStyle w:val="FirstParagraph"/>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0"/>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0"/>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Maǧūs."</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widersetzte sich ihnen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4e06283933ad6d1a9f12181b39bef8d2fa8345a"/>
    <w:p>
      <w:pPr>
        <w:pStyle w:val="Heading4"/>
      </w:pPr>
      <w:r>
        <w:t xml:space="preserve">Die Vernichter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Vernichter sind:</w:t>
      </w:r>
    </w:p>
    <w:p>
      <w:pPr>
        <w:numPr>
          <w:ilvl w:val="0"/>
          <w:numId w:val="1011"/>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1"/>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1"/>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Vernichter: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Vernichter: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2"/>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2"/>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Vernichter: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Vernichter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SourceCode"/>
      </w:pPr>
      <w:r>
        <w:rPr>
          <w:rStyle w:val="VerbatimChar"/>
        </w:rPr>
        <w:t xml:space="preserve">&lt;div class="flow"&gt;</w:t>
      </w:r>
      <w:r>
        <w:br/>
      </w:r>
      <w:r>
        <w:rPr>
          <w:rStyle w:val="VerbatimChar"/>
        </w:rPr>
        <w:t xml:space="preserve">  &lt;div class="flow-caption"&gt;Abb. 5 — Allahs Namen und Eigenschaften (أسماء الله وصفاته)&lt;/div&gt;</w:t>
      </w:r>
      <w:r>
        <w:br/>
      </w:r>
      <w:r>
        <w:rPr>
          <w:rStyle w:val="VerbatimChar"/>
        </w:rPr>
        <w:t xml:space="preserve">  &lt;div class="flow-root"&gt;&lt;span class="ns"&gt;أسماء الله وصفاته&lt;/span&gt;Allahs Namen und Eigenschaften&lt;/div&gt;</w:t>
      </w:r>
      <w:r>
        <w:br/>
      </w:r>
      <w:r>
        <w:rPr>
          <w:rStyle w:val="VerbatimChar"/>
        </w:rPr>
        <w:t xml:space="preserve">  &lt;div class="flow-down"&gt;&lt;/div&gt;</w:t>
      </w:r>
      <w:r>
        <w:br/>
      </w:r>
      <w:r>
        <w:rPr>
          <w:rStyle w:val="VerbatimChar"/>
        </w:rPr>
        <w:t xml:space="preserve">  &lt;div class="flow-sub"&gt;beruht auf drei Grundlagen (ثلاثة أسس):&lt;/div&gt;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class="nt"&gt;1. Grundlage&lt;/span&gt;Bejahen, was Allah Sich selbst zuschrieb, und verneinen, was Er von Sich verneinte (إثبات ما أثبته الله لنفسه)&lt;/div&gt;&lt;/div&gt;</w:t>
      </w:r>
      <w:r>
        <w:br/>
      </w:r>
      <w:r>
        <w:rPr>
          <w:rStyle w:val="VerbatimChar"/>
        </w:rPr>
        <w:t xml:space="preserve">    &lt;div class="flow-col"&gt;&lt;div class="flow-node"&gt;&lt;span class="nt"&gt;2. Grundlage&lt;/span&gt;Verneinen jeder Ähnlichkeit – die Einzigkeit Allahs in Seinen Eigenschaften (نفي المماثلة في الخصائص)&lt;/div&gt;&lt;/div&gt;</w:t>
      </w:r>
      <w:r>
        <w:br/>
      </w:r>
      <w:r>
        <w:rPr>
          <w:rStyle w:val="VerbatimChar"/>
        </w:rPr>
        <w:t xml:space="preserve">    &lt;div class="flow-col"&gt;&lt;div class="flow-node"&gt;&lt;span class="nt"&gt;3. Grundlage&lt;/span&gt;Verzicht auf das Erstreben der Art und Weise (قطع الطمع عن معرفة الكيفية)&lt;/div&gt;&lt;/div&gt;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توحيد الأسماء والصفات — Vernichter&lt;/div&gt;</w:t>
      </w:r>
      <w:r>
        <w:br/>
      </w:r>
      <w:r>
        <w:rPr>
          <w:rStyle w:val="VerbatimChar"/>
        </w:rPr>
        <w:t xml:space="preserve">  &lt;div class="flow-row"&gt;</w:t>
      </w:r>
      <w:r>
        <w:br/>
      </w:r>
      <w:r>
        <w:rPr>
          <w:rStyle w:val="VerbatimChar"/>
        </w:rPr>
        <w:t xml:space="preserve">    &lt;div class="flow-col"&gt;&lt;div class="flow-node plain"&gt;&lt;span class="nt"&gt;at-Taʿṭīl (التعطيل)&lt;/span&gt;Verneinung der Eigenschaften</w:t>
      </w:r>
      <w:r>
        <w:br/>
      </w:r>
      <w:r>
        <w:rPr>
          <w:rStyle w:val="VerbatimChar"/>
        </w:rPr>
        <w:t xml:space="preserve">      &lt;ul&gt;&lt;li&gt;at-Taʾwīl (التأويل)&lt;/li&gt;&lt;li&gt;at-Tafwīḍ (التفويض)&lt;/li&gt;&lt;/ul&gt;&lt;/div&gt;&lt;/div&gt;</w:t>
      </w:r>
      <w:r>
        <w:br/>
      </w:r>
      <w:r>
        <w:rPr>
          <w:rStyle w:val="VerbatimChar"/>
        </w:rPr>
        <w:t xml:space="preserve">    &lt;div class="flow-col"&gt;&lt;div class="flow-node plain"&gt;&lt;span class="nt"&gt;at-Tamṯīl (التمثيل)&lt;/span&gt;Vergleich mit dem Geschaffenen&lt;/div&gt;&lt;/div&gt;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class="flow-row"&gt;&lt;div class="flow-col"&gt;&lt;div class="flow-node accent"&gt;Beide Vernichter werden zusammengefasst unter: al-Ilḥād (الإلحاد) — die Abweichung&lt;/div&gt;&lt;/div&gt;&lt;/div&gt;</w:t>
      </w:r>
      <w:r>
        <w:br/>
      </w:r>
      <w:r>
        <w:rPr>
          <w:rStyle w:val="VerbatimChar"/>
        </w:rPr>
        <w:t xml:space="preserve">&lt;/div&gt;</w:t>
      </w:r>
    </w:p>
    <w:p>
      <w:pPr>
        <w:pStyle w:val="FirstParagraph"/>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3"/>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3"/>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 die Wahrung der Einzigkeit Allahs in Seinen Eigenschaften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4"/>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fa0c689e9f2c76fdfb44c937fa4b55762508dd2"/>
    <w:p>
      <w:pPr>
        <w:pStyle w:val="Heading4"/>
      </w:pPr>
      <w:r>
        <w:t xml:space="preserve">Die Vernichter (Nawāqiḍ) des Tawḥīd al-Asmāʾ waṣ-Ṣifāt</w:t>
      </w:r>
    </w:p>
    <w:p>
      <w:pPr>
        <w:pStyle w:val="FirstParagraph"/>
      </w:pPr>
      <w:r>
        <w:rPr>
          <w:bCs/>
          <w:b/>
        </w:rPr>
        <w:t xml:space="preserve">Die Vernichter gehen auf zwei Dinge zurück:</w:t>
      </w:r>
    </w:p>
    <w:p>
      <w:pPr>
        <w:numPr>
          <w:ilvl w:val="0"/>
          <w:numId w:val="1015"/>
        </w:numPr>
        <w:pStyle w:val="Compact"/>
      </w:pPr>
      <w:r>
        <w:rPr>
          <w:bCs/>
          <w:b/>
        </w:rPr>
        <w:t xml:space="preserve">Das Erste:</w:t>
      </w:r>
      <w:r>
        <w:t xml:space="preserve"> </w:t>
      </w:r>
      <w:r>
        <w:t xml:space="preserve">at-Tamṯīl (der Vergleich).</w:t>
      </w:r>
    </w:p>
    <w:p>
      <w:pPr>
        <w:numPr>
          <w:ilvl w:val="0"/>
          <w:numId w:val="1015"/>
        </w:numPr>
        <w:pStyle w:val="Compact"/>
      </w:pPr>
      <w:r>
        <w:rPr>
          <w:bCs/>
          <w:b/>
        </w:rPr>
        <w:t xml:space="preserve">Das Zweite:</w:t>
      </w:r>
      <w:r>
        <w:t xml:space="preserve"> </w:t>
      </w:r>
      <w:r>
        <w:t xml:space="preserve">at-Taʿṭīl (die Verneinung/Entleerung).</w:t>
      </w:r>
    </w:p>
    <w:p>
      <w:pPr>
        <w:pStyle w:val="FirstParagraph"/>
      </w:pPr>
      <w:r>
        <w:rPr>
          <w:bCs/>
          <w:b/>
        </w:rPr>
        <w:t xml:space="preserve">Der erste Vernichter: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Vernichter: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seiner Majestät entspricht,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16"/>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16"/>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17"/>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überlassen (nicht für unbekannt erklären), sondern nur die Art und Weise (al-kayfiyyah) überlassen,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Vernichter des Tawḥīd al-Asmāʾ waṣ-Ṣifāt.</w:t>
      </w:r>
    </w:p>
    <w:p>
      <w:pPr>
        <w:pStyle w:val="BodyText"/>
      </w:pPr>
      <w:r>
        <w:rPr>
          <w:bCs/>
          <w:b/>
        </w:rPr>
        <w:t xml:space="preserve">Diese Vernichter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18"/>
        </w:numPr>
        <w:pStyle w:val="Compact"/>
      </w:pPr>
      <w:r>
        <w:rPr>
          <w:iCs/>
          <w:i/>
        </w:rPr>
        <w:t xml:space="preserve">Beispiele:</w:t>
      </w:r>
    </w:p>
    <w:p>
      <w:pPr>
        <w:numPr>
          <w:ilvl w:val="0"/>
          <w:numId w:val="1019"/>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19"/>
        </w:numPr>
        <w:pStyle w:val="Compact"/>
      </w:pPr>
      <w:r>
        <w:t xml:space="preserve">Es ist dem Diener Pflicht, ohne Ähnlichkeit zu bejahen; der Mumaṯṯil (Vergleichende) aber kommt und bejaht zusammen mit der Ähnlichkeit – so begeht er Ilḥād.</w:t>
      </w:r>
    </w:p>
    <w:p>
      <w:pPr>
        <w:numPr>
          <w:ilvl w:val="0"/>
          <w:numId w:val="1019"/>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SourceCode"/>
      </w:pPr>
      <w:r>
        <w:rPr>
          <w:rStyle w:val="VerbatimChar"/>
        </w:rPr>
        <w:t xml:space="preserve">&lt;div class="flow"&gt;</w:t>
      </w:r>
      <w:r>
        <w:br/>
      </w:r>
      <w:r>
        <w:rPr>
          <w:rStyle w:val="VerbatimChar"/>
        </w:rPr>
        <w:t xml:space="preserve">  &lt;div class="flow-caption"&gt;Abb. 6 — Die Anbetungswürdigkeit Allahs (ألوهية الله)&lt;/div&gt;</w:t>
      </w:r>
      <w:r>
        <w:br/>
      </w:r>
      <w:r>
        <w:rPr>
          <w:rStyle w:val="VerbatimChar"/>
        </w:rPr>
        <w:t xml:space="preserve">  &lt;div class="flow-root"&gt;&lt;span class="ns"&gt;ألوهية الله&lt;/span&gt;Die Anbetungswürdigkeit Allahs (Ulūhiyyah)&lt;/div&gt;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class="ns"&gt;إفراد الله بالعبادة&lt;/span&gt;&lt;span class="nt"&gt;Allah allein anbeten&lt;/span&gt;al-ʿIbādah:</w:t>
      </w:r>
      <w:r>
        <w:br/>
      </w:r>
      <w:r>
        <w:rPr>
          <w:rStyle w:val="VerbatimChar"/>
        </w:rPr>
        <w:t xml:space="preserve">      &lt;ul&gt;&lt;li&gt;al-Mutaʿabbad bihi: umfassender Name für alles, was Allah liebt&lt;/li&gt;&lt;li&gt;at-Taʿabbud: höchste Demut mit höchster Liebe&lt;/li&gt;&lt;/ul&gt;&lt;/div&gt;&lt;/div&gt;</w:t>
      </w:r>
      <w:r>
        <w:br/>
      </w:r>
      <w:r>
        <w:rPr>
          <w:rStyle w:val="VerbatimChar"/>
        </w:rPr>
        <w:t xml:space="preserve">    &lt;div class="flow-col"&gt;&lt;div class="flow-node"&gt;&lt;span class="ns"&gt;معنى الإله: المعبود&lt;/span&gt;&lt;span class="nt"&gt;Bedeutung von „Ilāh"&lt;/span&gt;Lā ilāha illā Allāh = es gibt keinen wahrhaft Anzubetenden außer Allah&lt;/div&gt;&lt;/div&gt;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توحيد الألوهية — Vernichter&lt;/div&gt;</w:t>
      </w:r>
      <w:r>
        <w:br/>
      </w:r>
      <w:r>
        <w:rPr>
          <w:rStyle w:val="VerbatimChar"/>
        </w:rPr>
        <w:t xml:space="preserve">  &lt;div class="flow-row"&gt;</w:t>
      </w:r>
      <w:r>
        <w:br/>
      </w:r>
      <w:r>
        <w:rPr>
          <w:rStyle w:val="VerbatimChar"/>
        </w:rPr>
        <w:t xml:space="preserve">    &lt;div class="flow-col"&gt;&lt;div class="flow-node plain"&gt;&lt;span class="nt"&gt;aš-Širk al-Aṣghar (الشرك الأصغر)&lt;/span&gt;Definition · Beispiele · Urteile&lt;/div&gt;&lt;/div&gt;</w:t>
      </w:r>
      <w:r>
        <w:br/>
      </w:r>
      <w:r>
        <w:rPr>
          <w:rStyle w:val="VerbatimChar"/>
        </w:rPr>
        <w:t xml:space="preserve">    &lt;div class="flow-col"&gt;&lt;div class="flow-node plain"&gt;&lt;span class="nt"&gt;aš-Širk al-Akbar (الشرك الأكبر)&lt;/span&gt;Definition · Beispiele · Ursachen · Urteile&lt;/div&gt;&lt;/div&gt;</w:t>
      </w:r>
      <w:r>
        <w:br/>
      </w:r>
      <w:r>
        <w:rPr>
          <w:rStyle w:val="VerbatimChar"/>
        </w:rPr>
        <w:t xml:space="preserve">  &lt;/div&gt;</w:t>
      </w:r>
      <w:r>
        <w:br/>
      </w:r>
      <w:r>
        <w:rPr>
          <w:rStyle w:val="VerbatimChar"/>
        </w:rPr>
        <w:t xml:space="preserve">&lt;/div&gt;</w:t>
      </w:r>
    </w:p>
    <w:p>
      <w:pPr>
        <w:pStyle w:val="FirstParagraph"/>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widersetzte sich den Götzendienern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0"/>
        </w:numPr>
        <w:pStyle w:val="Compact"/>
      </w:pPr>
      <w:r>
        <w:rPr>
          <w:bCs/>
          <w:b/>
        </w:rPr>
        <w:t xml:space="preserve">Das Erste:</w:t>
      </w:r>
      <w:r>
        <w:t xml:space="preserve"> </w:t>
      </w:r>
      <w:r>
        <w:t xml:space="preserve">Die Kenntnis der Bedeutung von „al-Ilāh".</w:t>
      </w:r>
    </w:p>
    <w:p>
      <w:pPr>
        <w:numPr>
          <w:ilvl w:val="0"/>
          <w:numId w:val="1020"/>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1"/>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1"/>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Taten,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7de01a3827cd1d1ae5964b01f7645b6b1830e5c"/>
    <w:p>
      <w:pPr>
        <w:pStyle w:val="Heading4"/>
      </w:pPr>
      <w:r>
        <w:t xml:space="preserve">Die Vernichter (Nawāqiḍ) des Tawḥīd al-Ulūhiyyah</w:t>
      </w:r>
    </w:p>
    <w:p>
      <w:pPr>
        <w:pStyle w:val="FirstParagraph"/>
      </w:pPr>
      <w:r>
        <w:rPr>
          <w:bCs/>
          <w:b/>
        </w:rPr>
        <w:t xml:space="preserve">Die Vernichter gehen auf zwei Dinge zurück:</w:t>
      </w:r>
    </w:p>
    <w:p>
      <w:pPr>
        <w:numPr>
          <w:ilvl w:val="0"/>
          <w:numId w:val="1022"/>
        </w:numPr>
        <w:pStyle w:val="Compact"/>
      </w:pPr>
      <w:r>
        <w:rPr>
          <w:bCs/>
          <w:b/>
        </w:rPr>
        <w:t xml:space="preserve">Das Erste:</w:t>
      </w:r>
      <w:r>
        <w:t xml:space="preserve"> </w:t>
      </w:r>
      <w:r>
        <w:t xml:space="preserve">aš-Širk al-Akbar (der große Širk) – er ist ein Vernichter des Fundaments (aṣl) der Ulūhiyyah.</w:t>
      </w:r>
    </w:p>
    <w:p>
      <w:pPr>
        <w:numPr>
          <w:ilvl w:val="0"/>
          <w:numId w:val="1022"/>
        </w:numPr>
        <w:pStyle w:val="Compact"/>
      </w:pPr>
      <w:r>
        <w:rPr>
          <w:bCs/>
          <w:b/>
        </w:rPr>
        <w:t xml:space="preserve">Das Zweite:</w:t>
      </w:r>
      <w:r>
        <w:t xml:space="preserve"> </w:t>
      </w:r>
      <w:r>
        <w:t xml:space="preserve">aš-Širk al-Aṣghar (der kleine Širk) – er ist ein Vernichter der pflichtgemäßen Vollkommenheit (kamāl wāǧib) der Ulūhiyyah.</w:t>
      </w:r>
    </w:p>
    <w:bookmarkStart w:id="37" w:name="X6ccb246fd0c1847a9d3aeea98e131d9fc391494"/>
    <w:p>
      <w:pPr>
        <w:pStyle w:val="Heading5"/>
      </w:pPr>
      <w:r>
        <w:t xml:space="preserve">Der erste Vernichter: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3"/>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4"/>
        </w:numPr>
        <w:pStyle w:val="Compact"/>
      </w:pPr>
      <w:r>
        <w:t xml:space="preserve">Das Bittgebet der Anbetung (duʿāʾ ʿibādah).</w:t>
      </w:r>
    </w:p>
    <w:p>
      <w:pPr>
        <w:numPr>
          <w:ilvl w:val="0"/>
          <w:numId w:val="1024"/>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25"/>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25"/>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Begeher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Begeher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Begeher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Begehers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deine Tat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102566ecd2f183ecf77de87908dd2aee599796"/>
    <w:p>
      <w:pPr>
        <w:pStyle w:val="Heading5"/>
      </w:pPr>
      <w:r>
        <w:t xml:space="preserve">Der zweite Vernichter: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26"/>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26"/>
        </w:numPr>
        <w:pStyle w:val="Compact"/>
      </w:pPr>
      <w:r>
        <w:rPr>
          <w:bCs/>
          <w:b/>
        </w:rPr>
        <w:t xml:space="preserve">Das Zweite:</w:t>
      </w:r>
      <w:r>
        <w:t xml:space="preserve"> </w:t>
      </w:r>
      <w:r>
        <w:t xml:space="preserve">dass es ein Mittel zum großen Širk ist.</w:t>
      </w:r>
    </w:p>
    <w:p>
      <w:pPr>
        <w:numPr>
          <w:ilvl w:val="0"/>
          <w:numId w:val="1027"/>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28"/>
        </w:numPr>
        <w:pStyle w:val="Compact"/>
      </w:pPr>
      <w:r>
        <w:rPr>
          <w:iCs/>
          <w:i/>
        </w:rPr>
        <w:t xml:space="preserve">Weiteres Beispiel:</w:t>
      </w:r>
      <w:r>
        <w:t xml:space="preserve"> </w:t>
      </w:r>
      <w:r>
        <w:t xml:space="preserve">Das Heranziehen von etwas, das weder eine gesetzlich (šarʿī) noch eine (durch den Qadar)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29"/>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29"/>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29"/>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Der Glaube an die Engel</w:t>
      </w:r>
    </w:p>
    <w:p>
      <w:pPr>
        <w:pStyle w:val="SourceCode"/>
      </w:pPr>
      <w:r>
        <w:rPr>
          <w:rStyle w:val="VerbatimChar"/>
        </w:rPr>
        <w:t xml:space="preserve">&lt;div class="flow"&gt;</w:t>
      </w:r>
      <w:r>
        <w:br/>
      </w:r>
      <w:r>
        <w:rPr>
          <w:rStyle w:val="VerbatimChar"/>
        </w:rPr>
        <w:t xml:space="preserve">  &lt;div class="flow-caption"&gt;Abb. 7 — Der Glaube an die Engel (الإيمان بالملائكة)&lt;/div&gt;</w:t>
      </w:r>
      <w:r>
        <w:br/>
      </w:r>
      <w:r>
        <w:rPr>
          <w:rStyle w:val="VerbatimChar"/>
        </w:rPr>
        <w:t xml:space="preserve">  &lt;div class="flow-root"&gt;&lt;span class="ns"&gt;الإيمان بالملائكة&lt;/span&gt;Der Glaube an die Engel&lt;/div&gt;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class="ns"&gt;الإيمان المجمل&lt;/span&gt;&lt;span class="nt"&gt;Der allgemeine Glaube&lt;/span&gt;Der Glaube an ihre Existenz (al-īmān bi-wuǧūdihim)&lt;/div&gt;&lt;/div&gt;</w:t>
      </w:r>
      <w:r>
        <w:br/>
      </w:r>
      <w:r>
        <w:rPr>
          <w:rStyle w:val="VerbatimChar"/>
        </w:rPr>
        <w:t xml:space="preserve">    &lt;div class="flow-col"&gt;&lt;div class="flow-node plain"&gt;Man überschreitet bei ihrer Beschreibung nicht Qurʾān und Sunnah (لا يتجاوز في التعريف بهم القرآن والسنة)&lt;/div&gt;&lt;/div&gt;</w:t>
      </w:r>
      <w:r>
        <w:br/>
      </w:r>
      <w:r>
        <w:rPr>
          <w:rStyle w:val="VerbatimChar"/>
        </w:rPr>
        <w:t xml:space="preserve">    &lt;div class="flow-col"&gt;&lt;div class="flow-node"&gt;&lt;span class="ns"&gt;الإيمان المفصل&lt;/span&gt;&lt;span class="nt"&gt;Der detaillierte Glaube&lt;/span&gt;Glaube an ihre Namen · ihre Eigenschaften · ihre Taten&lt;/div&gt;&lt;/div&gt;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class="flow-row"&gt;&lt;div class="flow-col"&gt;&lt;div class="flow-node plain"&gt;Der Glaube an die Engel hat eine Wirkung auf die Überzeugung und das Verhalten des Dieners (للإيمان بالملائكة أثر على اعتقاد العبد وسلوكه)&lt;/div&gt;&lt;/div&gt;&lt;/div&gt;</w:t>
      </w:r>
      <w:r>
        <w:br/>
      </w:r>
      <w:r>
        <w:rPr>
          <w:rStyle w:val="VerbatimChar"/>
        </w:rPr>
        <w:t xml:space="preserve">  &lt;div class="flow-down"&gt;&lt;/div&gt;</w:t>
      </w:r>
      <w:r>
        <w:br/>
      </w:r>
      <w:r>
        <w:rPr>
          <w:rStyle w:val="VerbatimChar"/>
        </w:rPr>
        <w:t xml:space="preserve">  &lt;div class="flow-sub"&gt;نواقض الإيمان بالملائكة — Vernichter des Glaubens an die Engel&lt;/div&gt;</w:t>
      </w:r>
      <w:r>
        <w:br/>
      </w:r>
      <w:r>
        <w:rPr>
          <w:rStyle w:val="VerbatimChar"/>
        </w:rPr>
        <w:t xml:space="preserve">  &lt;div class="flow-row"&gt;</w:t>
      </w:r>
      <w:r>
        <w:br/>
      </w:r>
      <w:r>
        <w:rPr>
          <w:rStyle w:val="VerbatimChar"/>
        </w:rPr>
        <w:t xml:space="preserve">    &lt;div class="flow-col"&gt;&lt;div class="flow-node plain"&gt;Sie herabwürdigen (تنقص الملائكة)&lt;/div&gt;&lt;/div&gt;</w:t>
      </w:r>
      <w:r>
        <w:br/>
      </w:r>
      <w:r>
        <w:rPr>
          <w:rStyle w:val="VerbatimChar"/>
        </w:rPr>
        <w:t xml:space="preserve">    &lt;div class="flow-col"&gt;&lt;div class="flow-node plain"&gt;Glauben, sie kennten das absolute Verborgene (يعلمون الغيب المطلق)&lt;/div&gt;&lt;/div&gt;</w:t>
      </w:r>
      <w:r>
        <w:br/>
      </w:r>
      <w:r>
        <w:rPr>
          <w:rStyle w:val="VerbatimChar"/>
        </w:rPr>
        <w:t xml:space="preserve">    &lt;div class="flow-col"&gt;&lt;div class="flow-node plain"&gt;Glauben, sie seien Töchter Allahs (أنهم بنات الله)&lt;/div&gt;&lt;/div&gt;</w:t>
      </w:r>
      <w:r>
        <w:br/>
      </w:r>
      <w:r>
        <w:rPr>
          <w:rStyle w:val="VerbatimChar"/>
        </w:rPr>
        <w:t xml:space="preserve">    &lt;div class="flow-col"&gt;&lt;div class="flow-node plain"&gt;Glauben, sie verdienten Anbetung (يستحقون العبادة)&lt;/div&gt;&lt;/div&gt;</w:t>
      </w:r>
      <w:r>
        <w:br/>
      </w:r>
      <w:r>
        <w:rPr>
          <w:rStyle w:val="VerbatimChar"/>
        </w:rPr>
        <w:t xml:space="preserve">    &lt;div class="flow-col"&gt;&lt;div class="flow-node plain"&gt;An einige glauben, an andere nicht (ببعضهم دون بعض)&lt;/div&gt;&lt;/div&gt;</w:t>
      </w:r>
      <w:r>
        <w:br/>
      </w:r>
      <w:r>
        <w:rPr>
          <w:rStyle w:val="VerbatimChar"/>
        </w:rPr>
        <w:t xml:space="preserve">  &lt;/div&gt;</w:t>
      </w:r>
      <w:r>
        <w:br/>
      </w:r>
      <w:r>
        <w:rPr>
          <w:rStyle w:val="VerbatimChar"/>
        </w:rPr>
        <w:t xml:space="preserve">&lt;/div&gt;</w:t>
      </w:r>
    </w:p>
    <w:p>
      <w:pPr>
        <w:pStyle w:val="FirstParagraph"/>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sehen, und sie haben keinen Ebenbürtigen; so können wir sie nur über den Weg von Buch und Sunnah erkennen.</w:t>
      </w:r>
    </w:p>
    <w:p>
      <w:pPr>
        <w:pStyle w:val="BodyText"/>
      </w:pPr>
      <w:r>
        <w:rPr>
          <w:bCs/>
          <w:b/>
        </w:rPr>
        <w:t xml:space="preserve">Und die Engel sind, wie es in Buch und Sunnah (vorkommt):</w:t>
      </w:r>
    </w:p>
    <w:p>
      <w:pPr>
        <w:numPr>
          <w:ilvl w:val="0"/>
          <w:numId w:val="1030"/>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0"/>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0"/>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0"/>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0"/>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0"/>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0"/>
        </w:numPr>
        <w:pStyle w:val="Compact"/>
      </w:pPr>
      <w:r>
        <w:rPr>
          <w:bCs/>
          <w:b/>
        </w:rPr>
        <w:t xml:space="preserve">Sie haben Hände (Handflächen),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1"/>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2"/>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2"/>
        </w:numPr>
        <w:pStyle w:val="Compact"/>
      </w:pPr>
      <w:r>
        <w:rPr>
          <w:bCs/>
          <w:b/>
        </w:rPr>
        <w:t xml:space="preserve">Die dritte Kategorie:</w:t>
      </w:r>
      <w:r>
        <w:t xml:space="preserve"> </w:t>
      </w:r>
      <w:r>
        <w:t xml:space="preserve">Der Glaube an das, was wir an Taten von ihnen kennen. Die Engel – Allah</w:t>
      </w:r>
      <w:r>
        <w:t xml:space="preserve"> </w:t>
      </w:r>
      <w:r>
        <w:t xml:space="preserve">ﷻ</w:t>
      </w:r>
      <w:r>
        <w:t xml:space="preserve"> </w:t>
      </w:r>
      <w:r>
        <w:t xml:space="preserve">befahl ihnen Taten, sie widersetzen sich Allah</w:t>
      </w:r>
      <w:r>
        <w:t xml:space="preserve"> </w:t>
      </w:r>
      <w:r>
        <w:t xml:space="preserve">ﷻ</w:t>
      </w:r>
      <w:r>
        <w:t xml:space="preserve"> </w:t>
      </w:r>
      <w:r>
        <w:t xml:space="preserve">nicht in dem, was Er ihnen befiehlt, und tun, was ihnen befohlen wird. Wenn wir durch Buch und Sunnah etwas von ihren Taten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Taten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Taten aufzeichnen und niederschreiben. Dies alles gehört zu den Früchten des Glaubens an die Engel.</w:t>
      </w:r>
    </w:p>
    <w:bookmarkEnd w:id="47"/>
    <w:bookmarkStart w:id="48" w:name="X9d7a2ee904b72bb5ccdaf8aca8d700e9fef39c3"/>
    <w:p>
      <w:pPr>
        <w:pStyle w:val="Heading3"/>
      </w:pPr>
      <w:r>
        <w:t xml:space="preserve">Die Vernichter (Nawāqiḍ) des Glaubens an die Engel</w:t>
      </w:r>
    </w:p>
    <w:p>
      <w:pPr>
        <w:pStyle w:val="FirstParagraph"/>
      </w:pPr>
      <w:r>
        <w:rPr>
          <w:bCs/>
          <w:b/>
        </w:rPr>
        <w:t xml:space="preserve">Der erste Vernichter: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Vernichter: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Vernichter: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Vernichter: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Vernichter: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Der Glaube an die Bücher</w:t>
      </w:r>
    </w:p>
    <w:p>
      <w:pPr>
        <w:pStyle w:val="SourceCode"/>
      </w:pPr>
      <w:r>
        <w:rPr>
          <w:rStyle w:val="VerbatimChar"/>
        </w:rPr>
        <w:t xml:space="preserve">&lt;div class="flow"&gt;</w:t>
      </w:r>
      <w:r>
        <w:br/>
      </w:r>
      <w:r>
        <w:rPr>
          <w:rStyle w:val="VerbatimChar"/>
        </w:rPr>
        <w:t xml:space="preserve">  &lt;div class="flow-caption"&gt;Abb. 8 — Der Glaube an die Bücher (الإيمان بالكتب)&lt;/div&gt;</w:t>
      </w:r>
      <w:r>
        <w:br/>
      </w:r>
      <w:r>
        <w:rPr>
          <w:rStyle w:val="VerbatimChar"/>
        </w:rPr>
        <w:t xml:space="preserve">  &lt;div class="flow-root"&gt;&lt;span class="ns"&gt;الإيمان بالكتب&lt;/span&gt;Der Glaube an die Bücher&lt;/div&gt;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class="ns"&gt;الإيمان المجمل&lt;/span&gt;&lt;span class="nt"&gt;Der allgemeine Glaube&lt;/span&gt;Glaube an jedes Buch, das Allah herabsandte&lt;/div&gt;&lt;/div&gt;</w:t>
      </w:r>
      <w:r>
        <w:br/>
      </w:r>
      <w:r>
        <w:rPr>
          <w:rStyle w:val="VerbatimChar"/>
        </w:rPr>
        <w:t xml:space="preserve">    &lt;div class="flow-col"&gt;&lt;div class="flow-node plain"&gt;Es sind jene, die die Rede Allahs enthielten, die Er auf Seine Gesandten herabsandte&lt;/div&gt;&lt;/div&gt;</w:t>
      </w:r>
      <w:r>
        <w:br/>
      </w:r>
      <w:r>
        <w:rPr>
          <w:rStyle w:val="VerbatimChar"/>
        </w:rPr>
        <w:t xml:space="preserve">    &lt;div class="flow-col"&gt;&lt;div class="flow-node"&gt;&lt;span class="ns"&gt;الإيمان المفصل&lt;/span&gt;&lt;span class="nt"&gt;Der detaillierte Glaube&lt;/span&gt;Glaube an ihre Namen · ihre Bestätigung · Befolgung dessen, was im Qurʾān steht&lt;/div&gt;&lt;/div&gt;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الإيمان بالكتب — Vernichter&lt;/div&gt;</w:t>
      </w:r>
      <w:r>
        <w:br/>
      </w:r>
      <w:r>
        <w:rPr>
          <w:rStyle w:val="VerbatimChar"/>
        </w:rPr>
        <w:t xml:space="preserve">  &lt;div class="flow-row"&gt;</w:t>
      </w:r>
      <w:r>
        <w:br/>
      </w:r>
      <w:r>
        <w:rPr>
          <w:rStyle w:val="VerbatimChar"/>
        </w:rPr>
        <w:t xml:space="preserve">    &lt;div class="flow-col"&gt;&lt;div class="flow-node plain"&gt;Glauben, sie enthielten erschaffene Rede&lt;/div&gt;&lt;/div&gt;</w:t>
      </w:r>
      <w:r>
        <w:br/>
      </w:r>
      <w:r>
        <w:rPr>
          <w:rStyle w:val="VerbatimChar"/>
        </w:rPr>
        <w:t xml:space="preserve">    &lt;div class="flow-col"&gt;&lt;div class="flow-node plain"&gt;Glauben, der Qurʾān sei verfälscht oder unvollständig&lt;/div&gt;&lt;/div&gt;</w:t>
      </w:r>
      <w:r>
        <w:br/>
      </w:r>
      <w:r>
        <w:rPr>
          <w:rStyle w:val="VerbatimChar"/>
        </w:rPr>
        <w:t xml:space="preserve">    &lt;div class="flow-col"&gt;&lt;div class="flow-node plain"&gt;Sich nicht nach Allahs Buch richten lassen (aus Abwendung oder Verweigerung)&lt;/div&gt;&lt;/div&gt;</w:t>
      </w:r>
      <w:r>
        <w:br/>
      </w:r>
      <w:r>
        <w:rPr>
          <w:rStyle w:val="VerbatimChar"/>
        </w:rPr>
        <w:t xml:space="preserve">    &lt;div class="flow-col"&gt;&lt;div class="flow-node plain"&gt;An einige glauben, an andere nicht&lt;/div&gt;&lt;/div&gt;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class="flow-sub"&gt;خصائص القرآن — Besonderheiten des Qurʾān&lt;/div&gt;</w:t>
      </w:r>
      <w:r>
        <w:br/>
      </w:r>
      <w:r>
        <w:rPr>
          <w:rStyle w:val="VerbatimChar"/>
        </w:rPr>
        <w:t xml:space="preserve">  &lt;div class="flow-row"&gt;</w:t>
      </w:r>
      <w:r>
        <w:br/>
      </w:r>
      <w:r>
        <w:rPr>
          <w:rStyle w:val="VerbatimChar"/>
        </w:rPr>
        <w:t xml:space="preserve">    &lt;div class="flow-col"&gt;&lt;div class="flow-node accent"&gt;stückweise herabgesandt (munaǧǧam)&lt;/div&gt;&lt;/div&gt;</w:t>
      </w:r>
      <w:r>
        <w:br/>
      </w:r>
      <w:r>
        <w:rPr>
          <w:rStyle w:val="VerbatimChar"/>
        </w:rPr>
        <w:t xml:space="preserve">    &lt;div class="flow-col"&gt;&lt;div class="flow-node accent"&gt;bleibendes Wunder (muʿǧizah bāqiyah)&lt;/div&gt;&lt;/div&gt;</w:t>
      </w:r>
      <w:r>
        <w:br/>
      </w:r>
      <w:r>
        <w:rPr>
          <w:rStyle w:val="VerbatimChar"/>
        </w:rPr>
        <w:t xml:space="preserve">    &lt;div class="flow-col"&gt;&lt;div class="flow-node accent"&gt;Wächter über die Bücher (muhaymin)&lt;/div&gt;&lt;/div&gt;</w:t>
      </w:r>
      <w:r>
        <w:br/>
      </w:r>
      <w:r>
        <w:rPr>
          <w:rStyle w:val="VerbatimChar"/>
        </w:rPr>
        <w:t xml:space="preserve">    &lt;div class="flow-col"&gt;&lt;div class="flow-node accent"&gt;bewahrt (maḥfūẓ)&lt;/div&gt;&lt;/div&gt;</w:t>
      </w:r>
      <w:r>
        <w:br/>
      </w:r>
      <w:r>
        <w:rPr>
          <w:rStyle w:val="VerbatimChar"/>
        </w:rPr>
        <w:t xml:space="preserve">  &lt;/div&gt;</w:t>
      </w:r>
      <w:r>
        <w:br/>
      </w:r>
      <w:r>
        <w:rPr>
          <w:rStyle w:val="VerbatimChar"/>
        </w:rPr>
        <w:t xml:space="preserve">&lt;/div&gt;</w:t>
      </w:r>
    </w:p>
    <w:p>
      <w:pPr>
        <w:pStyle w:val="FirstParagraph"/>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3"/>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3"/>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3"/>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6eed0762a8042405765aa2b1165b0a8a8a60263"/>
    <w:p>
      <w:pPr>
        <w:pStyle w:val="Heading3"/>
      </w:pPr>
      <w:r>
        <w:t xml:space="preserve">Die Vernichter (Nawāqiḍ) des Glaubens an die Bücher</w:t>
      </w:r>
    </w:p>
    <w:p>
      <w:pPr>
        <w:pStyle w:val="FirstParagraph"/>
      </w:pPr>
      <w:r>
        <w:rPr>
          <w:bCs/>
          <w:b/>
        </w:rPr>
        <w:t xml:space="preserve">Der erste Vernichter: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Vernichter: Das Sich-nicht-Richten-lassen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Vernichter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Anmerkung (Erläuterung):</w:t>
      </w:r>
      <w:r>
        <w:t xml:space="preserve"> </w:t>
      </w:r>
      <w:r>
        <w:t xml:space="preserve">Gemeint ist: Man befolgt die Urteile (des Qurʾān) nicht, weil man nicht anerkennt, dass der Qurʾān einem etwas zu befehlen hat; man nimmt ihn nicht als maßgebliches Gesetzeswort für sich an, sondern wendet sich gänzlich davon ab, dass der Qurʾān einem etwas zu sagen hat.</w:t>
      </w:r>
    </w:p>
    <w:p>
      <w:pPr>
        <w:pStyle w:val="BodyText"/>
      </w:pPr>
      <w:r>
        <w:rPr>
          <w:bCs/>
          <w:b/>
        </w:rPr>
        <w:t xml:space="preserve">Der dritte Vernichter: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Vernichter des Glaubens an die Bücher gekommen.</w:t>
      </w:r>
    </w:p>
    <w:p>
      <w:pPr>
        <w:pStyle w:val="BodyText"/>
      </w:pPr>
      <w:r>
        <w:rPr>
          <w:bCs/>
          <w:b/>
        </w:rPr>
        <w:t xml:space="preserve">Der vierte Vernichter: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Der Glaube an die Gesandten</w:t>
      </w:r>
    </w:p>
    <w:p>
      <w:pPr>
        <w:pStyle w:val="SourceCode"/>
      </w:pPr>
      <w:r>
        <w:rPr>
          <w:rStyle w:val="VerbatimChar"/>
        </w:rPr>
        <w:t xml:space="preserve">&lt;div class="flow"&gt;</w:t>
      </w:r>
      <w:r>
        <w:br/>
      </w:r>
      <w:r>
        <w:rPr>
          <w:rStyle w:val="VerbatimChar"/>
        </w:rPr>
        <w:t xml:space="preserve">  &lt;div class="flow-caption"&gt;Abb. 9 — Der Glaube an die Gesandten (الإيمان بالرسل)&lt;/div&gt;</w:t>
      </w:r>
      <w:r>
        <w:br/>
      </w:r>
      <w:r>
        <w:rPr>
          <w:rStyle w:val="VerbatimChar"/>
        </w:rPr>
        <w:t xml:space="preserve">  &lt;div class="flow-root"&gt;&lt;span class="ns"&gt;الإيمان بالرسل&lt;/span&gt;Der Glaube an die Gesandten&lt;/div&gt;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class="ns"&gt;الإيمان المجمل&lt;/span&gt;&lt;span class="nt"&gt;Der allgemeine Glaube&lt;/span&gt;Glaube an jeden Gesandten und Propheten&lt;/div&gt;&lt;/div&gt;</w:t>
      </w:r>
      <w:r>
        <w:br/>
      </w:r>
      <w:r>
        <w:rPr>
          <w:rStyle w:val="VerbatimChar"/>
        </w:rPr>
        <w:t xml:space="preserve">    &lt;div class="flow-col"&gt;&lt;div class="flow-node plain"&gt;Sie sind jene, denen ein Gesetz (Šarʿ) zur Verkündung offenbart wurde&lt;/div&gt;&lt;/div&gt;</w:t>
      </w:r>
      <w:r>
        <w:br/>
      </w:r>
      <w:r>
        <w:rPr>
          <w:rStyle w:val="VerbatimChar"/>
        </w:rPr>
        <w:t xml:space="preserve">    &lt;div class="flow-col"&gt;&lt;div class="flow-node"&gt;&lt;span class="ns"&gt;الإيمان المفصل&lt;/span&gt;&lt;span class="nt"&gt;Der detaillierte Glaube&lt;/span&gt;Glaube an ihre Namen · ihre Bestätigung · Befolgung dessen, was unser Prophet brachte&lt;/div&gt;&lt;/div&gt;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الإيمان بالرسل — Vernichter&lt;/div&gt;</w:t>
      </w:r>
      <w:r>
        <w:br/>
      </w:r>
      <w:r>
        <w:rPr>
          <w:rStyle w:val="VerbatimChar"/>
        </w:rPr>
        <w:t xml:space="preserve">  &lt;div class="flow-row"&gt;</w:t>
      </w:r>
      <w:r>
        <w:br/>
      </w:r>
      <w:r>
        <w:rPr>
          <w:rStyle w:val="VerbatimChar"/>
        </w:rPr>
        <w:t xml:space="preserve">    &lt;div class="flow-col"&gt;&lt;div class="flow-node plain"&gt;Sie herabwürdigen oder schmähen&lt;/div&gt;&lt;/div&gt;</w:t>
      </w:r>
      <w:r>
        <w:br/>
      </w:r>
      <w:r>
        <w:rPr>
          <w:rStyle w:val="VerbatimChar"/>
        </w:rPr>
        <w:t xml:space="preserve">    &lt;div class="flow-col"&gt;&lt;div class="flow-node plain"&gt;Glauben, sie kennten das absolute Verborgene&lt;/div&gt;&lt;/div&gt;</w:t>
      </w:r>
      <w:r>
        <w:br/>
      </w:r>
      <w:r>
        <w:rPr>
          <w:rStyle w:val="VerbatimChar"/>
        </w:rPr>
        <w:t xml:space="preserve">    &lt;div class="flow-col"&gt;&lt;div class="flow-node plain"&gt;Glauben, sie hätten etwas von den Eigenheiten der Rubūbiyyah/Ulūhiyyah&lt;/div&gt;&lt;/div&gt;</w:t>
      </w:r>
      <w:r>
        <w:br/>
      </w:r>
      <w:r>
        <w:rPr>
          <w:rStyle w:val="VerbatimChar"/>
        </w:rPr>
        <w:t xml:space="preserve">    &lt;div class="flow-col"&gt;&lt;div class="flow-node plain"&gt;Sich richten lassen von anderen (als den Gesandten) – aus Abwendung, Ablehnung oder Zweifel&lt;/div&gt;&lt;/div&gt;</w:t>
      </w:r>
      <w:r>
        <w:br/>
      </w:r>
      <w:r>
        <w:rPr>
          <w:rStyle w:val="VerbatimChar"/>
        </w:rPr>
        <w:t xml:space="preserve">    &lt;div class="flow-col"&gt;&lt;div class="flow-node plain"&gt;An einige glauben, an andere nicht&lt;/div&gt;&lt;/div&gt;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class="flow-sub"&gt;خصائص الرسل / خصائص النبي ﷺ&lt;/div&gt;</w:t>
      </w:r>
      <w:r>
        <w:br/>
      </w:r>
      <w:r>
        <w:rPr>
          <w:rStyle w:val="VerbatimChar"/>
        </w:rPr>
        <w:t xml:space="preserve">  &lt;div class="flow-row"&gt;</w:t>
      </w:r>
      <w:r>
        <w:br/>
      </w:r>
      <w:r>
        <w:rPr>
          <w:rStyle w:val="VerbatimChar"/>
        </w:rPr>
        <w:t xml:space="preserve">    &lt;div class="flow-col"&gt;&lt;div class="flow-node accent"&gt;&lt;span class="nt"&gt;Eigenheiten der Gesandten&lt;/span&gt;Offenbarung (Waḥy) · Unfehlbarkeit (ʿIṣmah) · ihre Augen schlafen, nicht ihre Herzen · die Erde verzehrt ihre Körper nicht · lebendig in ihren Gräbern, betend&lt;/div&gt;&lt;/div&gt;</w:t>
      </w:r>
      <w:r>
        <w:br/>
      </w:r>
      <w:r>
        <w:rPr>
          <w:rStyle w:val="VerbatimChar"/>
        </w:rPr>
        <w:t xml:space="preserve">    &lt;div class="flow-col"&gt;&lt;div class="flow-node accent"&gt;&lt;span class="nt"&gt;Eigenheiten des Propheten ﷺ&lt;/span&gt;der beste der Propheten · gesandt zu Mensch und Dschinn · die große Fürsprache · die umfassenden Worte (Ǧawāmiʿ al-Kalim) · mit ihm wurde das Prophetentum versiegelt&lt;/div&gt;&lt;/div&gt;</w:t>
      </w:r>
      <w:r>
        <w:br/>
      </w:r>
      <w:r>
        <w:rPr>
          <w:rStyle w:val="VerbatimChar"/>
        </w:rPr>
        <w:t xml:space="preserve">  &lt;/div&gt;</w:t>
      </w:r>
      <w:r>
        <w:br/>
      </w:r>
      <w:r>
        <w:rPr>
          <w:rStyle w:val="VerbatimChar"/>
        </w:rPr>
        <w:t xml:space="preserve">&lt;/div&gt;</w:t>
      </w:r>
    </w:p>
    <w:p>
      <w:pPr>
        <w:pStyle w:val="FirstParagraph"/>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4"/>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4"/>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4"/>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1b6d75f0dce45dd94091d8e4f64e6d815a173c"/>
    <w:p>
      <w:pPr>
        <w:pStyle w:val="Heading3"/>
      </w:pPr>
      <w:r>
        <w:t xml:space="preserve">Die Vernichter (Nawāqiḍ) des Glaubens an die Gesandten</w:t>
      </w:r>
    </w:p>
    <w:p>
      <w:pPr>
        <w:pStyle w:val="FirstParagraph"/>
      </w:pPr>
      <w:r>
        <w:rPr>
          <w:bCs/>
          <w:b/>
        </w:rPr>
        <w:t xml:space="preserve">Der erste Vernichter: Der Glaube an einige Gesandte unter Ausschluss anderer.</w:t>
      </w:r>
      <w:r>
        <w:t xml:space="preserve"> </w:t>
      </w:r>
      <w:r>
        <w:t xml:space="preserve">Wer an einige Gesandte glaubt und an andere nicht, hat einen der Vernichter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Vernichter: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Vernichter: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Vernichter: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Vernichter: Das Herabwürdigen der Gesandten und das Geringschätzen ihrer oder das Schmähen (sabb) ihrer.</w:t>
      </w:r>
      <w:r>
        <w:t xml:space="preserve"> </w:t>
      </w:r>
      <w:r>
        <w:t xml:space="preserve">Wer die Gesandten schmäht oder herabwürdigt, ist mit einem der Vernichter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Mensch und Dschinn (aṯ-ṯaqalān),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Der Glaube an den Jüngsten Tag</w:t>
      </w:r>
    </w:p>
    <w:p>
      <w:pPr>
        <w:pStyle w:val="SourceCode"/>
      </w:pPr>
      <w:r>
        <w:rPr>
          <w:rStyle w:val="VerbatimChar"/>
        </w:rPr>
        <w:t xml:space="preserve">&lt;div class="flow"&gt;</w:t>
      </w:r>
      <w:r>
        <w:br/>
      </w:r>
      <w:r>
        <w:rPr>
          <w:rStyle w:val="VerbatimChar"/>
        </w:rPr>
        <w:t xml:space="preserve">  &lt;div class="flow-caption"&gt;Abb. 10 — Der Glaube an den Jüngsten Tag (الإيمان باليوم الآخر)&lt;/div&gt;</w:t>
      </w:r>
      <w:r>
        <w:br/>
      </w:r>
      <w:r>
        <w:rPr>
          <w:rStyle w:val="VerbatimChar"/>
        </w:rPr>
        <w:t xml:space="preserve">  &lt;div class="flow-root"&gt;&lt;span class="ns"&gt;الإيمان باليوم الآخر&lt;/span&gt;Der Glaube an den Jüngsten Tag&lt;/div&gt;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class="ns"&gt;الإيمان المجمل&lt;/span&gt;&lt;span class="nt"&gt;Der allgemeine Glaube&lt;/span&gt;Glaube, dass es einen Tag gibt, an dem Allah die Schöpfung auferweckt und für ihre Taten vergilt&lt;/div&gt;&lt;/div&gt;</w:t>
      </w:r>
      <w:r>
        <w:br/>
      </w:r>
      <w:r>
        <w:rPr>
          <w:rStyle w:val="VerbatimChar"/>
        </w:rPr>
        <w:t xml:space="preserve">    &lt;div class="flow-col"&gt;&lt;div class="flow-node plain"&gt;Alles, was nach dem Tod geschieht (ما يكون بعد الموت)&lt;/div&gt;&lt;/div&gt;</w:t>
      </w:r>
      <w:r>
        <w:br/>
      </w:r>
      <w:r>
        <w:rPr>
          <w:rStyle w:val="VerbatimChar"/>
        </w:rPr>
        <w:t xml:space="preserve">    &lt;div class="flow-col"&gt;&lt;div class="flow-node"&gt;&lt;span class="ns"&gt;الإيمان المفصل&lt;/span&gt;&lt;span class="nt"&gt;Der detaillierte Glaube&lt;/span&gt;</w:t>
      </w:r>
      <w:r>
        <w:br/>
      </w:r>
      <w:r>
        <w:rPr>
          <w:rStyle w:val="VerbatimChar"/>
        </w:rPr>
        <w:t xml:space="preserve">      &lt;ul&gt;&lt;li&gt;&lt;b&gt;Barzaḫ-Leben:&lt;/b&gt; Prüfung im Grab · Strafe/Wonne des Grabes · Stoß ins Horn&lt;/li&gt;&lt;li&gt;&lt;b&gt;Jenseits-Leben:&lt;/b&gt; Auferstehung · Versammlung · Fürsprache · Austeilung der Bücher · Abrechnung · Wägung · Becken · Brücke · Übergang (Qanṭara) · Paradies und Hölle&lt;/li&gt;&lt;/ul&gt;&lt;/div&gt;&lt;/div&gt;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الإيمان باليوم الآخر — Vernichter&lt;/div&gt;</w:t>
      </w:r>
      <w:r>
        <w:br/>
      </w:r>
      <w:r>
        <w:rPr>
          <w:rStyle w:val="VerbatimChar"/>
        </w:rPr>
        <w:t xml:space="preserve">  &lt;div class="flow-row"&gt;</w:t>
      </w:r>
      <w:r>
        <w:br/>
      </w:r>
      <w:r>
        <w:rPr>
          <w:rStyle w:val="VerbatimChar"/>
        </w:rPr>
        <w:t xml:space="preserve">    &lt;div class="flow-col"&gt;&lt;div class="flow-node plain"&gt;Umdeutung des Jüngsten Tages (تأويله)&lt;/div&gt;&lt;/div&gt;</w:t>
      </w:r>
      <w:r>
        <w:br/>
      </w:r>
      <w:r>
        <w:rPr>
          <w:rStyle w:val="VerbatimChar"/>
        </w:rPr>
        <w:t xml:space="preserve">    &lt;div class="flow-col"&gt;&lt;div class="flow-node plain"&gt;Leugnen und Verleugnen (إنكاره وجحده)&lt;/div&gt;&lt;/div&gt;</w:t>
      </w:r>
      <w:r>
        <w:br/>
      </w:r>
      <w:r>
        <w:rPr>
          <w:rStyle w:val="VerbatimChar"/>
        </w:rPr>
        <w:t xml:space="preserve">  &lt;/div&gt;</w:t>
      </w:r>
      <w:r>
        <w:br/>
      </w:r>
      <w:r>
        <w:rPr>
          <w:rStyle w:val="VerbatimChar"/>
        </w:rPr>
        <w:t xml:space="preserve">&lt;/div&gt;</w:t>
      </w:r>
    </w:p>
    <w:p>
      <w:pPr>
        <w:pStyle w:val="FirstParagraph"/>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Taten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35"/>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35"/>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36"/>
        </w:numPr>
        <w:pStyle w:val="Compact"/>
      </w:pPr>
      <w:r>
        <w:t xml:space="preserve">Der Stoß des Schreckens und des Todes (nafḫat al-fazaʿ waṣ-ṣaʿq).</w:t>
      </w:r>
    </w:p>
    <w:p>
      <w:pPr>
        <w:numPr>
          <w:ilvl w:val="0"/>
          <w:numId w:val="1036"/>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37"/>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37"/>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eine andere Erde als unsere Erde:</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Taten der Kinder Ādams aufgeschrieben sind. Der eine nimmt sein Buch mit seiner Rechten, der andere nimmt sein Buch mit seiner Linken hinter seinem Rücken.</w:t>
      </w:r>
    </w:p>
    <w:p>
      <w:pPr>
        <w:numPr>
          <w:ilvl w:val="0"/>
          <w:numId w:val="1038"/>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38"/>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Taten, damit ihnen dafür vergolten wird.</w:t>
      </w:r>
    </w:p>
    <w:p>
      <w:pPr>
        <w:pStyle w:val="BodyText"/>
      </w:pPr>
      <w:r>
        <w:rPr>
          <w:bCs/>
          <w:b/>
        </w:rPr>
        <w:t xml:space="preserve">Die Abrechnung ist zweierlei:</w:t>
      </w:r>
    </w:p>
    <w:p>
      <w:pPr>
        <w:numPr>
          <w:ilvl w:val="0"/>
          <w:numId w:val="1039"/>
        </w:numPr>
        <w:pStyle w:val="Compact"/>
      </w:pPr>
      <w:r>
        <w:rPr>
          <w:bCs/>
          <w:b/>
        </w:rPr>
        <w:t xml:space="preserve">Eine leichte Abrechnung (ḥisāb yasīr)</w:t>
      </w:r>
      <w:r>
        <w:t xml:space="preserve"> </w:t>
      </w:r>
      <w:r>
        <w:t xml:space="preserve">– das ist die (bloße) Vorlage (al-ʿarḍ).</w:t>
      </w:r>
    </w:p>
    <w:p>
      <w:pPr>
        <w:numPr>
          <w:ilvl w:val="0"/>
          <w:numId w:val="1039"/>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Taten;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Taten und die Bücher gewogen, und ebenso wird der Diener selbst gewogen. Bei der Wägung der Taten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Taten:</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0"/>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0"/>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Taten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5fa7ec0877b223af985d986a455c8effe30ca82"/>
    <w:p>
      <w:pPr>
        <w:pStyle w:val="Heading3"/>
      </w:pPr>
      <w:r>
        <w:t xml:space="preserve">Die Vernichter (Nawāqiḍ) des Glaubens an den Jüngsten Tag</w:t>
      </w:r>
    </w:p>
    <w:p>
      <w:pPr>
        <w:pStyle w:val="FirstParagraph"/>
      </w:pPr>
      <w:r>
        <w:rPr>
          <w:bCs/>
          <w:b/>
        </w:rPr>
        <w:t xml:space="preserve">Der erste Vernichter: Sein Leugnen und Verleugnen (inkāruhu wa-ǧuḥūduhu),</w:t>
      </w:r>
      <w:r>
        <w:t xml:space="preserve"> </w:t>
      </w:r>
      <w:r>
        <w:t xml:space="preserve">wie es die Leute des Unglaubens (taten) und wie es die Dahriyyūn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Vernichter: Die Umdeutung des Jüngsten Tages (taʾwīl al-yawm al-āḫir) und dessen, was an ihm geschieht.</w:t>
      </w:r>
      <w:r>
        <w:t xml:space="preserve"> </w:t>
      </w:r>
      <w:r>
        <w:t xml:space="preserve">Wer den Jüngsten Tag umdeutet, ist in einen der Vernichter des Glaubens an den Jüngsten Tag gefallen – wie jemand, der etwa kommt und sagt: Die Waage ist die Gerechtigkeit, und es gibt keine wirkliche Waage; und die Brücke ist (etwas) Sinnbildliches (maʿnawī), und es gibt keine sinnlich wahrnehmbare Brücke.</w:t>
      </w:r>
    </w:p>
    <w:p>
      <w:pPr>
        <w:pStyle w:val="BodyText"/>
      </w:pPr>
      <w:r>
        <w:t xml:space="preserve">Dies alles gehört zu den Vernichter; und von den Vernichter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Der Glaube an die göttliche Vorherbestimmung</w:t>
      </w:r>
    </w:p>
    <w:p>
      <w:pPr>
        <w:pStyle w:val="SourceCode"/>
      </w:pPr>
      <w:r>
        <w:rPr>
          <w:rStyle w:val="VerbatimChar"/>
        </w:rPr>
        <w:t xml:space="preserve">&lt;div class="flow"&gt;</w:t>
      </w:r>
      <w:r>
        <w:br/>
      </w:r>
      <w:r>
        <w:rPr>
          <w:rStyle w:val="VerbatimChar"/>
        </w:rPr>
        <w:t xml:space="preserve">  &lt;div class="flow-caption"&gt;Abb. 11 — Der Glaube an die Vorherbestimmung (الإيمان بالقدر)&lt;/div&gt;</w:t>
      </w:r>
      <w:r>
        <w:br/>
      </w:r>
      <w:r>
        <w:rPr>
          <w:rStyle w:val="VerbatimChar"/>
        </w:rPr>
        <w:t xml:space="preserve">  &lt;div class="flow-root"&gt;&lt;span class="ns"&gt;الإيمان بالقدر&lt;/span&gt;Der Glaube an die Vorherbestimmung&lt;/div&gt;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class="ns"&gt;الإيمان المجمل&lt;/span&gt;&lt;span class="nt"&gt;Der allgemeine Glaube&lt;/span&gt;Glaube, dass alles nach einem Maß (Qadar) ist und dass allein Allah es festlegt&lt;/div&gt;&lt;/div&gt;</w:t>
      </w:r>
      <w:r>
        <w:br/>
      </w:r>
      <w:r>
        <w:rPr>
          <w:rStyle w:val="VerbatimChar"/>
        </w:rPr>
        <w:t xml:space="preserve">    &lt;div class="flow-col"&gt;&lt;div class="flow-node plain"&gt;Allahs Bemessung der Geschöpfe gemäß Seinem vorausgehenden Wissen und dem Erfordernis Seiner Weisheit&lt;/div&gt;&lt;/div&gt;</w:t>
      </w:r>
      <w:r>
        <w:br/>
      </w:r>
      <w:r>
        <w:rPr>
          <w:rStyle w:val="VerbatimChar"/>
        </w:rPr>
        <w:t xml:space="preserve">    &lt;div class="flow-col"&gt;&lt;div class="flow-node"&gt;&lt;span class="ns"&gt;الإيمان المفصل&lt;/span&gt;&lt;span class="nt"&gt;Der detaillierte Glaube&lt;/span&gt;Glaube an alles, was die Texte im Einzelnen über den Qadar bringen&lt;/div&gt;&lt;/div&gt;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class="flow-sub"&gt;مراتب الإيمان بالقدر — Die vier Stufen&lt;/div&gt;</w:t>
      </w:r>
      <w:r>
        <w:br/>
      </w:r>
      <w:r>
        <w:rPr>
          <w:rStyle w:val="VerbatimChar"/>
        </w:rPr>
        <w:t xml:space="preserve">  &lt;div class="flow-row"&gt;</w:t>
      </w:r>
      <w:r>
        <w:br/>
      </w:r>
      <w:r>
        <w:rPr>
          <w:rStyle w:val="VerbatimChar"/>
        </w:rPr>
        <w:t xml:space="preserve">    &lt;div class="flow-col"&gt;&lt;div class="flow-node accent"&gt;&lt;span class="nt"&gt;al-ʿIlm (العلم)&lt;/span&gt;das Wissen&lt;/div&gt;&lt;/div&gt;</w:t>
      </w:r>
      <w:r>
        <w:br/>
      </w:r>
      <w:r>
        <w:rPr>
          <w:rStyle w:val="VerbatimChar"/>
        </w:rPr>
        <w:t xml:space="preserve">    &lt;div class="flow-col"&gt;&lt;div class="flow-node accent"&gt;&lt;span class="nt"&gt;al-Kitābah (الكتابة)&lt;/span&gt;das Aufschreiben&lt;/div&gt;&lt;/div&gt;</w:t>
      </w:r>
      <w:r>
        <w:br/>
      </w:r>
      <w:r>
        <w:rPr>
          <w:rStyle w:val="VerbatimChar"/>
        </w:rPr>
        <w:t xml:space="preserve">    &lt;div class="flow-col"&gt;&lt;div class="flow-node accent"&gt;&lt;span class="nt"&gt;al-Mašīʾah (المشيئة)&lt;/span&gt;der Wille&lt;/div&gt;&lt;/div&gt;</w:t>
      </w:r>
      <w:r>
        <w:br/>
      </w:r>
      <w:r>
        <w:rPr>
          <w:rStyle w:val="VerbatimChar"/>
        </w:rPr>
        <w:t xml:space="preserve">    &lt;div class="flow-col"&gt;&lt;div class="flow-node accent"&gt;&lt;span class="nt"&gt;al-Ḫalq (الخلق)&lt;/span&gt;die Erschaffung&lt;/div&gt;&lt;/div&gt;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class="flow-sub"&gt;نواقض الإيمان بالقدر — Vernichter&lt;/div&gt;</w:t>
      </w:r>
      <w:r>
        <w:br/>
      </w:r>
      <w:r>
        <w:rPr>
          <w:rStyle w:val="VerbatimChar"/>
        </w:rPr>
        <w:t xml:space="preserve">  &lt;div class="flow-row"&gt;</w:t>
      </w:r>
      <w:r>
        <w:br/>
      </w:r>
      <w:r>
        <w:rPr>
          <w:rStyle w:val="VerbatimChar"/>
        </w:rPr>
        <w:t xml:space="preserve">    &lt;div class="flow-col"&gt;&lt;div class="flow-node plain"&gt;Glauben, Allah habe die Diener (zu ihren Taten) gezwungen (الله جبر العباد) — die Ǧabriyyah&lt;/div&gt;&lt;/div&gt;</w:t>
      </w:r>
      <w:r>
        <w:br/>
      </w:r>
      <w:r>
        <w:rPr>
          <w:rStyle w:val="VerbatimChar"/>
        </w:rPr>
        <w:t xml:space="preserve">    &lt;div class="flow-col"&gt;&lt;div class="flow-node plain"&gt;Glauben, der Diener habe seine eigene Tat erschaffen (العبد خلق فعل نفسه) — die Qadariyyah&lt;/div&gt;&lt;/div&gt;</w:t>
      </w:r>
      <w:r>
        <w:br/>
      </w:r>
      <w:r>
        <w:rPr>
          <w:rStyle w:val="VerbatimChar"/>
        </w:rPr>
        <w:t xml:space="preserve">  &lt;/div&gt;</w:t>
      </w:r>
      <w:r>
        <w:br/>
      </w:r>
      <w:r>
        <w:rPr>
          <w:rStyle w:val="VerbatimChar"/>
        </w:rPr>
        <w:t xml:space="preserve">&lt;/div&gt;</w:t>
      </w:r>
    </w:p>
    <w:p>
      <w:pPr>
        <w:pStyle w:val="FirstParagraph"/>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1"/>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1"/>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2"/>
        </w:numPr>
        <w:pStyle w:val="Compact"/>
      </w:pPr>
      <w:r>
        <w:t xml:space="preserve">Das Wissen (al-ʿIlm).</w:t>
      </w:r>
    </w:p>
    <w:p>
      <w:pPr>
        <w:numPr>
          <w:ilvl w:val="0"/>
          <w:numId w:val="1042"/>
        </w:numPr>
        <w:pStyle w:val="Compact"/>
      </w:pPr>
      <w:r>
        <w:t xml:space="preserve">Das Aufschreiben (al-Kitābah).</w:t>
      </w:r>
    </w:p>
    <w:p>
      <w:pPr>
        <w:numPr>
          <w:ilvl w:val="0"/>
          <w:numId w:val="1042"/>
        </w:numPr>
        <w:pStyle w:val="Compact"/>
      </w:pPr>
      <w:r>
        <w:t xml:space="preserve">Der Wille (al-Mašīʾah).</w:t>
      </w:r>
    </w:p>
    <w:p>
      <w:pPr>
        <w:numPr>
          <w:ilvl w:val="0"/>
          <w:numId w:val="1042"/>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3"/>
        </w:numPr>
        <w:pStyle w:val="Compact"/>
      </w:pPr>
      <w:r>
        <w:t xml:space="preserve">Ein Aufschreiben in der bewahrten Tafel.</w:t>
      </w:r>
    </w:p>
    <w:p>
      <w:pPr>
        <w:numPr>
          <w:ilvl w:val="0"/>
          <w:numId w:val="1043"/>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w:t>
      </w:r>
      <w:r>
        <w:t xml:space="preserve"> </w:t>
      </w:r>
      <w:r>
        <w:t xml:space="preserve">ﷻ</w:t>
      </w:r>
      <w:r>
        <w:t xml:space="preserve"> </w:t>
      </w:r>
      <w:r>
        <w:t xml:space="preserve">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795d164eac9d1c078d6068e29216cfabc2f4ca8"/>
    <w:p>
      <w:pPr>
        <w:pStyle w:val="Heading3"/>
      </w:pPr>
      <w:r>
        <w:t xml:space="preserve">Die Vernichter (Nawāqiḍ) des Glaubens an den Qadar</w:t>
      </w:r>
    </w:p>
    <w:p>
      <w:pPr>
        <w:pStyle w:val="FirstParagraph"/>
      </w:pPr>
      <w:r>
        <w:rPr>
          <w:bCs/>
          <w:b/>
        </w:rPr>
        <w:t xml:space="preserve">Der erste Vernichter: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Vernichter: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Vernichter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Die Definition des Glaubens</w:t>
      </w:r>
    </w:p>
    <w:p>
      <w:pPr>
        <w:pStyle w:val="FirstParagraph"/>
      </w:pPr>
      <w:r>
        <w:t xml:space="preserve">Nachdem wir über das erste Tor gesprochen haben – die sechs Säulen des Īmān –, sprechen wir nun über das zweite Tor, nämlich das, was sich an die sechs Säulen des Īmān anschließt: den Musammā (die Definition/den Begriff) des Īmān, die Ṣaḥābah und die Imāmah.</w:t>
      </w:r>
    </w:p>
    <w:bookmarkStart w:id="77" w:name="Xacb43251b5ea05047037fbd063bbc9cdb9f9431"/>
    <w:p>
      <w:pPr>
        <w:pStyle w:val="Heading3"/>
      </w:pPr>
      <w:r>
        <w:t xml:space="preserve">Erste Frage: Der Īmān ist Wort und Tat (qawlun wa-ʿamal)</w:t>
      </w:r>
    </w:p>
    <w:p>
      <w:pPr>
        <w:pStyle w:val="FirstParagraph"/>
      </w:pPr>
      <w:r>
        <w:t xml:space="preserve">Der Īmān bei Ahl as-Sunnah wal-Jamāʿah – sie verstehen darunter: Wort und Tat (al-qawl wal-ʿamal). Das bedeutet: das Wort des Herzens – das ist die Überzeugung (al-iʿtiqād) –, das Wort der Zunge, die Tat des Herzens und die Tat der Glieder: All dies wird mit „Īmān" bezeichnet.</w:t>
      </w:r>
    </w:p>
    <w:p>
      <w:pPr>
        <w:pStyle w:val="BodyText"/>
      </w:pPr>
      <w:r>
        <w:t xml:space="preserve">So wird das Wort des Herzens „Īmān" genannt, das Wort der Zunge wird „Īmān" genannt, die Tat des Herzens wird „Īmān" genannt, und die Tat der Glieder wird „Īmān" genannt. Der Īmān umfasst also jedes Wort und jede Tat.</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Tat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die Tat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Taten der Herzen, und Er nannte es „Īmān".</w:t>
      </w:r>
    </w:p>
    <w:p>
      <w:pPr>
        <w:pStyle w:val="BodyText"/>
      </w:pPr>
      <w:r>
        <w:rPr>
          <w:bCs/>
          <w:b/>
        </w:rPr>
        <w:t xml:space="preserve">Was die Tat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44"/>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44"/>
        </w:numPr>
        <w:pStyle w:val="Compact"/>
      </w:pPr>
      <w:r>
        <w:t xml:space="preserve">Sein Wort „und der niedrigste ist das Entfernen des Schädlichen vom Weg" – dies ist eine Tat von den Taten der Glieder.</w:t>
      </w:r>
    </w:p>
    <w:p>
      <w:pPr>
        <w:numPr>
          <w:ilvl w:val="0"/>
          <w:numId w:val="1044"/>
        </w:numPr>
        <w:pStyle w:val="Compact"/>
      </w:pPr>
      <w:r>
        <w:t xml:space="preserve">Sein Wort „und die Schamhaftigkeit ist ein Zweig von den Zweigen des Īmān" – dies ist eine Tat von den Taten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die Tat.</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weniger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45"/>
        </w:numPr>
        <w:pStyle w:val="Compact"/>
      </w:pPr>
      <w:r>
        <w:t xml:space="preserve">al-Kufr al-Akbar (den großen Unglauben).</w:t>
      </w:r>
    </w:p>
    <w:p>
      <w:pPr>
        <w:numPr>
          <w:ilvl w:val="0"/>
          <w:numId w:val="1045"/>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46"/>
        </w:numPr>
        <w:pStyle w:val="Compact"/>
      </w:pPr>
      <w:r>
        <w:t xml:space="preserve">al-Kufr al-Aṣlī (den ursprünglichen Unglauben).</w:t>
      </w:r>
    </w:p>
    <w:p>
      <w:pPr>
        <w:numPr>
          <w:ilvl w:val="0"/>
          <w:numId w:val="1046"/>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47"/>
        </w:numPr>
        <w:pStyle w:val="Compact"/>
      </w:pPr>
      <w:r>
        <w:t xml:space="preserve">at-Takḏīb (das Für-Lüge-Erklären).</w:t>
      </w:r>
    </w:p>
    <w:p>
      <w:pPr>
        <w:numPr>
          <w:ilvl w:val="0"/>
          <w:numId w:val="1047"/>
        </w:numPr>
        <w:pStyle w:val="Compact"/>
      </w:pPr>
      <w:r>
        <w:t xml:space="preserve">al-Istikbār (der Hochmut).</w:t>
      </w:r>
    </w:p>
    <w:p>
      <w:pPr>
        <w:numPr>
          <w:ilvl w:val="0"/>
          <w:numId w:val="1047"/>
        </w:numPr>
        <w:pStyle w:val="Compact"/>
      </w:pPr>
      <w:r>
        <w:t xml:space="preserve">al-Iʿrāḍ (die Abwendung).</w:t>
      </w:r>
    </w:p>
    <w:p>
      <w:pPr>
        <w:numPr>
          <w:ilvl w:val="0"/>
          <w:numId w:val="1047"/>
        </w:numPr>
        <w:pStyle w:val="Compact"/>
      </w:pPr>
      <w:r>
        <w:t xml:space="preserve">aš-Šakk (der Zweifel).</w:t>
      </w:r>
    </w:p>
    <w:p>
      <w:pPr>
        <w:numPr>
          <w:ilvl w:val="0"/>
          <w:numId w:val="1047"/>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Vernichter des Īmān kommt.</w:t>
      </w:r>
    </w:p>
    <w:p>
      <w:pPr>
        <w:pStyle w:val="BodyText"/>
      </w:pPr>
      <w:r>
        <w:rPr>
          <w:bCs/>
          <w:b/>
        </w:rPr>
        <w:t xml:space="preserve">Der Unglaube der Apostasie</w:t>
      </w:r>
      <w:r>
        <w:t xml:space="preserve"> </w:t>
      </w:r>
      <w:r>
        <w:t xml:space="preserve">kann durch das Wort des Herzens geschehen, durch das Wort der Zunge, durch die Tat des Herzens oder durch die Tat der Glieder:</w:t>
      </w:r>
    </w:p>
    <w:p>
      <w:pPr>
        <w:numPr>
          <w:ilvl w:val="0"/>
          <w:numId w:val="1048"/>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48"/>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48"/>
        </w:numPr>
        <w:pStyle w:val="Compact"/>
      </w:pPr>
      <w:r>
        <w:rPr>
          <w:bCs/>
          <w:b/>
        </w:rPr>
        <w:t xml:space="preserve">Die Tat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48"/>
        </w:numPr>
        <w:pStyle w:val="Compact"/>
      </w:pPr>
      <w:r>
        <w:rPr>
          <w:bCs/>
          <w:b/>
        </w:rPr>
        <w:t xml:space="preserve">Die Tat der Glieder:</w:t>
      </w:r>
      <w:r>
        <w:t xml:space="preserve"> </w:t>
      </w:r>
      <w:r>
        <w:t xml:space="preserve">wie wenn jemand sich vor einem Grab oder einem Götzen niederwirft.</w:t>
      </w:r>
    </w:p>
    <w:p>
      <w:pPr>
        <w:pStyle w:val="FirstParagraph"/>
      </w:pPr>
      <w:r>
        <w:t xml:space="preserve">So wie das Wort ein Vernichter von den Vernichtern des Īmān sein kann, so kann ebenso die Tat ein Vernichter von den Vernichtern des Īmān sein.</w:t>
      </w:r>
    </w:p>
    <w:p>
      <w:pPr>
        <w:pStyle w:val="BodyText"/>
      </w:pPr>
      <w:r>
        <w:rPr>
          <w:bCs/>
          <w:b/>
        </w:rPr>
        <w:t xml:space="preserve">Wir haben jedoch eine wichtige Grundregel beim Unglauben der Apostasie, nämlich:</w:t>
      </w:r>
    </w:p>
    <w:p>
      <w:pPr>
        <w:pStyle w:val="BodyText"/>
      </w:pPr>
      <w:r>
        <w:rPr>
          <w:iCs/>
          <w:i/>
        </w:rPr>
        <w:t xml:space="preserve">„Das allgemeine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(überhaupt) zurechnungsfähig?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allgemeine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Begeher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die Tat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Tat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Die Prophetengefährten (aṣ-Ṣaḥābah)</w:t>
      </w:r>
    </w:p>
    <w:p>
      <w:pPr>
        <w:pStyle w:val="SourceCode"/>
      </w:pPr>
      <w:r>
        <w:rPr>
          <w:rStyle w:val="VerbatimChar"/>
        </w:rPr>
        <w:t xml:space="preserve">&lt;div class="flow"&gt;</w:t>
      </w:r>
      <w:r>
        <w:br/>
      </w:r>
      <w:r>
        <w:rPr>
          <w:rStyle w:val="VerbatimChar"/>
        </w:rPr>
        <w:t xml:space="preserve">  &lt;div class="flow-caption"&gt;Abb. 12 — Aṣ-Ṣaḥābah (die Prophetengefährten)&lt;/div&gt;</w:t>
      </w:r>
      <w:r>
        <w:br/>
      </w:r>
      <w:r>
        <w:rPr>
          <w:rStyle w:val="VerbatimChar"/>
        </w:rPr>
        <w:t xml:space="preserve">  &lt;div class="flow-root"&gt;&lt;span class="ns"&gt;الصحابة&lt;/span&gt;Aṣ-Ṣaḥābah&lt;/div&gt;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class="ns"&gt;صفاتهم&lt;/span&gt;&lt;span class="nt"&gt;Ihre Eigenschaften&lt;/span&gt;</w:t>
      </w:r>
      <w:r>
        <w:br/>
      </w:r>
      <w:r>
        <w:rPr>
          <w:rStyle w:val="VerbatimChar"/>
        </w:rPr>
        <w:t xml:space="preserve">      &lt;ul&gt;&lt;li&gt;ihre Rechtschaffenheit (ʿadālah)&lt;/li&gt;&lt;li&gt;die Güte ihrer Herzen&lt;/li&gt;&lt;li&gt;die Besten von allen, die nach ihnen kamen&lt;/li&gt;&lt;/ul&gt;&lt;/div&gt;&lt;/div&gt;</w:t>
      </w:r>
      <w:r>
        <w:br/>
      </w:r>
      <w:r>
        <w:rPr>
          <w:rStyle w:val="VerbatimChar"/>
        </w:rPr>
        <w:t xml:space="preserve">    &lt;div class="flow-col"&gt;&lt;div class="flow-node plain"&gt;&lt;span class="nt"&gt;Definition&lt;/span&gt;Wer den Propheten ﷺ zu seinen Lebzeiten – nach dessen Entsendung – als Gläubiger an ihn sah und darauf starb&lt;/div&gt;&lt;/div&gt;</w:t>
      </w:r>
      <w:r>
        <w:br/>
      </w:r>
      <w:r>
        <w:rPr>
          <w:rStyle w:val="VerbatimChar"/>
        </w:rPr>
        <w:t xml:space="preserve">    &lt;div class="flow-col"&gt;&lt;div class="flow-node"&gt;&lt;span class="ns"&gt;واجب الأمة نحوهم&lt;/span&gt;&lt;span class="nt"&gt;Pflicht der Ummah ihnen gegenüber&lt;/span&gt;</w:t>
      </w:r>
      <w:r>
        <w:br/>
      </w:r>
      <w:r>
        <w:rPr>
          <w:rStyle w:val="VerbatimChar"/>
        </w:rPr>
        <w:t xml:space="preserve">      &lt;ul&gt;&lt;li&gt;sie zu lieben (maḥabbah)&lt;/li&gt;&lt;li&gt;sie zu ehren und hochzuachten&lt;/li&gt;&lt;li&gt;für sie um Barmherzigkeit zu bitten&lt;/li&gt;&lt;li&gt;sich dessen zu enthalten, was zwischen ihnen vorfiel&lt;/li&gt;&lt;/ul&gt;&lt;/div&gt;&lt;/div&gt;</w:t>
      </w:r>
      <w:r>
        <w:br/>
      </w:r>
      <w:r>
        <w:rPr>
          <w:rStyle w:val="VerbatimChar"/>
        </w:rPr>
        <w:t xml:space="preserve">  &lt;/div&gt;</w:t>
      </w:r>
      <w:r>
        <w:br/>
      </w:r>
      <w:r>
        <w:rPr>
          <w:rStyle w:val="VerbatimChar"/>
        </w:rPr>
        <w:t xml:space="preserve">  &lt;div class="flow-down"&gt;&lt;/div&gt;</w:t>
      </w:r>
      <w:r>
        <w:br/>
      </w:r>
      <w:r>
        <w:rPr>
          <w:rStyle w:val="VerbatimChar"/>
        </w:rPr>
        <w:t xml:space="preserve">  &lt;div class="flow-row"&gt;&lt;div class="flow-col"&gt;&lt;div class="flow-node accent"&gt;Allah hatte Wohlgefallen an der ʿAqīdah der Ṣaḥābah und ihrer Methodik; es gibt keine Rettung und kein Heil außer durch ihre Nachfolge in Güte.&lt;/div&gt;&lt;/div&gt;&lt;/div&gt;</w:t>
      </w:r>
      <w:r>
        <w:br/>
      </w:r>
      <w:r>
        <w:rPr>
          <w:rStyle w:val="VerbatimChar"/>
        </w:rPr>
        <w:t xml:space="preserve">&lt;/div&gt;</w:t>
      </w:r>
    </w:p>
    <w:p>
      <w:pPr>
        <w:pStyle w:val="FirstParagraph"/>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Entsendung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Entsendung sein; wer ihn zu seinen Lebzeiten vor seiner Entsendung sah, ist kein Ṣaḥābī, sondern es muss nach der Entsendung des Gesandten Allahs</w:t>
      </w:r>
      <w:r>
        <w:t xml:space="preserve"> </w:t>
      </w:r>
      <w:r>
        <w:t xml:space="preserve">ﷺ</w:t>
      </w:r>
      <w:r>
        <w:t xml:space="preserve"> </w:t>
      </w:r>
      <w:r>
        <w:t xml:space="preserve">sein. Und er muss ihn notwendigerweise als Gläubiger an ihn gesehen haben; wer ihn also zu seinen Lebzeiten nach seiner Entsendung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ihrer Methodik;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ihrer Methodik.</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Vernichter von den Vernichter (der korrekten ʿAqīdah).</w:t>
      </w:r>
    </w:p>
    <w:p>
      <w:pPr>
        <w:pStyle w:val="BodyText"/>
      </w:pPr>
      <w:r>
        <w:t xml:space="preserve">۞</w:t>
      </w:r>
    </w:p>
    <w:bookmarkEnd w:id="86"/>
    <w:bookmarkEnd w:id="87"/>
    <w:bookmarkStart w:id="91" w:name="imama"/>
    <w:p>
      <w:pPr>
        <w:pStyle w:val="Heading2"/>
      </w:pPr>
      <w:r>
        <w:t xml:space="preserve">Das Imamat (die Führung)</w:t>
      </w:r>
    </w:p>
    <w:p>
      <w:pPr>
        <w:pStyle w:val="SourceCode"/>
      </w:pPr>
      <w:r>
        <w:rPr>
          <w:rStyle w:val="VerbatimChar"/>
        </w:rPr>
        <w:t xml:space="preserve">&lt;div class="flow"&gt;</w:t>
      </w:r>
      <w:r>
        <w:br/>
      </w:r>
      <w:r>
        <w:rPr>
          <w:rStyle w:val="VerbatimChar"/>
        </w:rPr>
        <w:t xml:space="preserve">  &lt;div class="flow-caption"&gt;Abb. 13 — Al-Imāmah (die Führung)&lt;/div&gt;</w:t>
      </w:r>
      <w:r>
        <w:br/>
      </w:r>
      <w:r>
        <w:rPr>
          <w:rStyle w:val="VerbatimChar"/>
        </w:rPr>
        <w:t xml:space="preserve">  &lt;div class="flow-root"&gt;&lt;span class="ns"&gt;الإمامة&lt;/span&gt;Al-Imāmah&lt;/div&gt;</w:t>
      </w:r>
      <w:r>
        <w:br/>
      </w:r>
      <w:r>
        <w:rPr>
          <w:rStyle w:val="VerbatimChar"/>
        </w:rPr>
        <w:t xml:space="preserve">  &lt;div class="flow-down"&gt;&lt;/div&gt;</w:t>
      </w:r>
      <w:r>
        <w:br/>
      </w:r>
      <w:r>
        <w:rPr>
          <w:rStyle w:val="VerbatimChar"/>
        </w:rPr>
        <w:t xml:space="preserve">  &lt;div class="flow-arrow"&gt;▼&lt;/div&gt;</w:t>
      </w:r>
      <w:r>
        <w:br/>
      </w:r>
      <w:r>
        <w:rPr>
          <w:rStyle w:val="VerbatimChar"/>
        </w:rPr>
        <w:t xml:space="preserve">  &lt;div class="flow-row"&gt;</w:t>
      </w:r>
      <w:r>
        <w:br/>
      </w:r>
      <w:r>
        <w:rPr>
          <w:rStyle w:val="VerbatimChar"/>
        </w:rPr>
        <w:t xml:space="preserve">    &lt;div class="flow-col"&gt;&lt;div class="flow-node"&gt;&lt;span class="ns"&gt;طرق تولية الإمام&lt;/span&gt;&lt;span class="nt"&gt;Wege der Einsetzung des Imām&lt;/span&gt;</w:t>
      </w:r>
      <w:r>
        <w:br/>
      </w:r>
      <w:r>
        <w:rPr>
          <w:rStyle w:val="VerbatimChar"/>
        </w:rPr>
        <w:t xml:space="preserve">      &lt;ul&gt;&lt;li&gt;&lt;b&gt;Wählend (iḫtiyāriyyah):&lt;/b&gt; Bayʿah der Ahl al-Ḥall wal-ʿAqd · Nachfolgebestimmung des Ersten für den Zweiten&lt;/li&gt;&lt;li&gt;&lt;b&gt;Notgedrungen (iḍṭirāriyyah):&lt;/b&gt; was auf ungesetzlichem Weg ergriffen wird (Gewaltherrschaft)&lt;/li&gt;&lt;/ul&gt;&lt;/div&gt;&lt;/div&gt;</w:t>
      </w:r>
      <w:r>
        <w:br/>
      </w:r>
      <w:r>
        <w:rPr>
          <w:rStyle w:val="VerbatimChar"/>
        </w:rPr>
        <w:t xml:space="preserve">    &lt;div class="flow-col"&gt;&lt;div class="flow-node plain"&gt;&lt;span class="ns"&gt;مبايعة الإمام&lt;/span&gt;&lt;span class="nt"&gt;Bayʿah (Treueid) für den Imām&lt;/span&gt;ist individuelle Pflicht (wāǧib ʿaynī)&lt;/div&gt;&lt;/div&gt;</w:t>
      </w:r>
      <w:r>
        <w:br/>
      </w:r>
      <w:r>
        <w:rPr>
          <w:rStyle w:val="VerbatimChar"/>
        </w:rPr>
        <w:t xml:space="preserve">    &lt;div class="flow-col"&gt;&lt;div class="flow-node"&gt;&lt;span class="ns"&gt;حقوق الإمام&lt;/span&gt;&lt;span class="nt"&gt;Rechte des Imām&lt;/span&gt;</w:t>
      </w:r>
      <w:r>
        <w:br/>
      </w:r>
      <w:r>
        <w:rPr>
          <w:rStyle w:val="VerbatimChar"/>
        </w:rPr>
        <w:t xml:space="preserve">      &lt;ul&gt;&lt;li&gt;Hören und Gehorchen im Rechten&lt;/li&gt;&lt;li&gt;kein Aufstand gegen ihn&lt;/li&gt;&lt;li&gt;aufrichtiger Rat (Naṣīḥah)&lt;/li&gt;&lt;li&gt;ihn zu ehren&lt;/li&gt;&lt;/ul&gt;&lt;/div&gt;&lt;/div&gt;</w:t>
      </w:r>
      <w:r>
        <w:br/>
      </w:r>
      <w:r>
        <w:rPr>
          <w:rStyle w:val="VerbatimChar"/>
        </w:rPr>
        <w:t xml:space="preserve">  &lt;/div&gt;</w:t>
      </w:r>
      <w:r>
        <w:br/>
      </w:r>
      <w:r>
        <w:rPr>
          <w:rStyle w:val="VerbatimChar"/>
        </w:rPr>
        <w:t xml:space="preserve">&lt;/div&gt;</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49"/>
        </w:numPr>
        <w:pStyle w:val="Compact"/>
      </w:pPr>
      <w:r>
        <w:rPr>
          <w:bCs/>
          <w:b/>
        </w:rPr>
        <w:t xml:space="preserve">Der erste:</w:t>
      </w:r>
      <w:r>
        <w:t xml:space="preserve"> </w:t>
      </w:r>
      <w:r>
        <w:t xml:space="preserve">wählend (iḫtiyāriyyah).</w:t>
      </w:r>
    </w:p>
    <w:p>
      <w:pPr>
        <w:numPr>
          <w:ilvl w:val="0"/>
          <w:numId w:val="104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5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5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einigten sich die Leute des Wissens (darauf), dass er zum Herrscher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Das Ehren des Machthabers (taʿẓīm as-sulṭān).</w:t>
      </w:r>
      <w:r>
        <w:t xml:space="preserve"> </w:t>
      </w:r>
      <w:r>
        <w:t xml:space="preserve">So ist es Pflicht, den Machthaber zu ehren; denn wird er nicht geehrt,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die Tat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einigten sich (darauf),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unseren Propheten Muḥammad und schenke ihm Frieden, ebenso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2026-09-11T04:32:09Z</dcterms:created>
  <dcterms:modified xsi:type="dcterms:W3CDTF">2026-09-11T04:32:09Z</dcterms:modified>
</cp:coreProperties>
</file>

<file path=docProps/custom.xml><?xml version="1.0" encoding="utf-8"?>
<Properties xmlns="http://schemas.openxmlformats.org/officeDocument/2006/custom-properties" xmlns:vt="http://schemas.openxmlformats.org/officeDocument/2006/docPropsVTypes"/>
</file>