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salafitischen Regeln und Maßstäbe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Seiner Gestalt"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Herleitung (Maṣādir at-Talaqqī)</w:t>
        </w:r>
      </w:hyperlink>
    </w:p>
    <w:p>
      <w:pPr>
        <w:numPr>
          <w:ilvl w:val="0"/>
          <w:numId w:val="1001"/>
        </w:numPr>
        <w:pStyle w:val="Compact"/>
      </w:pPr>
      <w:hyperlink w:anchor="tor-1">
        <w:r>
          <w:rPr>
            <w:rStyle w:val="Hyperlink"/>
          </w:rPr>
          <w:t xml:space="preserve">Tor 1 – Die sechs Säulen des Īmān</w:t>
        </w:r>
      </w:hyperlink>
    </w:p>
    <w:p>
      <w:pPr>
        <w:numPr>
          <w:ilvl w:val="0"/>
          <w:numId w:val="1002"/>
        </w:numPr>
        <w:pStyle w:val="Compact"/>
      </w:pPr>
      <w:hyperlink w:anchor="pillar-1">
        <w:r>
          <w:rPr>
            <w:rStyle w:val="Hyperlink"/>
          </w:rPr>
          <w:t xml:space="preserve">1. Säule: Īmān billāh</w:t>
        </w:r>
      </w:hyperlink>
    </w:p>
    <w:p>
      <w:pPr>
        <w:numPr>
          <w:ilvl w:val="0"/>
          <w:numId w:val="1002"/>
        </w:numPr>
        <w:pStyle w:val="Compact"/>
      </w:pPr>
      <w:hyperlink w:anchor="pillar-2">
        <w:r>
          <w:rPr>
            <w:rStyle w:val="Hyperlink"/>
          </w:rPr>
          <w:t xml:space="preserve">2. Säule: Īmān bil-Malāʾikah</w:t>
        </w:r>
      </w:hyperlink>
    </w:p>
    <w:p>
      <w:pPr>
        <w:numPr>
          <w:ilvl w:val="0"/>
          <w:numId w:val="1002"/>
        </w:numPr>
        <w:pStyle w:val="Compact"/>
      </w:pPr>
      <w:hyperlink w:anchor="pillar-3">
        <w:r>
          <w:rPr>
            <w:rStyle w:val="Hyperlink"/>
          </w:rPr>
          <w:t xml:space="preserve">3. Säule: Īmān bil-Kutub</w:t>
        </w:r>
      </w:hyperlink>
    </w:p>
    <w:p>
      <w:pPr>
        <w:numPr>
          <w:ilvl w:val="0"/>
          <w:numId w:val="1002"/>
        </w:numPr>
        <w:pStyle w:val="Compact"/>
      </w:pPr>
      <w:hyperlink w:anchor="pillar-4">
        <w:r>
          <w:rPr>
            <w:rStyle w:val="Hyperlink"/>
          </w:rPr>
          <w:t xml:space="preserve">4. Säule: Īmān bir-Rusul</w:t>
        </w:r>
      </w:hyperlink>
    </w:p>
    <w:p>
      <w:pPr>
        <w:numPr>
          <w:ilvl w:val="0"/>
          <w:numId w:val="1002"/>
        </w:numPr>
        <w:pStyle w:val="Compact"/>
      </w:pPr>
      <w:hyperlink w:anchor="pillar-5">
        <w:r>
          <w:rPr>
            <w:rStyle w:val="Hyperlink"/>
          </w:rPr>
          <w:t xml:space="preserve">5. Säule: Īmān bil-Yawm al-Ākhir</w:t>
        </w:r>
      </w:hyperlink>
    </w:p>
    <w:p>
      <w:pPr>
        <w:numPr>
          <w:ilvl w:val="0"/>
          <w:numId w:val="1002"/>
        </w:numPr>
        <w:pStyle w:val="Compact"/>
      </w:pPr>
      <w:hyperlink w:anchor="pillar-6">
        <w:r>
          <w:rPr>
            <w:rStyle w:val="Hyperlink"/>
          </w:rPr>
          <w:t xml:space="preserve">6. Säule: Īmān bil-Qadar</w:t>
        </w:r>
      </w:hyperlink>
    </w:p>
    <w:p>
      <w:pPr>
        <w:numPr>
          <w:ilvl w:val="0"/>
          <w:numId w:val="1003"/>
        </w:numPr>
        <w:pStyle w:val="Compact"/>
      </w:pPr>
      <w:hyperlink w:anchor="tor-2">
        <w:r>
          <w:rPr>
            <w:rStyle w:val="Hyperlink"/>
          </w:rPr>
          <w:t xml:space="preserve">Tor 2 – Der Musammā des Īmān</w:t>
        </w:r>
      </w:hyperlink>
    </w:p>
    <w:p>
      <w:pPr>
        <w:numPr>
          <w:ilvl w:val="0"/>
          <w:numId w:val="1003"/>
        </w:numPr>
        <w:pStyle w:val="Compact"/>
      </w:pPr>
      <w:hyperlink w:anchor="sahaba">
        <w:r>
          <w:rPr>
            <w:rStyle w:val="Hyperlink"/>
          </w:rPr>
          <w:t xml:space="preserve">Aṣ-Ṣaḥābah</w:t>
        </w:r>
      </w:hyperlink>
    </w:p>
    <w:p>
      <w:pPr>
        <w:numPr>
          <w:ilvl w:val="0"/>
          <w:numId w:val="1003"/>
        </w:numPr>
        <w:pStyle w:val="Compact"/>
      </w:pPr>
      <w:hyperlink w:anchor="imama">
        <w:r>
          <w:rPr>
            <w:rStyle w:val="Hyperlink"/>
          </w:rPr>
          <w:t xml:space="preserve">Al-Imāmah</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und schenke Heil unserem Propheten Muḥammad,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die beiden Lasten (Menschen und Dschinn,</w:t>
      </w:r>
      <w:r>
        <w:t xml:space="preserve">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 (مجمل أبواب العقيدة)</w:t>
      </w:r>
    </w:p>
    <w:p>
      <w:pPr>
        <w:pStyle w:val="BodyText"/>
      </w:pPr>
      <w:r>
        <w:t xml:space="preserve">مجمل أبواب العقيدة</w:t>
      </w:r>
      <w:r>
        <w:t xml:space="preserve">Gesamtübersicht der Tore der ʿAqīdah</w:t>
      </w:r>
    </w:p>
    <w:p>
      <w:pPr>
        <w:pStyle w:val="BodyText"/>
      </w:pPr>
      <w:r>
        <w:t xml:space="preserve">▼</w:t>
      </w:r>
    </w:p>
    <w:p>
      <w:pPr>
        <w:pStyle w:val="BodyText"/>
      </w:pPr>
      <w:r>
        <w:t xml:space="preserve">الباب الأول</w:t>
      </w:r>
      <w:r>
        <w:t xml:space="preserve">Tor 1 — Arkān al-Īmān</w:t>
      </w:r>
      <w:r>
        <w:t xml:space="preserve">Die sechs Säulen des Īmān:</w:t>
      </w:r>
    </w:p>
    <w:p>
      <w:pPr>
        <w:numPr>
          <w:ilvl w:val="0"/>
          <w:numId w:val="1004"/>
        </w:numPr>
        <w:pStyle w:val="Compact"/>
      </w:pPr>
      <w:r>
        <w:t xml:space="preserve">Īmān billāh – Glaube an Allah (Rubūbiyyah – Herrschaft · Asmāʾ waṣ-Ṣifāt – Namen u. Eigenschaften · Ulūhiyyah – Anbetung)</w:t>
      </w:r>
    </w:p>
    <w:p>
      <w:pPr>
        <w:numPr>
          <w:ilvl w:val="0"/>
          <w:numId w:val="1004"/>
        </w:numPr>
        <w:pStyle w:val="Compact"/>
      </w:pPr>
      <w:r>
        <w:t xml:space="preserve">Īmān bil-Malāʾikah</w:t>
      </w:r>
    </w:p>
    <w:p>
      <w:pPr>
        <w:numPr>
          <w:ilvl w:val="0"/>
          <w:numId w:val="1004"/>
        </w:numPr>
        <w:pStyle w:val="Compact"/>
      </w:pPr>
      <w:r>
        <w:t xml:space="preserve">Īmān bil-Kutub</w:t>
      </w:r>
    </w:p>
    <w:p>
      <w:pPr>
        <w:numPr>
          <w:ilvl w:val="0"/>
          <w:numId w:val="1004"/>
        </w:numPr>
        <w:pStyle w:val="Compact"/>
      </w:pPr>
      <w:r>
        <w:t xml:space="preserve">Īmān bir-Rusul</w:t>
      </w:r>
    </w:p>
    <w:p>
      <w:pPr>
        <w:numPr>
          <w:ilvl w:val="0"/>
          <w:numId w:val="1004"/>
        </w:numPr>
        <w:pStyle w:val="Compact"/>
      </w:pPr>
      <w:r>
        <w:t xml:space="preserve">Īmān bil-Yawm al-Ākhir</w:t>
      </w:r>
    </w:p>
    <w:p>
      <w:pPr>
        <w:numPr>
          <w:ilvl w:val="0"/>
          <w:numId w:val="1004"/>
        </w:numPr>
        <w:pStyle w:val="Compact"/>
      </w:pPr>
      <w:r>
        <w:t xml:space="preserve">Īmān bil-Qadar</w:t>
      </w:r>
    </w:p>
    <w:p>
      <w:pPr>
        <w:pStyle w:val="FirstParagraph"/>
      </w:pPr>
      <w:r>
        <w:t xml:space="preserve">الباب الثاني</w:t>
      </w:r>
      <w:r>
        <w:t xml:space="preserve">Tor 2 — Anschließendes</w:t>
      </w:r>
      <w:r>
        <w:t xml:space="preserve">Was sich an die Säulen anschließt:</w:t>
      </w:r>
    </w:p>
    <w:p>
      <w:pPr>
        <w:numPr>
          <w:ilvl w:val="0"/>
          <w:numId w:val="1005"/>
        </w:numPr>
        <w:pStyle w:val="Compact"/>
      </w:pPr>
      <w:r>
        <w:t xml:space="preserve">Musammā al-Īmān (Benennung des Īmān)</w:t>
      </w:r>
    </w:p>
    <w:p>
      <w:pPr>
        <w:numPr>
          <w:ilvl w:val="0"/>
          <w:numId w:val="1005"/>
        </w:numPr>
        <w:pStyle w:val="Compact"/>
      </w:pPr>
      <w:r>
        <w:t xml:space="preserve">Aṣ-Ṣaḥābah</w:t>
      </w:r>
    </w:p>
    <w:p>
      <w:pPr>
        <w:numPr>
          <w:ilvl w:val="0"/>
          <w:numId w:val="1005"/>
        </w:numPr>
        <w:pStyle w:val="Compact"/>
      </w:pPr>
      <w:r>
        <w:t xml:space="preserve">Al-Imāmah</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gerade,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Herleitung (Maṣādir at-Talaqqī)</w:t>
      </w:r>
    </w:p>
    <w:p>
      <w:pPr>
        <w:pStyle w:val="FirstParagraph"/>
      </w:pPr>
      <w:r>
        <w:t xml:space="preserve">Abb. 2 — Die Herleitungsquellen bei Ahl as-Sunnah wal-Jamāʿah (مصدر التلقي)</w:t>
      </w:r>
    </w:p>
    <w:p>
      <w:pPr>
        <w:pStyle w:val="BodyText"/>
      </w:pPr>
      <w:r>
        <w:t xml:space="preserve">مصدر التلقي عند أهل السنة والجماعة</w:t>
      </w:r>
      <w:r>
        <w:t xml:space="preserve">Quelle der Herleitung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verbal · faktisch · billigend</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übereinstimmen."</w:t>
      </w:r>
    </w:p>
    <w:p>
      <w:pPr>
        <w:pStyle w:val="BodyText"/>
      </w:pPr>
      <w:r>
        <w:t xml:space="preserve">Mit „Quelle der Herleitung" (maṣdar at-talaqqī) ist gemeint: Woher wird die ʿAqīdah entnommen?</w:t>
      </w:r>
    </w:p>
    <w:p>
      <w:pPr>
        <w:pStyle w:val="BodyText"/>
      </w:pPr>
      <w:r>
        <w:t xml:space="preserve">Die Quelle der Herleitung bei Ahl as-Sunnah wal-Jamāʿah geht auf drei Dinge zurück:</w:t>
      </w:r>
    </w:p>
    <w:p>
      <w:pPr>
        <w:pStyle w:val="BodyText"/>
      </w:pPr>
      <w:r>
        <w:rPr>
          <w:bCs/>
          <w:b/>
        </w:rPr>
        <w:t xml:space="preserve">Erstens: Al-Kitāb (das Buch).</w:t>
      </w:r>
      <w:r>
        <w:t xml:space="preserve"> </w:t>
      </w:r>
      <w:r>
        <w:t xml:space="preserve">Damit meinen wir den Qurʾān; denn der Qurʾān ist die Rede Allahs</w:t>
      </w:r>
      <w:r>
        <w:t xml:space="preserve"> </w:t>
      </w:r>
      <w:r>
        <w:t xml:space="preserve">ﷻ</w:t>
      </w:r>
      <w:r>
        <w:t xml:space="preserve"> </w:t>
      </w:r>
      <w:r>
        <w:t xml:space="preserve">– wirklich und wahrhaftig (ḥaqīqatan).</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verbal (qawliyyah), faktisch (fiʿliyyah), billigend (taqrīriyyah) oder unterlassend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Herleitung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Īmān</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Īmān billāh –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dem Tawḥīd Allahs in (يقوم على توحيد الله في):</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(Glory be to Him,</w:t>
      </w:r>
      <w:r>
        <w:t xml:space="preserve"> </w:t>
      </w:r>
      <w:r>
        <w:rPr>
          <w:iCs/>
          <w:i/>
        </w:rPr>
        <w:t xml:space="preserve">subḥānahu</w:t>
      </w:r>
      <w:r>
        <w:t xml:space="preserve">)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das rechtschaffene Werk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 Beistand. Wer also will, dass Allah ihm beisteht,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der Beistand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Werke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Werke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Nullifiers des Rubūbiyyah-Tawḥīd</w:t>
      </w:r>
    </w:p>
    <w:p>
      <w:pPr>
        <w:pStyle w:val="BodyText"/>
      </w:pPr>
      <w:r>
        <w:t xml:space="preserve">Leugnen der Existenz Allahs nach außen hin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bekämpfte sie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326433965bfa3fa3c319fe6a64995cfd45a4978"/>
    <w:p>
      <w:pPr>
        <w:pStyle w:val="Heading4"/>
      </w:pPr>
      <w:r>
        <w:t xml:space="preserve">Die Nullifiers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Nullifiers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Nullifier: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Nullifier: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Nullifier: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Nullifiers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in den Eigenheiten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Nullifiers</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Nullifiers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in den Eigenheiten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sodass sie Ihm eigentümlich ist und niemand mit Ihm darin teilhat.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3361d23b109f0598b98bb53bd740bc8cec349ec"/>
    <w:p>
      <w:pPr>
        <w:pStyle w:val="Heading4"/>
      </w:pPr>
      <w:r>
        <w:t xml:space="preserve">Die Nullifiers (Nawāqiḍ) des Tawḥīd al-Asmāʾ waṣ-Ṣifāt</w:t>
      </w:r>
    </w:p>
    <w:p>
      <w:pPr>
        <w:pStyle w:val="FirstParagraph"/>
      </w:pPr>
      <w:r>
        <w:rPr>
          <w:bCs/>
          <w:b/>
        </w:rPr>
        <w:t xml:space="preserve">Die Nullifiers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Nullifier: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Nullifier: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Ihm zukommt,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überantworten (nicht für unbekannt erklären), sondern nur die Art und Weise (al-kayfiyyah) überantworten,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Nullifier des Tawḥīd al-Asmāʾ waṣ-Ṣifāt.</w:t>
      </w:r>
    </w:p>
    <w:p>
      <w:pPr>
        <w:pStyle w:val="BodyText"/>
      </w:pPr>
      <w:r>
        <w:rPr>
          <w:bCs/>
          <w:b/>
        </w:rPr>
        <w:t xml:space="preserve">Diese Nullifiers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Nullifiers</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Werken,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042e6b6b23d9d799a05aac8a2cb7fc6c2da0875"/>
    <w:p>
      <w:pPr>
        <w:pStyle w:val="Heading4"/>
      </w:pPr>
      <w:r>
        <w:t xml:space="preserve">Die Nullifiers (Nawāqiḍ) des Tawḥīd al-Ulūhiyyah</w:t>
      </w:r>
    </w:p>
    <w:p>
      <w:pPr>
        <w:pStyle w:val="FirstParagraph"/>
      </w:pPr>
      <w:r>
        <w:rPr>
          <w:bCs/>
          <w:b/>
        </w:rPr>
        <w:t xml:space="preserve">Die Nullifiers gehen auf zwei Dinge zurück:</w:t>
      </w:r>
    </w:p>
    <w:p>
      <w:pPr>
        <w:numPr>
          <w:ilvl w:val="0"/>
          <w:numId w:val="1027"/>
        </w:numPr>
        <w:pStyle w:val="Compact"/>
      </w:pPr>
      <w:r>
        <w:rPr>
          <w:bCs/>
          <w:b/>
        </w:rPr>
        <w:t xml:space="preserve">Das Erste:</w:t>
      </w:r>
      <w:r>
        <w:t xml:space="preserve"> </w:t>
      </w:r>
      <w:r>
        <w:t xml:space="preserve">aš-Širk al-Akbar (der große Širk) – er ist ein Nullifier des Fundaments (aṣl) der Ulūhiyyah.</w:t>
      </w:r>
    </w:p>
    <w:p>
      <w:pPr>
        <w:numPr>
          <w:ilvl w:val="0"/>
          <w:numId w:val="1027"/>
        </w:numPr>
        <w:pStyle w:val="Compact"/>
      </w:pPr>
      <w:r>
        <w:rPr>
          <w:bCs/>
          <w:b/>
        </w:rPr>
        <w:t xml:space="preserve">Das Zweite:</w:t>
      </w:r>
      <w:r>
        <w:t xml:space="preserve"> </w:t>
      </w:r>
      <w:r>
        <w:t xml:space="preserve">aš-Širk al-Aṣghar (der kleine Širk) – er ist ein Nullifier der pflichtgemäßen Vollkommenheit (kamāl wāǧib) der Ulūhiyyah.</w:t>
      </w:r>
    </w:p>
    <w:bookmarkStart w:id="37" w:name="X6e6e82a83f9b9efe59ef919f8fea137c4ac576d"/>
    <w:p>
      <w:pPr>
        <w:pStyle w:val="Heading5"/>
      </w:pPr>
      <w:r>
        <w:t xml:space="preserve">Der erste Nullifier: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 Werk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8d3a78b3f13745274e0c2da59eb4afb0cf3c97"/>
    <w:p>
      <w:pPr>
        <w:pStyle w:val="Heading5"/>
      </w:pPr>
      <w:r>
        <w:t xml:space="preserve">Der zweite Nullifier: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Īmān bil-Malāʾikah –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Werke</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Nullifiers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kehren ein,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Werken von ihnen kennen. Die Engel – Allah</w:t>
      </w:r>
      <w:r>
        <w:t xml:space="preserve"> </w:t>
      </w:r>
      <w:r>
        <w:t xml:space="preserve">ﷻ</w:t>
      </w:r>
      <w:r>
        <w:t xml:space="preserve"> </w:t>
      </w:r>
      <w:r>
        <w:t xml:space="preserve">befahl ihnen Werke, sie widersetzen sich Allah</w:t>
      </w:r>
      <w:r>
        <w:t xml:space="preserve"> </w:t>
      </w:r>
      <w:r>
        <w:t xml:space="preserve">ﷻ</w:t>
      </w:r>
      <w:r>
        <w:t xml:space="preserve"> </w:t>
      </w:r>
      <w:r>
        <w:t xml:space="preserve">nicht in dem, was Er ihnen befiehlt, und tun, was ihnen befohlen wird. Wenn wir durch Buch und Sunnah etwas von ihren Werken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Werken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Werke aufzeichnen und niederschreiben. Dies alles gehört zu den Früchten des Glaubens an die Engel.</w:t>
      </w:r>
    </w:p>
    <w:bookmarkEnd w:id="47"/>
    <w:bookmarkStart w:id="48" w:name="Xb47c1042dbef449b85bc8bb839b45af17cf4301"/>
    <w:p>
      <w:pPr>
        <w:pStyle w:val="Heading3"/>
      </w:pPr>
      <w:r>
        <w:t xml:space="preserve">Die Nullifiers (Nawāqiḍ) des Glaubens an die Engel</w:t>
      </w:r>
    </w:p>
    <w:p>
      <w:pPr>
        <w:pStyle w:val="FirstParagraph"/>
      </w:pPr>
      <w:r>
        <w:rPr>
          <w:bCs/>
          <w:b/>
        </w:rPr>
        <w:t xml:space="preserve">Der erste Nullifier: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Nullifier: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Nullifier: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Nullifier: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Nullifier: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Īmān bil-Kutub –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Anerkennung · Befolgung dessen, was im Qurʾān steht</w:t>
      </w:r>
    </w:p>
    <w:p>
      <w:pPr>
        <w:pStyle w:val="BodyText"/>
      </w:pPr>
      <w:r>
        <w:t xml:space="preserve">نواقض الإيمان بالكتب — Nullifiers</w:t>
      </w:r>
    </w:p>
    <w:p>
      <w:pPr>
        <w:pStyle w:val="BodyText"/>
      </w:pPr>
      <w:r>
        <w:t xml:space="preserve">Glauben, sie enthielten verfälschte Rede</w:t>
      </w:r>
    </w:p>
    <w:p>
      <w:pPr>
        <w:pStyle w:val="BodyText"/>
      </w:pPr>
      <w:r>
        <w:t xml:space="preserve">Glauben, der Qurʾān sei verfälscht oder unvollständig</w:t>
      </w:r>
    </w:p>
    <w:p>
      <w:pPr>
        <w:pStyle w:val="BodyText"/>
      </w:pPr>
      <w:r>
        <w:t xml:space="preserve">Nicht-Richten nach Allahs Buch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326f67497765ad03e18ff435a9e2f10366d53a1"/>
    <w:p>
      <w:pPr>
        <w:pStyle w:val="Heading3"/>
      </w:pPr>
      <w:r>
        <w:t xml:space="preserve">Die Nullifiers (Nawāqiḍ) des Glaubens an die Bücher</w:t>
      </w:r>
    </w:p>
    <w:p>
      <w:pPr>
        <w:pStyle w:val="FirstParagraph"/>
      </w:pPr>
      <w:r>
        <w:rPr>
          <w:bCs/>
          <w:b/>
        </w:rPr>
        <w:t xml:space="preserve">Der erste Nullifier: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Nullifier: Das Nicht-Richten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Nullifiers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Nullifiers des Glaubens an die Bücher gekommen.</w:t>
      </w:r>
    </w:p>
    <w:p>
      <w:pPr>
        <w:pStyle w:val="BodyText"/>
      </w:pPr>
      <w:r>
        <w:rPr>
          <w:bCs/>
          <w:b/>
        </w:rPr>
        <w:t xml:space="preserve">Der vierte Nullifier: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Īmān bir-Rusul –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Anerkennung · Befolgung dessen, was unser Prophet brachte</w:t>
      </w:r>
    </w:p>
    <w:p>
      <w:pPr>
        <w:pStyle w:val="BodyText"/>
      </w:pPr>
      <w:r>
        <w:t xml:space="preserve">نواقض الإيمان بالرسل — Nullifiers</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Richten nach anderen als den Gesandten</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den beiden Lasten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c0fc7d8861eeded0a3ea87b7c8bd120b21c9cd"/>
    <w:p>
      <w:pPr>
        <w:pStyle w:val="Heading3"/>
      </w:pPr>
      <w:r>
        <w:t xml:space="preserve">Die Nullifiers (Nawāqiḍ) des Glaubens an die Gesandten</w:t>
      </w:r>
    </w:p>
    <w:p>
      <w:pPr>
        <w:pStyle w:val="FirstParagraph"/>
      </w:pPr>
      <w:r>
        <w:rPr>
          <w:bCs/>
          <w:b/>
        </w:rPr>
        <w:t xml:space="preserve">Der erste Nullifier: Der Glaube an einige Gesandte unter Ausschluss anderer.</w:t>
      </w:r>
      <w:r>
        <w:t xml:space="preserve"> </w:t>
      </w:r>
      <w:r>
        <w:t xml:space="preserve">Wer an einige Gesandte glaubt und an andere nicht, hat einen der Nullifiers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Nullifier: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Nullifier: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Nullifier: Das Herabwürdigen der Gesandten und das Geringschätzen ihrer oder das Schmähen (sabb) ihrer.</w:t>
      </w:r>
      <w:r>
        <w:t xml:space="preserve"> </w:t>
      </w:r>
      <w:r>
        <w:t xml:space="preserve">Wer die Gesandten schmäht oder herabwürdigt, ist mit einem der Nullifiers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den beiden Lasten (aṯ-ṯaqalān): den Dschinn und den Menschen,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Īmān bil-Yawm al-Ākhir –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Werke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 Paradies und Hölle</w:t>
      </w:r>
    </w:p>
    <w:p>
      <w:pPr>
        <w:pStyle w:val="FirstParagraph"/>
      </w:pPr>
      <w:r>
        <w:t xml:space="preserve">نواقض الإيمان باليوم الآخر — Nullifiers</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Werke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 anderes Land als unser Land:</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Werke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Werke,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Werke;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Werke und die Bücher gewogen, und ebenso wird der Diener selbst gewogen. Bei der Wägung der Werke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Werke:</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Werke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1e2bd03af701b00803bea7182624acf4704ff08"/>
    <w:p>
      <w:pPr>
        <w:pStyle w:val="Heading3"/>
      </w:pPr>
      <w:r>
        <w:t xml:space="preserve">Die Nullifiers (Nawāqiḍ) des Glaubens an den Jüngsten Tag</w:t>
      </w:r>
    </w:p>
    <w:p>
      <w:pPr>
        <w:pStyle w:val="FirstParagraph"/>
      </w:pPr>
      <w:r>
        <w:rPr>
          <w:bCs/>
          <w:b/>
        </w:rPr>
        <w:t xml:space="preserve">Der erste Nullifier: Sein Leugnen und Verleugnen (inkāruhu wa-ǧuḥūduhu),</w:t>
      </w:r>
      <w:r>
        <w:t xml:space="preserve"> </w:t>
      </w:r>
      <w:r>
        <w:t xml:space="preserve">wie es die Leute des Unglaubens (taten) und wie es die Dahriyyūn (die Materialisten)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Nullifier: Die Umdeutung des Jüngsten Tages (taʾwīl al-yawm al-āḫir) und dessen, was an ihm geschieht.</w:t>
      </w:r>
      <w:r>
        <w:t xml:space="preserve"> </w:t>
      </w:r>
      <w:r>
        <w:t xml:space="preserve">Wer den Jüngsten Tag umdeutet, ist in einen der Nullifiers des Glaubens an den Jüngsten Tag gefallen – wie jemand, der etwa kommt und sagt: Die Waage ist die Gerechtigkeit, und es gibt keine wirkliche (körperliche) Waage; und die Brücke ist (etwas) Sinnbildliches (maʿnawī), und es gibt keine sinnlich wahrnehmbare Brücke.</w:t>
      </w:r>
    </w:p>
    <w:p>
      <w:pPr>
        <w:pStyle w:val="BodyText"/>
      </w:pPr>
      <w:r>
        <w:t xml:space="preserve">Dies alles gehört zu den Nullifiers; und von den Nullifiers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Īmān bil-Qadar –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Nullifiers</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 (Glory be to Him) 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1dfa8e4b0bbdcef4120ef512416c8909d98f41b"/>
    <w:p>
      <w:pPr>
        <w:pStyle w:val="Heading3"/>
      </w:pPr>
      <w:r>
        <w:t xml:space="preserve">Die Nullifiers (Nawāqiḍ) des Glaubens an den Qadar</w:t>
      </w:r>
    </w:p>
    <w:p>
      <w:pPr>
        <w:pStyle w:val="FirstParagraph"/>
      </w:pPr>
      <w:r>
        <w:rPr>
          <w:bCs/>
          <w:b/>
        </w:rPr>
        <w:t xml:space="preserve">Der erste Nullifier: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Nullifier: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Nullifiers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Der Musammā (die Benennung) des Īmān</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4762b8aab1f80497609a15bb2fe148165c81e94"/>
    <w:p>
      <w:pPr>
        <w:pStyle w:val="Heading3"/>
      </w:pPr>
      <w:r>
        <w:t xml:space="preserve">Erste Frage: Der Īmān ist Wort und Werk (qawlun wa-ʿamal)</w:t>
      </w:r>
    </w:p>
    <w:p>
      <w:pPr>
        <w:pStyle w:val="FirstParagraph"/>
      </w:pPr>
      <w:r>
        <w:t xml:space="preserve">Der Īmān bei Ahl as-Sunnah wal-Jamāʿah – sie verstehen darunter: Wort und Werk (al-qawl wal-ʿamal). Das bedeutet: das Wort des Herzens – das ist die Überzeugung (al-iʿtiqād) –, das Wort der Zunge, das Werk des Herzens und das Werk der Glieder: All dies wird mit „Īmān" bezeichnet.</w:t>
      </w:r>
    </w:p>
    <w:p>
      <w:pPr>
        <w:pStyle w:val="BodyText"/>
      </w:pPr>
      <w:r>
        <w:t xml:space="preserve">So wird das Wort des Herzens „Īmān" genannt, das Wort der Zunge wird „Īmān" genannt, das Werk des Herzens wird „Īmān" genannt, und das Werk der Glieder wird „Īmān" genannt. Der Īmān umfasst also jedes Wort und jedes Werk.</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Werk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das Werk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Werken der Herzen, und Er nannte es „Īmān".</w:t>
      </w:r>
    </w:p>
    <w:p>
      <w:pPr>
        <w:pStyle w:val="BodyText"/>
      </w:pPr>
      <w:r>
        <w:rPr>
          <w:bCs/>
          <w:b/>
        </w:rPr>
        <w:t xml:space="preserve">Was das Werk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 Werk von den Werken der Glieder.</w:t>
      </w:r>
    </w:p>
    <w:p>
      <w:pPr>
        <w:numPr>
          <w:ilvl w:val="0"/>
          <w:numId w:val="1050"/>
        </w:numPr>
        <w:pStyle w:val="Compact"/>
      </w:pPr>
      <w:r>
        <w:t xml:space="preserve">Sein Wort „und die Schamhaftigkeit ist ein Zweig von den Zweigen des Īmān" – dies ist ein Werk von den Werken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das Werk.</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Nullifiers des Īmān kommt.</w:t>
      </w:r>
    </w:p>
    <w:p>
      <w:pPr>
        <w:pStyle w:val="BodyText"/>
      </w:pPr>
      <w:r>
        <w:rPr>
          <w:bCs/>
          <w:b/>
        </w:rPr>
        <w:t xml:space="preserve">Der Unglaube der Apostasie</w:t>
      </w:r>
      <w:r>
        <w:t xml:space="preserve"> </w:t>
      </w:r>
      <w:r>
        <w:t xml:space="preserve">kann durch das Wort des Herzens geschehen, durch das Wort der Zunge, durch das Werk des Herzens oder durch das Werk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Das Werk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Das Werk der Glieder:</w:t>
      </w:r>
      <w:r>
        <w:t xml:space="preserve"> </w:t>
      </w:r>
      <w:r>
        <w:t xml:space="preserve">wie wenn jemand sich vor einem Grab oder einem Götzen niederwirft.</w:t>
      </w:r>
    </w:p>
    <w:p>
      <w:pPr>
        <w:pStyle w:val="FirstParagraph"/>
      </w:pPr>
      <w:r>
        <w:t xml:space="preserve">So wie das Wort ein Nullifier von den Nullifiers des Īmān sein kann, so kann ebenso das Werk ein Nullifier von den Nullifiers des Īmān sein.</w:t>
      </w:r>
    </w:p>
    <w:p>
      <w:pPr>
        <w:pStyle w:val="BodyText"/>
      </w:pPr>
      <w:r>
        <w:rPr>
          <w:bCs/>
          <w:b/>
        </w:rPr>
        <w:t xml:space="preserve">Wir haben jedoch eine wichtige Grundregel beim Unglauben der Apostasie, nämlich:</w:t>
      </w:r>
    </w:p>
    <w:p>
      <w:pPr>
        <w:pStyle w:val="BodyText"/>
      </w:pPr>
      <w:r>
        <w:rPr>
          <w:iCs/>
          <w:i/>
        </w:rPr>
        <w:t xml:space="preserve">„Das absolute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wahnsinnig (maǧnūn)?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absolute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das Werk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Werk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Aṣ-Ṣaḥābah (die Prophetengefährten)</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Berufung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ihrem Manhaǧ;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Berufung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Berufung sein; wer ihn zu seinen Lebzeiten vor seiner Berufung sah, ist kein Ṣaḥābī, sondern es muss nach der Berufung des Gesandten Allahs</w:t>
      </w:r>
      <w:r>
        <w:t xml:space="preserve"> </w:t>
      </w:r>
      <w:r>
        <w:t xml:space="preserve">ﷺ</w:t>
      </w:r>
      <w:r>
        <w:t xml:space="preserve"> </w:t>
      </w:r>
      <w:r>
        <w:t xml:space="preserve">sein. Und er muss ihn notwendigerweise als Gläubiger an ihn gesehen haben; wer ihn also zu seinen Lebzeiten nach seiner Berufung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(Ǧihād geleistet),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ihrem Manhaǧ (Weg);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ihrem Manhaǧ.</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Nullifier von den Nullifiers (der korrekten ʿAqīdah).</w:t>
      </w:r>
    </w:p>
    <w:p>
      <w:pPr>
        <w:pStyle w:val="BodyText"/>
      </w:pPr>
      <w:r>
        <w:t xml:space="preserve">۞</w:t>
      </w:r>
    </w:p>
    <w:bookmarkEnd w:id="86"/>
    <w:bookmarkEnd w:id="87"/>
    <w:bookmarkStart w:id="91" w:name="imama"/>
    <w:p>
      <w:pPr>
        <w:pStyle w:val="Heading2"/>
      </w:pPr>
      <w:r>
        <w:t xml:space="preserve">Al-Imāmah (das Imamat /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sind die Leute des Wissens übereingekommen,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Die Verehrung des Machthabers (taʿẓīm as-sulṭān).</w:t>
      </w:r>
      <w:r>
        <w:t xml:space="preserve"> </w:t>
      </w:r>
      <w:r>
        <w:t xml:space="preserve">So ist es Pflicht, den Machthaber zu verehren; denn wird er nicht verehrt,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das Werk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sind übereingekommen,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und schenke Heil unserem Propheten Muḥammad,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2026-07-10T15:54:37Z</dcterms:created>
  <dcterms:modified xsi:type="dcterms:W3CDTF">2026-07-10T15:54:37Z</dcterms:modified>
</cp:coreProperties>
</file>

<file path=docProps/custom.xml><?xml version="1.0" encoding="utf-8"?>
<Properties xmlns="http://schemas.openxmlformats.org/officeDocument/2006/custom-properties" xmlns:vt="http://schemas.openxmlformats.org/officeDocument/2006/docPropsVTypes"/>
</file>