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Regeln und Maßstäbe der frommen Altvorderen (Salaf)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Seinem Ebenbild"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ʿAqīdah (Maṣādir at-Talaqqī)</w:t>
        </w:r>
      </w:hyperlink>
    </w:p>
    <w:p>
      <w:pPr>
        <w:numPr>
          <w:ilvl w:val="0"/>
          <w:numId w:val="1001"/>
        </w:numPr>
        <w:pStyle w:val="Compact"/>
      </w:pPr>
      <w:hyperlink w:anchor="tor-1">
        <w:r>
          <w:rPr>
            <w:rStyle w:val="Hyperlink"/>
          </w:rPr>
          <w:t xml:space="preserve">Tor 1 – Die sechs Säulen des Glaubens</w:t>
        </w:r>
      </w:hyperlink>
    </w:p>
    <w:p>
      <w:pPr>
        <w:numPr>
          <w:ilvl w:val="0"/>
          <w:numId w:val="1002"/>
        </w:numPr>
        <w:pStyle w:val="Compact"/>
      </w:pPr>
      <w:hyperlink w:anchor="pillar-1">
        <w:r>
          <w:rPr>
            <w:rStyle w:val="Hyperlink"/>
          </w:rPr>
          <w:t xml:space="preserve">1. Säule: Glaube an Allah</w:t>
        </w:r>
      </w:hyperlink>
    </w:p>
    <w:p>
      <w:pPr>
        <w:numPr>
          <w:ilvl w:val="0"/>
          <w:numId w:val="1002"/>
        </w:numPr>
        <w:pStyle w:val="Compact"/>
      </w:pPr>
      <w:hyperlink w:anchor="pillar-2">
        <w:r>
          <w:rPr>
            <w:rStyle w:val="Hyperlink"/>
          </w:rPr>
          <w:t xml:space="preserve">2. Säule: Glaube an die Engel</w:t>
        </w:r>
      </w:hyperlink>
    </w:p>
    <w:p>
      <w:pPr>
        <w:numPr>
          <w:ilvl w:val="0"/>
          <w:numId w:val="1002"/>
        </w:numPr>
        <w:pStyle w:val="Compact"/>
      </w:pPr>
      <w:hyperlink w:anchor="pillar-3">
        <w:r>
          <w:rPr>
            <w:rStyle w:val="Hyperlink"/>
          </w:rPr>
          <w:t xml:space="preserve">3. Säule: Glaube an die Bücher</w:t>
        </w:r>
      </w:hyperlink>
    </w:p>
    <w:p>
      <w:pPr>
        <w:numPr>
          <w:ilvl w:val="0"/>
          <w:numId w:val="1002"/>
        </w:numPr>
        <w:pStyle w:val="Compact"/>
      </w:pPr>
      <w:hyperlink w:anchor="pillar-4">
        <w:r>
          <w:rPr>
            <w:rStyle w:val="Hyperlink"/>
          </w:rPr>
          <w:t xml:space="preserve">4. Säule: Glaube an die Gesandten</w:t>
        </w:r>
      </w:hyperlink>
    </w:p>
    <w:p>
      <w:pPr>
        <w:numPr>
          <w:ilvl w:val="0"/>
          <w:numId w:val="1002"/>
        </w:numPr>
        <w:pStyle w:val="Compact"/>
      </w:pPr>
      <w:hyperlink w:anchor="pillar-5">
        <w:r>
          <w:rPr>
            <w:rStyle w:val="Hyperlink"/>
          </w:rPr>
          <w:t xml:space="preserve">5. Säule: Glaube an den Jüngsten Tag</w:t>
        </w:r>
      </w:hyperlink>
    </w:p>
    <w:p>
      <w:pPr>
        <w:numPr>
          <w:ilvl w:val="0"/>
          <w:numId w:val="1002"/>
        </w:numPr>
        <w:pStyle w:val="Compact"/>
      </w:pPr>
      <w:hyperlink w:anchor="pillar-6">
        <w:r>
          <w:rPr>
            <w:rStyle w:val="Hyperlink"/>
          </w:rPr>
          <w:t xml:space="preserve">6. Säule: Glaube an die göttliche Vorherbestimmung</w:t>
        </w:r>
      </w:hyperlink>
    </w:p>
    <w:p>
      <w:pPr>
        <w:numPr>
          <w:ilvl w:val="0"/>
          <w:numId w:val="1003"/>
        </w:numPr>
        <w:pStyle w:val="Compact"/>
      </w:pPr>
      <w:hyperlink w:anchor="tor-2">
        <w:r>
          <w:rPr>
            <w:rStyle w:val="Hyperlink"/>
          </w:rPr>
          <w:t xml:space="preserve">Tor 2 – Die Definition des Glaubens</w:t>
        </w:r>
      </w:hyperlink>
    </w:p>
    <w:p>
      <w:pPr>
        <w:numPr>
          <w:ilvl w:val="0"/>
          <w:numId w:val="1003"/>
        </w:numPr>
        <w:pStyle w:val="Compact"/>
      </w:pPr>
      <w:hyperlink w:anchor="sahaba">
        <w:r>
          <w:rPr>
            <w:rStyle w:val="Hyperlink"/>
          </w:rPr>
          <w:t xml:space="preserve">Die Prophetengefährten</w:t>
        </w:r>
      </w:hyperlink>
    </w:p>
    <w:p>
      <w:pPr>
        <w:numPr>
          <w:ilvl w:val="0"/>
          <w:numId w:val="1003"/>
        </w:numPr>
        <w:pStyle w:val="Compact"/>
      </w:pPr>
      <w:hyperlink w:anchor="imama">
        <w:r>
          <w:rPr>
            <w:rStyle w:val="Hyperlink"/>
          </w:rPr>
          <w:t xml:space="preserve">Das Imamat</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unseren Propheten Muḥammad und schenke ihm Frieden, ebenso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Mensch und Dschinn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w:t>
      </w:r>
      <w:r>
        <w:rPr>
          <w:vertAlign w:val="superscript"/>
        </w:rPr>
        <w:t xml:space="preserve">1</w:t>
      </w:r>
    </w:p>
    <w:p>
      <w:pPr>
        <w:pStyle w:val="BodyText"/>
      </w:pPr>
      <w:r>
        <w:t xml:space="preserve">1</w:t>
      </w:r>
      <w:r>
        <w:t xml:space="preserve"> </w:t>
      </w:r>
      <w:r>
        <w:t xml:space="preserve">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w:t>
      </w:r>
    </w:p>
    <w:p>
      <w:pPr>
        <w:pStyle w:val="BodyText"/>
      </w:pPr>
      <w:r>
        <w:t xml:space="preserve">Gesamtübersicht der Tore der ʿAqīdah</w:t>
      </w:r>
    </w:p>
    <w:p>
      <w:pPr>
        <w:pStyle w:val="BodyText"/>
      </w:pPr>
      <w:r>
        <w:t xml:space="preserve">▼</w:t>
      </w:r>
    </w:p>
    <w:p>
      <w:pPr>
        <w:pStyle w:val="BodyText"/>
      </w:pPr>
      <w:r>
        <w:t xml:space="preserve">Tor 1 — Die Säulen des Glaubens</w:t>
      </w:r>
      <w:r>
        <w:t xml:space="preserve">Die sechs Säulen des Glaubens:</w:t>
      </w:r>
    </w:p>
    <w:p>
      <w:pPr>
        <w:numPr>
          <w:ilvl w:val="0"/>
          <w:numId w:val="1004"/>
        </w:numPr>
        <w:pStyle w:val="Compact"/>
      </w:pPr>
      <w:r>
        <w:t xml:space="preserve">Glaube an Allah (Herrschaft · Namen und Eigenschaften · Anbetung)</w:t>
      </w:r>
    </w:p>
    <w:p>
      <w:pPr>
        <w:numPr>
          <w:ilvl w:val="0"/>
          <w:numId w:val="1004"/>
        </w:numPr>
        <w:pStyle w:val="Compact"/>
      </w:pPr>
      <w:r>
        <w:t xml:space="preserve">Glaube an die Engel</w:t>
      </w:r>
    </w:p>
    <w:p>
      <w:pPr>
        <w:numPr>
          <w:ilvl w:val="0"/>
          <w:numId w:val="1004"/>
        </w:numPr>
        <w:pStyle w:val="Compact"/>
      </w:pPr>
      <w:r>
        <w:t xml:space="preserve">Glaube an die Bücher</w:t>
      </w:r>
    </w:p>
    <w:p>
      <w:pPr>
        <w:numPr>
          <w:ilvl w:val="0"/>
          <w:numId w:val="1004"/>
        </w:numPr>
        <w:pStyle w:val="Compact"/>
      </w:pPr>
      <w:r>
        <w:t xml:space="preserve">Glaube an die Gesandten</w:t>
      </w:r>
    </w:p>
    <w:p>
      <w:pPr>
        <w:numPr>
          <w:ilvl w:val="0"/>
          <w:numId w:val="1004"/>
        </w:numPr>
        <w:pStyle w:val="Compact"/>
      </w:pPr>
      <w:r>
        <w:t xml:space="preserve">Glaube an den Jüngsten Tag</w:t>
      </w:r>
    </w:p>
    <w:p>
      <w:pPr>
        <w:numPr>
          <w:ilvl w:val="0"/>
          <w:numId w:val="1004"/>
        </w:numPr>
        <w:pStyle w:val="Compact"/>
      </w:pPr>
      <w:r>
        <w:t xml:space="preserve">Glaube an die göttliche Vorherbestimmung</w:t>
      </w:r>
    </w:p>
    <w:p>
      <w:pPr>
        <w:pStyle w:val="FirstParagraph"/>
      </w:pPr>
      <w:r>
        <w:t xml:space="preserve">Tor 2 — Anschließendes</w:t>
      </w:r>
      <w:r>
        <w:t xml:space="preserve">Was sich an die Säulen anschließt:</w:t>
      </w:r>
    </w:p>
    <w:p>
      <w:pPr>
        <w:numPr>
          <w:ilvl w:val="0"/>
          <w:numId w:val="1005"/>
        </w:numPr>
        <w:pStyle w:val="Compact"/>
      </w:pPr>
      <w:r>
        <w:t xml:space="preserve">Die Definition des Glaubens</w:t>
      </w:r>
    </w:p>
    <w:p>
      <w:pPr>
        <w:numPr>
          <w:ilvl w:val="0"/>
          <w:numId w:val="1005"/>
        </w:numPr>
        <w:pStyle w:val="Compact"/>
      </w:pPr>
      <w:r>
        <w:t xml:space="preserve">Die Prophetengefährten</w:t>
      </w:r>
    </w:p>
    <w:p>
      <w:pPr>
        <w:numPr>
          <w:ilvl w:val="0"/>
          <w:numId w:val="1005"/>
        </w:numPr>
        <w:pStyle w:val="Compact"/>
      </w:pPr>
      <w:r>
        <w:t xml:space="preserve">Das Imamat</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standhaft,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ʿAqīdah (Maṣādir at-Talaqqī)</w:t>
      </w:r>
    </w:p>
    <w:p>
      <w:pPr>
        <w:pStyle w:val="FirstParagraph"/>
      </w:pPr>
      <w:r>
        <w:t xml:space="preserve">Abb. 2 — Die Quellen der ʿAqīdah bei Ahl as-Sunnah wal-Jamāʿah (مصدر التلقي)</w:t>
      </w:r>
    </w:p>
    <w:p>
      <w:pPr>
        <w:pStyle w:val="BodyText"/>
      </w:pPr>
      <w:r>
        <w:t xml:space="preserve">مصدر التلقي عند أهل السنة والجماعة</w:t>
      </w:r>
      <w:r>
        <w:t xml:space="preserve">Quelle der ʿAqīdah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Wort · Tat · Billigung</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(der ersten drei Generationen) übereinstimmen."</w:t>
      </w:r>
    </w:p>
    <w:p>
      <w:pPr>
        <w:pStyle w:val="BodyText"/>
      </w:pPr>
      <w:r>
        <w:t xml:space="preserve">Mit „Quelle der ʿAqīdah" (maṣdar at-talaqqī) ist gemeint: Woher wird die ʿAqīdah entnommen?</w:t>
      </w:r>
    </w:p>
    <w:p>
      <w:pPr>
        <w:pStyle w:val="BodyText"/>
      </w:pPr>
      <w:r>
        <w:t xml:space="preserve">Die Quelle der ʿAqīdah bei Ahl as-Sunnah wal-Jamāʿah geht auf drei Dinge zurück:</w:t>
      </w:r>
    </w:p>
    <w:p>
      <w:pPr>
        <w:pStyle w:val="BodyText"/>
      </w:pPr>
      <w:r>
        <w:rPr>
          <w:bCs/>
          <w:b/>
        </w:rPr>
        <w:t xml:space="preserve">Erstens: Al-Kitāb (das Buch).</w:t>
      </w:r>
      <w:r>
        <w:t xml:space="preserve"> </w:t>
      </w:r>
      <w:r>
        <w:t xml:space="preserve">Damit meinen wir den Qurʾān; denn der Qurʾān ist die wirkliche Rede von Allah</w:t>
      </w:r>
      <w:r>
        <w:t xml:space="preserve"> </w:t>
      </w:r>
      <w:r>
        <w:t xml:space="preserve">ﷻ</w:t>
      </w:r>
      <w:r>
        <w:t xml:space="preserve">.</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ein Wort (qawliyyah), eine Tat (fiʿliyyah), eine Billigung (taqrīriyyah) oder ein Unterlassen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bezeugen. Und wenn etwas verborgen ist, kann man es nicht mit dem Verstand begründen; man begründet es vielmehr nur durch den Bericht (Offenbarung).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ʿAqīdah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Glaubens</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der Einzigkeit Allahs ﷻ in:</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(erhaben ist Er)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beschrieben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unter anderem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die rechtschaffene Tat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Seine Hilfe (Unterstützung). Wer also will, dass Allah ihm hilft,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die Hilfe (Unterstützung)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Taten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Taten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Vernichter des Rubūbiyyah-Tawḥīd</w:t>
      </w:r>
    </w:p>
    <w:p>
      <w:pPr>
        <w:pStyle w:val="BodyText"/>
      </w:pPr>
      <w:r>
        <w:t xml:space="preserve">Leugnen der Existenz Allahs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Maǧūs."</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widersetzte sich ihnen der Prophet</w:t>
      </w:r>
      <w:r>
        <w:t xml:space="preserve"> </w:t>
      </w:r>
      <w:r>
        <w:t xml:space="preserve">ﷺ</w:t>
      </w:r>
      <w:r>
        <w:t xml:space="preserve">.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4e06283933ad6d1a9f12181b39bef8d2fa8345a"/>
    <w:p>
      <w:pPr>
        <w:pStyle w:val="Heading4"/>
      </w:pPr>
      <w:r>
        <w:t xml:space="preserve">Die Vernichter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Vernichter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Vernichter: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Vernichter: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Vernichter: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Vernichter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 die Einzigkeit Allahs in Seinen Eigenschaften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Vernichter</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Vernichter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 die Wahrung der Einzigkeit Allahs in Seinen Eigenschaften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fa0c689e9f2c76fdfb44c937fa4b55762508dd2"/>
    <w:p>
      <w:pPr>
        <w:pStyle w:val="Heading4"/>
      </w:pPr>
      <w:r>
        <w:t xml:space="preserve">Die Vernichter (Nawāqiḍ) des Tawḥīd al-Asmāʾ waṣ-Ṣifāt</w:t>
      </w:r>
    </w:p>
    <w:p>
      <w:pPr>
        <w:pStyle w:val="FirstParagraph"/>
      </w:pPr>
      <w:r>
        <w:rPr>
          <w:bCs/>
          <w:b/>
        </w:rPr>
        <w:t xml:space="preserve">Die Vernichter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Vernichter: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Vernichter: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seiner Majestät entspricht,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überlassen (nicht für unbekannt erklären), sondern nur die Art und Weise (al-kayfiyyah) überlassen,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Vernichter des Tawḥīd al-Asmāʾ waṣ-Ṣifāt.</w:t>
      </w:r>
    </w:p>
    <w:p>
      <w:pPr>
        <w:pStyle w:val="BodyText"/>
      </w:pPr>
      <w:r>
        <w:rPr>
          <w:bCs/>
          <w:b/>
        </w:rPr>
        <w:t xml:space="preserve">Diese Vernichter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Vernichter</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widersetzte sich den Götzendienern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Taten,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7de01a3827cd1d1ae5964b01f7645b6b1830e5c"/>
    <w:p>
      <w:pPr>
        <w:pStyle w:val="Heading4"/>
      </w:pPr>
      <w:r>
        <w:t xml:space="preserve">Die Vernichter (Nawāqiḍ) des Tawḥīd al-Ulūhiyyah</w:t>
      </w:r>
    </w:p>
    <w:p>
      <w:pPr>
        <w:pStyle w:val="FirstParagraph"/>
      </w:pPr>
      <w:r>
        <w:rPr>
          <w:bCs/>
          <w:b/>
        </w:rPr>
        <w:t xml:space="preserve">Die Vernichter gehen auf zwei Dinge zurück:</w:t>
      </w:r>
    </w:p>
    <w:p>
      <w:pPr>
        <w:numPr>
          <w:ilvl w:val="0"/>
          <w:numId w:val="1027"/>
        </w:numPr>
        <w:pStyle w:val="Compact"/>
      </w:pPr>
      <w:r>
        <w:rPr>
          <w:bCs/>
          <w:b/>
        </w:rPr>
        <w:t xml:space="preserve">Das Erste:</w:t>
      </w:r>
      <w:r>
        <w:t xml:space="preserve"> </w:t>
      </w:r>
      <w:r>
        <w:t xml:space="preserve">aš-Širk al-Akbar (der große Širk) – er ist ein Vernichter des Fundaments (aṣl) der Ulūhiyyah.</w:t>
      </w:r>
    </w:p>
    <w:p>
      <w:pPr>
        <w:numPr>
          <w:ilvl w:val="0"/>
          <w:numId w:val="1027"/>
        </w:numPr>
        <w:pStyle w:val="Compact"/>
      </w:pPr>
      <w:r>
        <w:rPr>
          <w:bCs/>
          <w:b/>
        </w:rPr>
        <w:t xml:space="preserve">Das Zweite:</w:t>
      </w:r>
      <w:r>
        <w:t xml:space="preserve"> </w:t>
      </w:r>
      <w:r>
        <w:t xml:space="preserve">aš-Širk al-Aṣghar (der kleine Širk) – er ist ein Vernichter der pflichtgemäßen Vollkommenheit (kamāl wāǧib) der Ulūhiyyah.</w:t>
      </w:r>
    </w:p>
    <w:bookmarkStart w:id="37" w:name="X6ccb246fd0c1847a9d3aeea98e131d9fc391494"/>
    <w:p>
      <w:pPr>
        <w:pStyle w:val="Heading5"/>
      </w:pPr>
      <w:r>
        <w:t xml:space="preserve">Der erste Vernichter: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Begeher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Begeher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Begeher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Begehers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deine Tat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102566ecd2f183ecf77de87908dd2aee599796"/>
    <w:p>
      <w:pPr>
        <w:pStyle w:val="Heading5"/>
      </w:pPr>
      <w:r>
        <w:t xml:space="preserve">Der zweite Vernichter: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(durch den Qadar)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Taten</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Vernichter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sehen, und sie haben keinen Ebenbürtigen;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haben Hände (Handflächen),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Taten von ihnen kennen. Die Engel – Allah</w:t>
      </w:r>
      <w:r>
        <w:t xml:space="preserve"> </w:t>
      </w:r>
      <w:r>
        <w:t xml:space="preserve">ﷻ</w:t>
      </w:r>
      <w:r>
        <w:t xml:space="preserve"> </w:t>
      </w:r>
      <w:r>
        <w:t xml:space="preserve">befahl ihnen Taten, sie widersetzen sich Allah</w:t>
      </w:r>
      <w:r>
        <w:t xml:space="preserve"> </w:t>
      </w:r>
      <w:r>
        <w:t xml:space="preserve">ﷻ</w:t>
      </w:r>
      <w:r>
        <w:t xml:space="preserve"> </w:t>
      </w:r>
      <w:r>
        <w:t xml:space="preserve">nicht in dem, was Er ihnen befiehlt, und tun, was ihnen befohlen wird. Wenn wir durch Buch und Sunnah etwas von ihren Taten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Taten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Taten aufzeichnen und niederschreiben. Dies alles gehört zu den Früchten des Glaubens an die Engel.</w:t>
      </w:r>
    </w:p>
    <w:bookmarkEnd w:id="47"/>
    <w:bookmarkStart w:id="48" w:name="X9d7a2ee904b72bb5ccdaf8aca8d700e9fef39c3"/>
    <w:p>
      <w:pPr>
        <w:pStyle w:val="Heading3"/>
      </w:pPr>
      <w:r>
        <w:t xml:space="preserve">Die Vernichter (Nawāqiḍ) des Glaubens an die Engel</w:t>
      </w:r>
    </w:p>
    <w:p>
      <w:pPr>
        <w:pStyle w:val="FirstParagraph"/>
      </w:pPr>
      <w:r>
        <w:rPr>
          <w:bCs/>
          <w:b/>
        </w:rPr>
        <w:t xml:space="preserve">Der erste Vernichter: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Vernichter: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Vernichter: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Vernichter: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Vernichter: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ihre Bestätigung · Befolgung dessen, was im Qurʾān steht</w:t>
      </w:r>
    </w:p>
    <w:p>
      <w:pPr>
        <w:pStyle w:val="BodyText"/>
      </w:pPr>
      <w:r>
        <w:t xml:space="preserve">نواقض الإيمان بالكتب — Vernichter</w:t>
      </w:r>
    </w:p>
    <w:p>
      <w:pPr>
        <w:pStyle w:val="BodyText"/>
      </w:pPr>
      <w:r>
        <w:t xml:space="preserve">Glauben, sie enthielten erschaffene Rede</w:t>
      </w:r>
    </w:p>
    <w:p>
      <w:pPr>
        <w:pStyle w:val="BodyText"/>
      </w:pPr>
      <w:r>
        <w:t xml:space="preserve">Glauben, der Qurʾān sei verfälscht oder unvollständig</w:t>
      </w:r>
    </w:p>
    <w:p>
      <w:pPr>
        <w:pStyle w:val="BodyText"/>
      </w:pPr>
      <w:r>
        <w:t xml:space="preserve">Sich nicht nach Allahs Buch richten lassen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6eed0762a8042405765aa2b1165b0a8a8a60263"/>
    <w:p>
      <w:pPr>
        <w:pStyle w:val="Heading3"/>
      </w:pPr>
      <w:r>
        <w:t xml:space="preserve">Die Vernichter (Nawāqiḍ) des Glaubens an die Bücher</w:t>
      </w:r>
    </w:p>
    <w:p>
      <w:pPr>
        <w:pStyle w:val="FirstParagraph"/>
      </w:pPr>
      <w:r>
        <w:rPr>
          <w:bCs/>
          <w:b/>
        </w:rPr>
        <w:t xml:space="preserve">Der erste Vernichter: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Vernichter: Das Sich-nicht-Richten-lassen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Vernichter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Anmerkung (Erläuterung):</w:t>
      </w:r>
      <w:r>
        <w:t xml:space="preserve"> </w:t>
      </w:r>
      <w:r>
        <w:t xml:space="preserve">Gemeint ist: Man befolgt die Urteile (des Qurʾān) nicht, weil man nicht anerkennt, dass der Qurʾān einem etwas zu befehlen hat; man nimmt ihn nicht als maßgebliches Gesetzeswort für sich an, sondern wendet sich gänzlich davon ab, dass der Qurʾān einem etwas zu sagen hat.</w:t>
      </w:r>
    </w:p>
    <w:p>
      <w:pPr>
        <w:pStyle w:val="BodyText"/>
      </w:pPr>
      <w:r>
        <w:rPr>
          <w:bCs/>
          <w:b/>
        </w:rPr>
        <w:t xml:space="preserve">Der dritte Vernichter: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Vernichter des Glaubens an die Bücher gekommen.</w:t>
      </w:r>
    </w:p>
    <w:p>
      <w:pPr>
        <w:pStyle w:val="BodyText"/>
      </w:pPr>
      <w:r>
        <w:rPr>
          <w:bCs/>
          <w:b/>
        </w:rPr>
        <w:t xml:space="preserve">Der vierte Vernichter: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ihre Bestätigung · Befolgung dessen, was unser Prophet brachte</w:t>
      </w:r>
    </w:p>
    <w:p>
      <w:pPr>
        <w:pStyle w:val="BodyText"/>
      </w:pPr>
      <w:r>
        <w:t xml:space="preserve">نواقض الإيمان بالرسل — Vernichter</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Sich richten lassen von anderen (als den Gesandten) – aus Abwendung, Ablehnung oder Zweifel</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Mensch und Dschinn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1b6d75f0dce45dd94091d8e4f64e6d815a173c"/>
    <w:p>
      <w:pPr>
        <w:pStyle w:val="Heading3"/>
      </w:pPr>
      <w:r>
        <w:t xml:space="preserve">Die Vernichter (Nawāqiḍ) des Glaubens an die Gesandten</w:t>
      </w:r>
    </w:p>
    <w:p>
      <w:pPr>
        <w:pStyle w:val="FirstParagraph"/>
      </w:pPr>
      <w:r>
        <w:rPr>
          <w:bCs/>
          <w:b/>
        </w:rPr>
        <w:t xml:space="preserve">Der erste Vernichter: Der Glaube an einige Gesandte unter Ausschluss anderer.</w:t>
      </w:r>
      <w:r>
        <w:t xml:space="preserve"> </w:t>
      </w:r>
      <w:r>
        <w:t xml:space="preserve">Wer an einige Gesandte glaubt und an andere nicht, hat einen der Vernichter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Vernichter: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Vernichter: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Vernichter: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Vernichter: Das Herabwürdigen der Gesandten und das Geringschätzen ihrer oder das Schmähen (sabb) ihrer.</w:t>
      </w:r>
      <w:r>
        <w:t xml:space="preserve"> </w:t>
      </w:r>
      <w:r>
        <w:t xml:space="preserve">Wer die Gesandten schmäht oder herabwürdigt, ist mit einem der Vernichter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Mensch und Dschinn (aṯ-ṯaqalān),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Taten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(Qanṭara) · Paradies und Hölle</w:t>
      </w:r>
    </w:p>
    <w:p>
      <w:pPr>
        <w:pStyle w:val="FirstParagraph"/>
      </w:pPr>
      <w:r>
        <w:t xml:space="preserve">نواقض الإيمان باليوم الآخر — Vernichter</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Taten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eine andere Erde als unsere Erde:</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Taten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Taten,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Taten;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Taten und die Bücher gewogen, und ebenso wird der Diener selbst gewogen. Bei der Wägung der Taten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Taten:</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Taten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5fa7ec0877b223af985d986a455c8effe30ca82"/>
    <w:p>
      <w:pPr>
        <w:pStyle w:val="Heading3"/>
      </w:pPr>
      <w:r>
        <w:t xml:space="preserve">Die Vernichter (Nawāqiḍ) des Glaubens an den Jüngsten Tag</w:t>
      </w:r>
    </w:p>
    <w:p>
      <w:pPr>
        <w:pStyle w:val="FirstParagraph"/>
      </w:pPr>
      <w:r>
        <w:rPr>
          <w:bCs/>
          <w:b/>
        </w:rPr>
        <w:t xml:space="preserve">Der erste Vernichter: Sein Leugnen und Verleugnen (inkāruhu wa-ǧuḥūduhu),</w:t>
      </w:r>
      <w:r>
        <w:t xml:space="preserve"> </w:t>
      </w:r>
      <w:r>
        <w:t xml:space="preserve">wie es die Leute des Unglaubens (taten) und wie es die Dahriyyūn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Vernichter: Die Umdeutung des Jüngsten Tages (taʾwīl al-yawm al-āḫir) und dessen, was an ihm geschieht.</w:t>
      </w:r>
      <w:r>
        <w:t xml:space="preserve"> </w:t>
      </w:r>
      <w:r>
        <w:t xml:space="preserve">Wer den Jüngsten Tag umdeutet, ist in einen der Vernichter des Glaubens an den Jüngsten Tag gefallen – wie jemand, der etwa kommt und sagt: Die Waage ist die Gerechtigkeit, und es gibt keine wirkliche Waage; und die Brücke ist (etwas) Sinnbildliches (maʿnawī), und es gibt keine sinnlich wahrnehmbare Brücke.</w:t>
      </w:r>
    </w:p>
    <w:p>
      <w:pPr>
        <w:pStyle w:val="BodyText"/>
      </w:pPr>
      <w:r>
        <w:t xml:space="preserve">Dies alles gehört zu den Vernichter; und von den Vernichter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Vernichter</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w:t>
      </w:r>
      <w:r>
        <w:t xml:space="preserve"> </w:t>
      </w:r>
      <w:r>
        <w:t xml:space="preserve">ﷻ</w:t>
      </w:r>
      <w:r>
        <w:t xml:space="preserve"> </w:t>
      </w:r>
      <w:r>
        <w:t xml:space="preserve">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795d164eac9d1c078d6068e29216cfabc2f4ca8"/>
    <w:p>
      <w:pPr>
        <w:pStyle w:val="Heading3"/>
      </w:pPr>
      <w:r>
        <w:t xml:space="preserve">Die Vernichter (Nawāqiḍ) des Glaubens an den Qadar</w:t>
      </w:r>
    </w:p>
    <w:p>
      <w:pPr>
        <w:pStyle w:val="FirstParagraph"/>
      </w:pPr>
      <w:r>
        <w:rPr>
          <w:bCs/>
          <w:b/>
        </w:rPr>
        <w:t xml:space="preserve">Der erste Vernichter: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Vernichter: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Vernichter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Die Definition des Glaubens</w:t>
      </w:r>
    </w:p>
    <w:p>
      <w:pPr>
        <w:pStyle w:val="FirstParagraph"/>
      </w:pPr>
      <w:r>
        <w:t xml:space="preserve">Nachdem wir über das erste Tor gesprochen haben – die sechs Säulen des Īmān –, sprechen wir nun über das zweite Tor, nämlich das, was sich an die sechs Säulen des Īmān anschließt: den Musammā (die Definition/den Begriff) des Īmān, die Ṣaḥābah und die Imāmah.</w:t>
      </w:r>
    </w:p>
    <w:bookmarkStart w:id="77" w:name="Xacb43251b5ea05047037fbd063bbc9cdb9f9431"/>
    <w:p>
      <w:pPr>
        <w:pStyle w:val="Heading3"/>
      </w:pPr>
      <w:r>
        <w:t xml:space="preserve">Erste Frage: Der Īmān ist Wort und Tat (qawlun wa-ʿamal)</w:t>
      </w:r>
    </w:p>
    <w:p>
      <w:pPr>
        <w:pStyle w:val="FirstParagraph"/>
      </w:pPr>
      <w:r>
        <w:t xml:space="preserve">Der Īmān bei Ahl as-Sunnah wal-Jamāʿah – sie verstehen darunter: Wort und Tat (al-qawl wal-ʿamal). Das bedeutet: das Wort des Herzens – das ist die Überzeugung (al-iʿtiqād) –, das Wort der Zunge, die Tat des Herzens und die Tat der Glieder: All dies wird mit „Īmān" bezeichnet.</w:t>
      </w:r>
    </w:p>
    <w:p>
      <w:pPr>
        <w:pStyle w:val="BodyText"/>
      </w:pPr>
      <w:r>
        <w:t xml:space="preserve">So wird das Wort des Herzens „Īmān" genannt, das Wort der Zunge wird „Īmān" genannt, die Tat des Herzens wird „Īmān" genannt, und die Tat der Glieder wird „Īmān" genannt. Der Īmān umfasst also jedes Wort und jede Tat.</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Tat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die Tat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Taten der Herzen, und Er nannte es „Īmān".</w:t>
      </w:r>
    </w:p>
    <w:p>
      <w:pPr>
        <w:pStyle w:val="BodyText"/>
      </w:pPr>
      <w:r>
        <w:rPr>
          <w:bCs/>
          <w:b/>
        </w:rPr>
        <w:t xml:space="preserve">Was die Tat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eine Tat von den Taten der Glieder.</w:t>
      </w:r>
    </w:p>
    <w:p>
      <w:pPr>
        <w:numPr>
          <w:ilvl w:val="0"/>
          <w:numId w:val="1050"/>
        </w:numPr>
        <w:pStyle w:val="Compact"/>
      </w:pPr>
      <w:r>
        <w:t xml:space="preserve">Sein Wort „und die Schamhaftigkeit ist ein Zweig von den Zweigen des Īmān" – dies ist eine Tat von den Taten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die Tat.</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weniger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Vernichter des Īmān kommt.</w:t>
      </w:r>
    </w:p>
    <w:p>
      <w:pPr>
        <w:pStyle w:val="BodyText"/>
      </w:pPr>
      <w:r>
        <w:rPr>
          <w:bCs/>
          <w:b/>
        </w:rPr>
        <w:t xml:space="preserve">Der Unglaube der Apostasie</w:t>
      </w:r>
      <w:r>
        <w:t xml:space="preserve"> </w:t>
      </w:r>
      <w:r>
        <w:t xml:space="preserve">kann durch das Wort des Herzens geschehen, durch das Wort der Zunge, durch die Tat des Herzens oder durch die Tat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Die Tat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Die Tat der Glieder:</w:t>
      </w:r>
      <w:r>
        <w:t xml:space="preserve"> </w:t>
      </w:r>
      <w:r>
        <w:t xml:space="preserve">wie wenn jemand sich vor einem Grab oder einem Götzen niederwirft.</w:t>
      </w:r>
    </w:p>
    <w:p>
      <w:pPr>
        <w:pStyle w:val="FirstParagraph"/>
      </w:pPr>
      <w:r>
        <w:t xml:space="preserve">So wie das Wort ein Vernichter von den Vernichtern des Īmān sein kann, so kann ebenso die Tat ein Vernichter von den Vernichtern des Īmān sein.</w:t>
      </w:r>
    </w:p>
    <w:p>
      <w:pPr>
        <w:pStyle w:val="BodyText"/>
      </w:pPr>
      <w:r>
        <w:rPr>
          <w:bCs/>
          <w:b/>
        </w:rPr>
        <w:t xml:space="preserve">Wir haben jedoch eine wichtige Grundregel beim Unglauben der Apostasie, nämlich:</w:t>
      </w:r>
    </w:p>
    <w:p>
      <w:pPr>
        <w:pStyle w:val="BodyText"/>
      </w:pPr>
      <w:r>
        <w:rPr>
          <w:iCs/>
          <w:i/>
        </w:rPr>
        <w:t xml:space="preserve">„Das allgemeine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(überhaupt) zurechnungsfähig?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allgemeine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Begeher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die Tat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Tat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Die Prophetengefährten (aṣ-Ṣaḥābah)</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Entsendung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ihrer Methodik;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Entsendung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Entsendung sein; wer ihn zu seinen Lebzeiten vor seiner Entsendung sah, ist kein Ṣaḥābī, sondern es muss nach der Entsendung des Gesandten Allahs</w:t>
      </w:r>
      <w:r>
        <w:t xml:space="preserve"> </w:t>
      </w:r>
      <w:r>
        <w:t xml:space="preserve">ﷺ</w:t>
      </w:r>
      <w:r>
        <w:t xml:space="preserve"> </w:t>
      </w:r>
      <w:r>
        <w:t xml:space="preserve">sein. Und er muss ihn notwendigerweise als Gläubiger an ihn gesehen haben; wer ihn also zu seinen Lebzeiten nach seiner Entsendung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ihrer Methodik;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ihrer Methodik.</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Vernichter von den Vernichter (der korrekten ʿAqīdah).</w:t>
      </w:r>
    </w:p>
    <w:p>
      <w:pPr>
        <w:pStyle w:val="BodyText"/>
      </w:pPr>
      <w:r>
        <w:t xml:space="preserve">۞</w:t>
      </w:r>
    </w:p>
    <w:bookmarkEnd w:id="86"/>
    <w:bookmarkEnd w:id="87"/>
    <w:bookmarkStart w:id="91" w:name="imama"/>
    <w:p>
      <w:pPr>
        <w:pStyle w:val="Heading2"/>
      </w:pPr>
      <w:r>
        <w:t xml:space="preserve">Das Imamat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einigten sich die Leute des Wissens (darauf), dass er zum Herrscher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Das Ehren des Machthabers (taʿẓīm as-sulṭān).</w:t>
      </w:r>
      <w:r>
        <w:t xml:space="preserve"> </w:t>
      </w:r>
      <w:r>
        <w:t xml:space="preserve">So ist es Pflicht, den Machthaber zu ehren; denn wird er nicht geehrt,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die Tat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einigten sich (darauf),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unseren Propheten Muḥammad und schenke ihm Frieden, ebenso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2026-09-12T10:07:27Z</dcterms:created>
  <dcterms:modified xsi:type="dcterms:W3CDTF">2026-09-12T10:07:27Z</dcterms:modified>
</cp:coreProperties>
</file>

<file path=docProps/custom.xml><?xml version="1.0" encoding="utf-8"?>
<Properties xmlns="http://schemas.openxmlformats.org/officeDocument/2006/custom-properties" xmlns:vt="http://schemas.openxmlformats.org/officeDocument/2006/docPropsVTypes"/>
</file>